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Druk Nr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Projekt z dnia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2021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przyjęcia Gminnego Programu Przeciwdziałania Przemocy w Rodzinie oraz Ochrony Ofiar Przemocy w Rodzinie na rok 2022.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15 ustawy z 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 2021 r. poz. 1372 i 1834) w związku z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pkt 1 ustawy z 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przeciwdziałaniu przemocy w rodzinie (Dz. U. z 2021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1249),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Przyjmuje się Gminny Program Przeciwdziałania Przemocy w Rodzinie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Ochrony Ofiar Przemocy w Rodzinie na rok 2022, stanowiący załącznik do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Roczne sprawozdanie z realizacji Programu, o którym mowa w 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przedkłada Radzie Miejskiej w Łodzi osoba upoważniona przez Prezydenta Miasta Łodzi w terminie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2023 r.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Projektodawcą jest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6420" w:right="0" w:hanging="285"/>
        <w:contextualSpacing w:val="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Załącznik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6420" w:right="0" w:hanging="285"/>
        <w:contextualSpacing w:val="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do uchwały Nr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6420" w:right="0" w:hanging="285"/>
        <w:contextualSpacing w:val="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Rady Miejskiej w Łodzi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6420" w:right="0" w:hanging="285"/>
        <w:contextualSpacing w:val="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 dnia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5812"/>
        <w:contextualSpacing w:val="0"/>
        <w:jc w:val="left"/>
        <w:outlineLvl w:val="8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5812"/>
        <w:contextualSpacing w:val="0"/>
        <w:jc w:val="left"/>
        <w:outlineLvl w:val="8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5812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5812"/>
        <w:contextualSpacing w:val="0"/>
        <w:jc w:val="both"/>
        <w:rPr>
          <w:rFonts w:ascii="Calibri" w:hAnsi="Calibri"/>
          <w:color w:val="000000"/>
          <w:sz w:val="36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 w:val="36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Fonts w:ascii="Calibri" w:hAnsi="Calibri"/>
          <w:b/>
          <w:color w:val="000000"/>
          <w:sz w:val="36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 w:val="36"/>
          <w:szCs w:val="20"/>
          <w:shd w:val="clear" w:color="auto" w:fill="FFFFFF"/>
          <w:lang w:val="en-US" w:eastAsia="en-US" w:bidi="en-US"/>
        </w:rPr>
        <w:t xml:space="preserve">Gminny Program Przeciwdziałania Przemocy w Rodzinie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rPr>
          <w:rFonts w:ascii="Calibri" w:hAnsi="Calibri"/>
          <w:b/>
          <w:color w:val="000000"/>
          <w:sz w:val="36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 w:val="36"/>
          <w:szCs w:val="20"/>
          <w:shd w:val="clear" w:color="auto" w:fill="FFFFFF"/>
          <w:lang w:val="en-US" w:eastAsia="en-US" w:bidi="en-US"/>
        </w:rPr>
        <w:t xml:space="preserve">oraz Ochrony Ofiar Przemocy w Rodzinie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rPr>
          <w:rFonts w:ascii="Calibri" w:hAnsi="Calibri"/>
          <w:b/>
          <w:color w:val="000000"/>
          <w:sz w:val="36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 w:val="36"/>
          <w:szCs w:val="20"/>
          <w:shd w:val="clear" w:color="auto" w:fill="FFFFFF"/>
          <w:lang w:val="en-US" w:eastAsia="en-US" w:bidi="en-US"/>
        </w:rPr>
        <w:t>na rok 2022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6555"/>
        </w:tabs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outlineLvl w:val="0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Opracowanie: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outlineLvl w:val="0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Wydział Zdrowia i Spraw Społecznych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outlineLvl w:val="0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Departament  Zdrowia i Spraw Społecznych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outlineLvl w:val="0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Urząd Miasta Łodzi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righ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Łódź</w:t>
      </w: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 xml:space="preserve"> 2021</w:t>
        <w:br w:type="page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Spis treści</w:t>
      </w:r>
    </w:p>
    <w:tbl>
      <w:tblPr>
        <w:tblStyle w:val="TableNormal"/>
        <w:tblW w:w="0" w:type="auto"/>
        <w:tblInd w:w="0" w:type="dxa"/>
        <w:tblLook w:val="01E0"/>
      </w:tblPr>
      <w:tblGrid>
        <w:gridCol w:w="842"/>
        <w:gridCol w:w="7096"/>
        <w:gridCol w:w="1134"/>
      </w:tblGrid>
      <w:tr>
        <w:tblPrEx>
          <w:tblW w:w="0" w:type="auto"/>
          <w:tblInd w:w="0" w:type="dxa"/>
          <w:tblLook w:val="01E0"/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Wstęp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II.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Przemoc w rodzinie i zjawiska powiązane – skala problemu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III.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Rekomendacje do działań w zakresie przeciwdziałania przemocy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10</w:t>
            </w: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IV.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Zasoby Miasta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Łodzi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do działań profilaktycznych i naprawczych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V.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Podstawy prawne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VI.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Cele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P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rogramu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VII.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Działania i ilościowe wskaźniki ich realizacji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16</w:t>
            </w: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VIII.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Źródła finansowania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P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rogramu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20</w:t>
            </w: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IX.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Literatura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/ źródła danych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righ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20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br/>
        <w:br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br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br w:type="page"/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2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540" w:right="0" w:hanging="18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br w:type="page"/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Wstęp </w:t>
            </w:r>
          </w:p>
        </w:tc>
      </w:tr>
    </w:tbl>
    <w:p>
      <w:pPr>
        <w:keepNext w:val="0"/>
        <w:keepLines w:val="0"/>
        <w:widowControl w:val="0"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708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Ustawa z dnia 29 lipca 2005 r. o przeciwdziałaniu przemocy w rodzinie definiuje przemoc jako </w:t>
      </w:r>
      <w:r>
        <w:rPr>
          <w:rFonts w:ascii="Calibri" w:hAnsi="Calibri"/>
          <w:szCs w:val="20"/>
          <w:lang w:val="x-none" w:eastAsia="en-US" w:bidi="ar-SA"/>
        </w:rPr>
        <w:t xml:space="preserve">jednorazowe albo powtarzające się umyślne działanie lub zaniechanie naruszające prawa lub dobra osobiste osób najbliższych, w szczególności narażające te osoby na niebezpieczeństwo utraty życia, zdrowia, naruszające ich godność, nietykalność cielesną, wolność, w tym seksualną, powodujące szkody na ich zdrowiu fizycznym lub psychicznym, </w:t>
        <w:br/>
        <w:t>a także wywołujące cierpienia i krzywdy moralne u osób dotkniętych przemocą.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Definicja przemocy wg Instytutu Psychologii Zdrowia Polskiego Towarzystwa Psychologicznego to intencjonalne działanie lub zaniechanie jednej osoby wobec drugiej, które wykorzystując przewagę sił narusza prawa i dobra osobiste jednostki, powodując cierpienia i szkody.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O przemocy możemy mówić wtedy, gdy zostaną spełnione 4 warunki: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jest to intencjonalne działanie lub zaniechanie działania;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jedna osoba ma wyraźną przewagę nad drugą;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działanie lub zaniechanie jednej osoby narusza prawa i dobra osobiste drugiej;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osoba wobec której stosowana jest przemoc, doznaje cierpienia i szkód fizycznych </w:t>
        <w:br/>
        <w:t>i psychicznych.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Rodzina jest najważniejszym środowiskiem w życiu każdego człowieka, kształtującym osobowość, system wartości oraz poglądy. Ogromną rolę odgrywają prawidłowe relacje panujące w rodzinie oparte na miłości, wsparciu i zrozumieniu. W przypadku zaburzenia tych relacji następuje dysfunkcja rodziny, która powoduje szkody m. in. emocjonalne, psychiczne, </w:t>
        <w:br/>
        <w:t xml:space="preserve">i społeczne. Do przemocy domowej może dojść w każdej rodzinie, niezależnie od jej statusu społecznego i materialnego czy też poziomu wykształcenia. Przemoc ze strony najbliższych osób jest doświadczeniem traumatycznym, okaleczającym psychikę i powodującym utratę poczucia bezpieczeństwa. Przybiera ona różne formy i rzadko ma charakter incydentalny. Często ma charakter długotrwały i cykliczny.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Rodzaje przemocy: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fizyczna - naruszanie nietykalności fizycznej;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psychiczna - naruszenie godności osobistej;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seksualna - naruszenie intymności;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ekonomiczna - naruszenie własności;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zaniedbanie - naruszenie obowiązku do opieki ze strony osób bliskich.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Ustawa z dnia 29 lipca 2005 r. o przeciwdziałaniu przemocy w rodzinie ściśle określa zadania w zakresie przeciwdziałania przemocy w rodzinie; zasady postępowania wobec osób dotkniętych przemocą w rodzinie oraz wobec osób stosujących przemoc w rodzinie.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 xml:space="preserve">Do zadań własnych gminy należy w szczególności tworzenie gminnego systemu przeciwdziałania przemocy w rodzinie, w tym: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 xml:space="preserve">opracowanie i realizacja gminnego programu przeciwdziałania przemocy w rodzinie oraz ochrony ofiar przemocy w rodzinie;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 xml:space="preserve">prowadzenie poradnictwa i interwencji w zakresie przeciwdziałania przemocy </w:t>
        <w:br/>
        <w:t>w rodzinie w szczególności poprzez działania edukacyjne służące wzmocnieniu opiekuńczych i wychowawczych kompetencji rodziców w rodzinach zagrożonych przemocą w rodzinie;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 xml:space="preserve">zapewnienie osobom dotkniętym przemocą w rodzinie miejsc w ośrodkach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ascii="Calibri" w:hAnsi="Calibri"/>
          <w:szCs w:val="20"/>
          <w:lang w:val="x-none" w:eastAsia="en-US" w:bidi="ar-SA"/>
        </w:rPr>
        <w:t xml:space="preserve">wsparcia;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  <w:lang w:val="x-none" w:eastAsia="en-US" w:bidi="ar-SA"/>
        </w:rPr>
        <w:t>tworzenie zespołów interdyscyplinarnych.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FFFFFF"/>
        <w:suppressAutoHyphens w:val="0"/>
        <w:spacing w:before="0" w:beforeAutospacing="1" w:after="0" w:afterAutospacing="1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Polski Kodeks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k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arny zawiera osobny rozdział dotyczący przestępstw przeciwko rodzinie i opiece. Jednym z nich jest przestępstwo znęcania się nad rodziną - art. 207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K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odeksu karnego, który obejmuje zarówno znęcanie się fizyczne, jak i psychiczne. Zgodnie z tym artykułem kto znęca się fizycznie lub psychicznie nad osobą najbliższą lub nad inną osobą pozostającą w stałym lub przemijającym stosunku zależności od sprawcy, podlega karze pozbawienia wolności od 3 miesięcy do lat 5; kto znęca się fizycznie lub psychicznie nad osobą nieporadną ze względu na jej wiek, stan psychiczny lub fizyczny, podlega karze pozbawienia wolności od 6 miesięcy do lat 8. Jeżeli czyn znęcania się połączony jest ze stosowaniem szczególnego okrucieństwa, sprawca podlega karze pozbawienia wolności od roku do lat 10.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Jeżeli następstwem znęcania się jest targnięcie się pokrzywdzonego na własne życie, sprawca podlega karze pozbawienia wolności od lat 2 do 12.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2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color="auto" w:fill="auto"/>
              <w:suppressAutoHyphens w:val="0"/>
              <w:spacing w:before="0" w:beforeAutospacing="0" w:after="200" w:afterAutospacing="0" w:line="276" w:lineRule="auto"/>
              <w:ind w:left="690" w:right="0" w:hanging="33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Przemoc w rodzinie i zjawiska powiązane – skala problemu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Badanie rozmiarów zjawiska przemocy w rodzinie nie jest sprawą prostą. Przemoc </w:t>
        <w:br/>
        <w:t xml:space="preserve">w rodzinie jest w dużej mierze zjawiskiem ukrytym i wiele osób doznających przemocy </w:t>
        <w:br/>
        <w:t xml:space="preserve">w rodzinie nie zgłasza się po pomoc. Trudno więc w sposób jednoznaczny określić skalę problemu przemocy w rodzinie.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Procedura „Niebieskie Karty” w województwie łódzkim i Łodzi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Dane Komendy Wojewódzkiej Policji w Łodzi wskazują, iż w całym województwie łódzkim w 2020 roku wypełniono 3.887 formularzy „Niebieskie Karty – A” (3.915 w 2019 r.). Liczba osób, co do których istnieje podejrzenie, że są dotknięte przemocą w rodzinie wyniosła 4.465 (3.272 kobiet, 613 mężczyzn i 580 osób małoletnich). Zatrzymano 1.412 osób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wobec których istnieje podejrzenie, że stosują przemoc w rodzinie (głównie mężczyzn </w:t>
        <w:br/>
        <w:t xml:space="preserve">– 1.326 osoby).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Według danych Komendy Miejskiej Policji w Łodzi </w:t>
      </w:r>
      <w:bookmarkStart w:id="0" w:name="_Hlk87391198"/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 2020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w 1.1</w:t>
      </w:r>
      <w:bookmarkEnd w:id="0"/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34 przypadkach realizowano procedurę „Niebieskie Karty” (w 2019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w 1.198, w 2018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– 959). Ogółem 1.215 osób (1.259 osób w 2019 r., w 2018 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– 1.016) to osoby, co do których istnieje podejrzenie, że były ofiarami przemocy (w tym: 857 kobiet, 154 mężczyzn i 204 małoletnich).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457 osób podejrzewanych o stosowanie przemocy w rodzinie będących pod wpływem alkoholu, zostało doprowadzonych do policyjnych pomieszczeń dla osób zatrzymanych lub do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Calibri" w:hAnsi="Calibri"/>
          <w:szCs w:val="20"/>
          <w:lang w:val="x-none" w:eastAsia="en-US" w:bidi="ar-SA"/>
        </w:rPr>
        <w:t>Oddziału Diagnostyczno-Obserwacyjnego w Miejskim Centrum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Calibri" w:hAnsi="Calibri"/>
          <w:szCs w:val="20"/>
          <w:lang w:val="x-none" w:eastAsia="en-US" w:bidi="ar-SA"/>
        </w:rPr>
        <w:t>Terapii i Profilaktyki Zdrowotnej im. bł. Rafała Chylińskiego w Łodzi pełniącego funkcję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 izby wytrzeźwień.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Tabela 1. Liczba realizacji procedury „Niebieskie Karty”, liczba osób doświadczających przemocy w rodzinie oraz liczba osób podejrzewanych o stosowanie przemocy na terenie m. Łodzi w latach 201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5</w:t>
      </w: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 xml:space="preserve"> – 2020.</w:t>
      </w:r>
    </w:p>
    <w:tbl>
      <w:tblPr>
        <w:tblStyle w:val="TableNormal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1134"/>
        <w:gridCol w:w="1134"/>
        <w:gridCol w:w="1134"/>
        <w:gridCol w:w="1134"/>
        <w:gridCol w:w="1134"/>
      </w:tblGrid>
      <w:tr>
        <w:tblPrEx>
          <w:tblW w:w="9356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bookmarkStart w:id="1" w:name="_Hlk87625743"/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2015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Liczba wypełnionych formularzy "Niebieskie Karty"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1221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Ogólna liczba osób doświadczających  przemocy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1373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ofiar - 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1038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ofiar - mężczyźni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112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ofiar - małoletni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223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Ogólna liczba osób podejrzewanych o stosowanie przemocy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1238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bookmarkEnd w:id="1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podejrzewanych sprawców - 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163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podejrzewanych sprawców - mężczyźni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1072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podejrzewanych sprawców - nieletni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80" w:beforeAutospacing="0" w:after="120" w:afterAutospacing="0" w:line="276" w:lineRule="auto"/>
        <w:ind w:left="0" w:right="0" w:firstLine="210"/>
        <w:contextualSpacing w:val="0"/>
        <w:jc w:val="both"/>
        <w:rPr>
          <w:rFonts w:ascii="Calibri" w:hAnsi="Calibri"/>
          <w:i/>
          <w:color w:val="000000"/>
          <w:szCs w:val="20"/>
          <w:shd w:val="clear" w:color="auto" w:fill="FFFFFF"/>
          <w:lang w:val="en-US" w:eastAsia="en-US" w:bidi="en-US"/>
        </w:rPr>
      </w:pPr>
      <w:bookmarkStart w:id="2" w:name="_Hlk87623557"/>
      <w:r>
        <w:rPr>
          <w:rFonts w:ascii="Calibri" w:hAnsi="Calibri"/>
          <w:i/>
          <w:color w:val="000000"/>
          <w:szCs w:val="20"/>
          <w:shd w:val="clear" w:color="auto" w:fill="FFFFFF"/>
          <w:lang w:val="en-US" w:eastAsia="en-US" w:bidi="en-US"/>
        </w:rPr>
        <w:t>Źródło: Dane statystyczne Komendy Miejskiej Policji w Łodzi.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bookmarkEnd w:id="2"/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br w:type="page"/>
        <w:t>Zespół Interdyscyplinarny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  <w:tab w:val="left" w:pos="704"/>
        </w:tabs>
        <w:suppressAutoHyphens w:val="0"/>
        <w:spacing w:before="0" w:beforeAutospacing="0" w:after="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 Łodzi funkcjonuje Zespół Interdyscyplinarny, w którego skład wchodzą przedstawiciele instytucji i podmiotów działających w obszarze problematyki przemocy domowej. Zadaniem Zespołu zgodnie z art. 9b ust. 2 ustawy z dnia 29 lipca 2005 r. o przeciwdziałaniu przemocy w rodzinie, jest integrowanie i koordynowanie działań podmiotów działających na rzecz przeciwdziałania przemocy w rodzinie.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W 2020 roku do Przewodniczącej Zespołu wpłynęły 1.551 „Niebieskie Karty” (Policja </w:t>
        <w:br/>
        <w:t>– 1.367; Miejski Ośrodek Pomocy Społecznej w Łodzi – 138; Oświata – 42; Ochrona Zdrowia – 4). W</w:t>
      </w:r>
      <w:r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  <w:t xml:space="preserve"> roku 2020 wszczęto o 14 procedur „Niebieskie Karty” więcej niż w roku 2019.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</w:pPr>
      <w:r>
        <w:rPr>
          <w:rFonts w:ascii="Calibri" w:hAnsi="Calibri"/>
          <w:color w:val="000000"/>
          <w:szCs w:val="20"/>
          <w:shd w:val="clear" w:color="auto" w:fill="FFFFFF"/>
          <w:lang w:val="zh-CN" w:eastAsia="zh-CN" w:bidi="zh-CN"/>
        </w:rPr>
        <w:t>Nadal osobami najbardziej dotkniętymi przemocą domową są kobiety i to one były przeważającymi odbiorcami wsparcia Zespołu Interdyscyplinarnego (w 2020 r. – 2.595 osób, a w 2019 r. – 2.475). Jednak zauważyć można tendencję wzrostową, jeśli chodzi o mężczyzn oraz osoby małoletnie dotknięte przemocą domową, w 2019 r. - 779 mężczyzn i 511  małoletnich, a w 2020 r. - 1.225 mężczyzn i 1.115 małoletnich.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 xml:space="preserve">Tabela 2. Liczba osób dotkniętych przemocą domową. 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7"/>
        <w:gridCol w:w="1429"/>
        <w:gridCol w:w="1171"/>
        <w:gridCol w:w="1171"/>
        <w:gridCol w:w="1171"/>
        <w:gridCol w:w="1171"/>
        <w:gridCol w:w="1171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Rodzaj przemocy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2015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Fizyczna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w tym dzieci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1110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1124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1173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1223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1081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173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179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133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139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183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129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Psychiczna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w tym dzieci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1217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1243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1157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1397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1043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866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275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261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183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187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159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Seksualna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w tym dzieci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34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27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210"/>
        <w:contextualSpacing w:val="0"/>
        <w:jc w:val="both"/>
        <w:rPr>
          <w:rFonts w:ascii="Calibri" w:hAnsi="Calibri"/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i/>
          <w:color w:val="000000"/>
          <w:szCs w:val="20"/>
          <w:shd w:val="clear" w:color="auto" w:fill="FFFFFF"/>
          <w:lang w:val="en-US" w:eastAsia="en-US" w:bidi="en-US"/>
        </w:rPr>
        <w:t>Źródło: Dane Zespołu Interdyscyplinarnego w Łodzi.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Analiza danych z prowadzonych działań Zespołu Interdyscyplinarnego w 2020 r. wykazała, że: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0" w:afterAutospacing="0" w:line="276" w:lineRule="auto"/>
        <w:ind w:left="426" w:right="0" w:hanging="426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•</w:t>
        <w:tab/>
        <w:t>w 493 przypadkach decyzją Grup Roboczych, kiedy małoletni były osobami, doznającymi przemocy, bądź były świadkami negatywnych zdarzeń w rodzinie, w której została założona „Niebieska Karta”, zawiadamiano Sąd Rodzinny i Nieletnich;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0" w:afterAutospacing="0" w:line="276" w:lineRule="auto"/>
        <w:ind w:left="426" w:right="0" w:hanging="426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•</w:t>
        <w:tab/>
        <w:t>w 475 przypadkach o nieprawidłowościach w funkcjonowaniu rodzin, w których istniało podejrzenie noszące znamiona przestępstwa, poinformowano prokuraturę;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0" w:afterAutospacing="0" w:line="276" w:lineRule="auto"/>
        <w:ind w:left="426" w:right="0" w:hanging="426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•</w:t>
        <w:tab/>
        <w:t>skierowano 354 zawiadomienia do Miejskiej Komisji Rozwiązywania Problemów Alkoholowych;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0" w:afterAutospacing="0" w:line="276" w:lineRule="auto"/>
        <w:ind w:left="426" w:right="0" w:hanging="426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•</w:t>
        <w:tab/>
        <w:t>304 rodziny skierowano do wsparcia przez specjalistów i asystenta rodziny;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426"/>
        </w:tabs>
        <w:suppressAutoHyphens w:val="0"/>
        <w:spacing w:before="0" w:beforeAutospacing="0" w:after="0" w:afterAutospacing="0" w:line="276" w:lineRule="auto"/>
        <w:ind w:left="426" w:right="0" w:hanging="426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•</w:t>
        <w:tab/>
        <w:t xml:space="preserve">w 5 przypadkach nastąpiło odebranie dziecka z rodziny na wniosek pracownika socjalnego.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993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Najbardziej aktualne dane wskazują, że na dzień 27 października 2021 r. wszczęto </w:t>
        <w:br/>
        <w:t>w Łodzi 1.026 procedur „Niebieskie Karty”.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Bardzo ważnym działaniem służącym przerwaniu przemocy domowej jest odizolowanie sprawcy od rodziny. Decyzję w tej sprawie, obok sądu, może podjąć także prokuratura, tytułem środka zapobiegawczego (art. 275a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K.p.k.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). Dane pokazują, że to nadal ofiary przemocy opuszczają miejsce pobytu dla zapewnienia bezpieczeństwa sobie, a często i dzieciom. W 2020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103 osoby (46 kobiet i 3 mężczyzn) skorzystały z pomocy Specjalistycznego Ośrodka Wsparcia dla Ofiar Przemocy w Rodzinie, w tym 54 dzieci.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Tabela 3. Liczba osób doznających przemocy przebywających w Specjalistycznym Ośrodku Wsparcia dla Ofiar Przemocy w Rodzinie w Łodzi w latach 201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5</w:t>
      </w:r>
      <w:r>
        <w:rPr>
          <w:rFonts w:ascii="Calibri" w:hAnsi="Calibri"/>
          <w:b/>
          <w:color w:val="000000"/>
          <w:szCs w:val="20"/>
          <w:shd w:val="clear" w:color="auto" w:fill="FFFFFF"/>
          <w:lang w:val="x-none" w:eastAsia="en-US" w:bidi="ar-SA"/>
        </w:rPr>
        <w:t>-2020.</w:t>
      </w:r>
    </w:p>
    <w:tbl>
      <w:tblPr>
        <w:tblStyle w:val="TableNormal"/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2"/>
        <w:gridCol w:w="1533"/>
        <w:gridCol w:w="1533"/>
        <w:gridCol w:w="1532"/>
        <w:gridCol w:w="1533"/>
        <w:gridCol w:w="1533"/>
      </w:tblGrid>
      <w:tr>
        <w:tblPrEx>
          <w:tblW w:w="9214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2015</w:t>
            </w:r>
          </w:p>
        </w:tc>
      </w:tr>
      <w:tr>
        <w:tblPrEx>
          <w:tblW w:w="9214" w:type="dxa"/>
          <w:tblInd w:w="-34" w:type="dxa"/>
          <w:tblLook w:val="01E0"/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103 osoby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46 kobiet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 mężczyzn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54 dzieci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127 osób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60 kobiet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 mężczyzn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64 dzieci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133 osoby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65 kobiet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 mężczyzn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65 dzieci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163 osoby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73 kobiety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 mężczyzn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87 dzieci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148 osób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71 kobiet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5 mężczyzn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72 dzieci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166 osób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78 kobiet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 mężczyzn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86 dzieci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80" w:beforeAutospacing="0" w:after="120" w:afterAutospacing="0" w:line="276" w:lineRule="auto"/>
        <w:ind w:left="0" w:right="0" w:firstLine="567"/>
        <w:contextualSpacing w:val="0"/>
        <w:jc w:val="both"/>
        <w:rPr>
          <w:rFonts w:ascii="Calibri" w:hAnsi="Calibri"/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i/>
          <w:color w:val="000000"/>
          <w:szCs w:val="20"/>
          <w:shd w:val="clear" w:color="auto" w:fill="FFFFFF"/>
          <w:lang w:val="en-US" w:eastAsia="en-US" w:bidi="en-US"/>
        </w:rPr>
        <w:t>Źródło: Dane Specjalistycznego Ośrodka Wsparcia dla Ofiar Przemocy w Rodzinie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357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Z danych Prokuratury Okręgowej w Łodzi wynika, że w 2020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w jednostkach prokuratury w Łodzi przeprowadzono 802 (784 – 2019 rok, 755 – 2018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) postępowania karne w związku ze stosowaniem przemocy w rodzinie, a 154 (169 w roku 2019) aktów oskarżenia skierowano do sądów. Skierowano 5 (11 w roku 2019) wniosków o warunkowe umorzenie postępowania karnego. Na tak dużą liczbę prowadzonych postępowań prokuratorzy wydali 46 nakazów (28 nakazów w 2019 r., 31 nakazów w 2018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., 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38 nakazów w 2017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, 29 nakazów w 2016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, 10 nakazów w 2015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) opuszczenia przez sprawcę przemocy lokalu mieszkalnego zajmowanego wspólnie z osobami pokrzywdzonymi. W 2 przypadkach skierowano wniosek do sądu o przedłużenie ww. środka zapobiegawczego na dalszy okres (4 przypadki w 2019 r., 1 przypadek – w 2018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).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Sądy orzekające w sprawach o stosowanie przemocy wydały 108 wyroków skazujących (na 147 spraw, które wpłynęły). W 3 przypadkach sprawy umorzono, a w 23 orzeczono kary w zawieszeniu. Wydano 8 nakazów opuszczenia przez sprawcę przemocy lokalu zajmowanego wspólnie z osobą pokrzywdzoną oraz orzeczono w 45 przypadkach prace społecznie użyteczne w stosunku do sprawców przemocy. Wydano 40 zakazów zbliżania się sprawcy przemocy na określoną odległość od osoby pokrzywdzonej.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Z badań ankietowych pn. „Rozpowszechnienie picia alkoholu, używania narkotyków oraz przemocy w rodzinie i związane z tym problemy społeczne wśród mieszkańców Łodzi” przeprowadzonych w 2018 r. przez Ogólnopolskie Stowarzyszenie „RoPSAN” Rodzice Przeciwko Sprzedaży Alkoholu Nieletnim wynika, że: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 4,9% rodzin łódzkich w ciągu ostatnich 12 miesięcy dochodziło do przemocy fizycznej;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 7,4% rodzin łódzkich w ciągu ostatnich 12 miesięcy dochodziło do przemocy psychicznej;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10,7% osób miało poczucie bycia ofiarą przemocy w rodzinie;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13,5% osób było świadkiem przemocy w dzieciństwie;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aż 6,3% osób uważa, że istnieją okoliczności, które usprawiedliwiają przemoc w rodzinie;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9,4% osób uważa, że to co dzieje się w rodzinie, także przemoc jest jej wewnętrzną sprawą i nie należy się w to wtrącać;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77,3% osób uważa, że pomaganie ofiarom przemocy w rodzinie jest obowiązkiem każdego człowieka;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w ocenie skuteczności działań w zakresie przeciwdziałania przemocy 81,2% mieszkańców Łodzi uważa, że najbardziej mogą liczyć na pomoc pomocy społecznej, w 78,6% na pomoc Policji.   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W Miejskim Centrum Terapii i Profilaktyki Zdrowotnej im. bł. Rafała Chylińskiego </w:t>
        <w:br/>
        <w:t xml:space="preserve">w Łodzi działa całodobowy, bezpłatny telefon interwencyjny – 800-112-800 – można tu zgłosić podejrzenie przemocy, jak również uzyskać informacje i pomoc w sytuacji, gdy jesteśmy świadkami przemocy w naszym otoczeniu (w rodzinie, u sąsiadów). Z telefonu tego korzystają nie tylko mieszkańcy Łodzi, aczkolwiek bezpośrednie wsparcie może być udzielone tylko mieszkańcom naszego miasta. 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Tabela 4. Zgłoszenia przemocy na telefon interwencyjny 800-112-800</w:t>
      </w:r>
    </w:p>
    <w:tbl>
      <w:tblPr>
        <w:tblStyle w:val="TableNormal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1134"/>
        <w:gridCol w:w="1134"/>
        <w:gridCol w:w="1134"/>
        <w:gridCol w:w="1134"/>
        <w:gridCol w:w="1134"/>
      </w:tblGrid>
      <w:tr>
        <w:tblPrEx>
          <w:tblW w:w="9356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2015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Łączna liczba zgłoszeń przemocy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54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w tym liczba zgłoszeń dot. 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32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Łączna liczba zgłoszeń przemocy z Łodzi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21</w:t>
            </w:r>
          </w:p>
        </w:tc>
      </w:tr>
      <w:tr>
        <w:tblPrEx>
          <w:tblW w:w="9356" w:type="dxa"/>
          <w:tblInd w:w="-34" w:type="dxa"/>
          <w:tblLayout w:type="fixed"/>
          <w:tblLook w:val="01E0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w tym liczba zgłoszeń dot. dzieci z Łodzi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13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80" w:beforeAutospacing="0" w:after="120" w:afterAutospacing="0" w:line="276" w:lineRule="auto"/>
        <w:ind w:left="0" w:right="0" w:firstLine="0"/>
        <w:contextualSpacing w:val="0"/>
        <w:jc w:val="both"/>
        <w:rPr>
          <w:rFonts w:ascii="Calibri" w:hAnsi="Calibri"/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i/>
          <w:color w:val="000000"/>
          <w:szCs w:val="20"/>
          <w:shd w:val="clear" w:color="auto" w:fill="FFFFFF"/>
          <w:lang w:val="en-US" w:eastAsia="en-US" w:bidi="en-US"/>
        </w:rPr>
        <w:t xml:space="preserve">Źródło: Dane Miejskiego Centrum Terapii i Profilaktyki Zdrowotnej im. bł. R. Chylińskiego </w:t>
        <w:br/>
        <w:t>w Łodzi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 2019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na zlecenie Urzędu Miasta Łodzi zostało wykonane badanie – Raport </w:t>
        <w:br/>
        <w:t>z badania „Picie alkoholu i używanie narkotyków przez młodzież szkolną na terenie Łodzi” przez Pracownię Badawczo-Psychologiczną „MIRABO”. Zawiera on również dane dotyczące przemocy rówieśniczej. W badaniu brali udział uczniowie trzecich klas gimnazjum i drugich klas szkoły ponadgimnazjalnej. Łącznie badaniem zostało objętych 1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946 uczniów łódzkich szkół.  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Analiza danych wskazuje na wysoki poziom stosowania przemocy, zwłaszcza wśród chłopców. W badaniu młodszych chłopców, w klasach III gimnazjum – 64,3%, a w populacji starszych chłopców, uczniów klas II ponadgimnazjalnych – 51,8%. W przypadku dziewcząt analogiczne odsetki były niższe i wyniosły odpowiednio 57,6% i 40,4%.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Istotny jest także fakt, że w klasach III gimnazjum – 70,4% uczniów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a w klasach II szkół ponadgimnazjalnych – 59,3% uczniów stwierdziło, iż w roku poprzedzającym badanie było także ofiarami przemocy.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 badaniu z 2015 roku odsetek gimnazjalistów, którzy byli sprawcami przemocy był nieco niższy i wyniósł 55,2%. Zwiększyła się również grupa sprawców przemocy wśród uczniów szkół ponadgimnazjalnych z 50,3% w 2015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do 57,6% w 2019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roku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. W tym kontekście można stwierdzić, że w okresie ostatnich 4 lat w tym zakresie nie odnotowano żadnej poprawy sytuacji, a nawet jej niewielkie pogorszenie.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Do kategorii ofiar możemy zaliczyć 55,4% dziewcząt i 54,9% chłopców z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III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klas gimnazjum. W II klasach szkół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ponadgimnazjalnych 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ofiarą przemocy padło 39,5% dziewcząt oraz 42,2% chłopców. Zjawisko przemocy z perspektywy ofiar jest więc poważniejsze w gimnazjach. Warto podkreślić, iż odsetki nastolatków badanych w 2019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roku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, którzy przyznali, że byli ofiarami przemocy były istotnie większe niż w 2015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. W populacji chłopców z III klas gimnazjum odnotowano wzrost o prawie 40% z 39,7% (2015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rok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) do 54,9% (2019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rok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). W grupie dziewcząt wspomniany wzrost odsetka ofiar przemocy przekroczył 50% (w 2015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roku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– 36,2%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zaś w 2019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 roku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 – 55,4%). Istotne zmiany odnotowano również w starszej grupie badanych, tj. wśród uczniów szkół 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ponadgimnazjalnych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. W grupie dziewcząt odsetek tych, które uznały, że były ofiarami przemocy wzrósł w stosunku do wyników sprzed 4 lat prawie o połowę – z 26,6% w 2015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do 39,5% w 2019 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roku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Analizując wyniki badań i porównując je do wyników z 2015 r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oku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dot. rozpowszechnienia doświadczeń związanych z cyberprzemocą możemy stwierdzić, iż w ciągu minionych 4 lat co najmniej podwoił się odsetek młodzieży, doznającej różnych form cyberprzemocy. 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bookmarkStart w:id="3" w:name="_Hlk87874162"/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br w:type="page"/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2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690" w:right="0" w:hanging="33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bookmarkStart w:id="4" w:name="_Hlk87871120"/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Rekomendacje do działań w zakresie przeciwdziałania przemocy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highlight w:val="yellow"/>
          <w:shd w:val="clear" w:color="auto" w:fill="FFFFFF"/>
          <w:lang w:val="en-US" w:eastAsia="en-US" w:bidi="en-US"/>
        </w:rPr>
      </w:pPr>
      <w:bookmarkEnd w:id="4"/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bookmarkEnd w:id="3"/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Działania realizowane w celu przeciwdziałania przemocy w rodzinie mają zróżnicowany charakter i zgodnie z Krajowym Programem Przeciwdziałania Przemocy w Rodzinie mogą być podzielone na następujące typy: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20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działania uprzedzające: diagnozujące, informacyjne, edukacyjne, kierowane do ogółu społeczeństwa, a także do osób pracujących z ofiarami i sprawcami przemocy w rodzinie;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20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działania interwencyjne: opiekuńcze i terapeutyczne, kierowane do ofiar przemocy w rodzinie oraz pouczające i izolujące, kierowane do sprawców przemocy w rodzinie;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20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działania wspierające: psychologiczne, pedagogiczne, terapeutyczne i inne, kierowane do ofiar przemocy w rodzinie;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200" w:afterAutospacing="0" w:line="276" w:lineRule="auto"/>
        <w:ind w:left="72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działania korekcyjno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edukacyjne kierowane do sprawców przemocy w rodzinie.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20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567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Zgodnie z przedstawionymi założeniami, Gminny Program Przeciwdziałania Przemocy w Rodzinie oraz Ochrony Ofiar Przemocy w Rodzinie obejmuje komplementarny zestaw działań zawierający: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tabs>
          <w:tab w:val="left" w:pos="900"/>
        </w:tabs>
        <w:suppressAutoHyphens w:val="0"/>
        <w:spacing w:before="0" w:beforeAutospacing="0" w:after="200" w:afterAutospacing="0" w:line="276" w:lineRule="auto"/>
        <w:ind w:left="90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działania nakierowane na pomoc osobom dotkniętym przemocą w rodzinie, poprzez: udzielanie specjalistycznego poradnictwa, prowadzenie grup wsparcia, udzielanie bezpiecznego schronienia osobom dotkniętym przemocą zmuszonym do opuszczenia miejsca zamieszkania lub pobytu;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tabs>
          <w:tab w:val="left" w:pos="900"/>
        </w:tabs>
        <w:suppressAutoHyphens w:val="0"/>
        <w:spacing w:before="0" w:beforeAutospacing="0" w:after="200" w:afterAutospacing="0" w:line="276" w:lineRule="auto"/>
        <w:ind w:left="90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działania skierowane do sprawców przemocy, zarówno dorosłych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jak i nieletnich: zajęcia korekcyjno-edukacyjne, psychologiczno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terapeutyczne, a także możliwość pobytu w hostelu dla sprawców przemocy;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tabs>
          <w:tab w:val="left" w:pos="900"/>
        </w:tabs>
        <w:suppressAutoHyphens w:val="0"/>
        <w:spacing w:before="0" w:beforeAutospacing="0" w:after="200" w:afterAutospacing="0" w:line="276" w:lineRule="auto"/>
        <w:ind w:left="90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zapobieganie występowaniu przemocy w rodzinie poprzez różnorodne formy działań profilaktycznych i edukacyjnych przeznaczonych dla dzieci i młodzieży, podnoszenie świadomości społecznej w ramach akcji i kampanii społecznych oraz promowanie nieagresywnych sposobów rozwiązywania konfliktów społecznych, </w:t>
        <w:br/>
        <w:t>w tym mediacji rodzinnych.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72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284"/>
        </w:tabs>
        <w:suppressAutoHyphens w:val="0"/>
        <w:spacing w:before="0" w:beforeAutospacing="0" w:after="20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567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Przedstawione ustalenia dotyczące przemocy i zjawisk towarzyszących w Polsce, województwie łódzkim i mieście Łodzi stanowią, wraz z założeniami strategicznymi, punkt wyjścia do sformułowania rekomendacji dla Gminnego Programu Przeciwdziałania Przemocy w Rodzinie oraz Ochrony Ofiar Przemocy w Rodzinie na rok 2022.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1068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Ważną grupą docelową są osoby i środowiska o niskim statusie społeczno</w:t>
        <w:br/>
        <w:t>-ekonomicznym i edukacyjnym, w której od lat występuje wysoka konsumpcja alkoholu, powiązana z aktami przemocy w rodzinie (dane „Niebieskie Karty”). W odniesieniu do tej grupy powinny być stosowane działania dostosowane do odbiorcy – między innymi nowoczesna praca socjalna i edukacja.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1068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Istnieje potrzeba doskonalenia działań w zakresie wspierania i ochrony ofiar przemocy domowej.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1068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Zwiększenie liczby inicjatyw edukacyjnych i kampanii społecznych w zakresie: uwrażliwienia mieszkańców Łodzi na problemy związane z przemocą, przełamania lęku ofiar przemocy z korzystania z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e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wsparcia oraz dostarczeniu rzetelnej informacji na temat instytucji udzielających wsparcia. 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1068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Ważne jest wspieranie nauczycieli i innych profesjonalistów edukacyjnych, aby potrafili oni rozpoznawać etap rozwoju zjawiska i stosować adekwatne do tego etapu rozwiązania.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1068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Istotną kwestią jest zwiększenie w ramach zajęć profilaktycznych i pracy wychowawczej nacisku na takie zjawiska jak: cyberprzemoc i hejt w internecie.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1068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Działania powinny się skoncentrować nie tylko na reagowaniu na przemoc rówieśniczą, ale także wspieraniu pozytywnych relacji między uczniami, szczególnie w kontekście edukacji zintegrowanej i częstej obecności dzieci i młodzieży ze specjalnymi potrzebami edukacyjnymi w zespołach klasowych. Taką konieczność potwierdzają wysokie odsetki doświadczania wykluczenia wśród łódzkiej młodzieży. 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1068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Większość oddziaływań profilaktycznych z zakresu przemocy rówieśniczej należy kierować do młodszej grupy nastolatków, ponieważ to właśnie oni częściej stosują przemoc. 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1068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Należy doskonalić działania służb społecznych zajmujących się przemocą </w:t>
        <w:br/>
        <w:t>(w szczególności w kontekście Zespołu Interdyscyplinarnego i procedury „Niebieskie Karty”).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708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Style w:val="TableNormal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4"/>
      </w:tblGrid>
      <w:tr>
        <w:tblPrEx>
          <w:tblW w:w="9464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690" w:right="0" w:hanging="33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Zasoby Miasta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 xml:space="preserve"> Łodzi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do działań profilaktycznych i naprawczych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highlight w:val="yellow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708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Wydział Zdrowia i Spraw Społecznych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Wydział Zdrowia i Spraw Społecznych realizuje zadania w zakresie szeroko pojętej polityki prozdrowotnej Miasta , w tym profilaktyki i promocji zdrowia. Miasto pełni funkcję podmiotu tworzącego dla 6 samodzielnych publicznych zakładów opieki zdrowotnej (miejskie centra medyczne) oraz jednej spółki prowadzącej działalność leczniczą ze 100% udziałem kapitałowym Miasta (Centrum Medyczne im. dr. L. Rydygiera w Łodzi). Świadczą one podstawową opiekę zdrowotną dla ponad 150 tysięcy mieszkańców Łodzi, jak również wiele specjalistycznych usług zdrowotnych. Wydział koordynuje działania w zakresie przeciwdziałania uzależnieniom i przemocy w rodzinie, poprzez współpracę z innymi jednostkami Miasta jak i bezpośrednimi realizatorami działań na rzecz mieszkańców. Wydział ściśle współpracuje z Miejską Komisją Rozwiązywania Problemów Alkoholowych w Łodzi.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 ramach swoich kompetencji Wydział Zdrowia i Spraw Społecznych współpracuje z organizacjami pozarządowymi realizującymi działania prewencyjne w zakresie przeciwdziałania przemocy oraz korekcyjno-edukacyjne i psychologiczno-terapeutyczne dla osób stosujących przemoc. We współpracy z organizacjami pozarządowymi, Wydział może zapewnić m. in. prowadzenie mediacji, w tym mediacji rodzinnych, udzielanie poradnictwa specjalistycznego, zajęć psychologa.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Miejski Ośrodek Pomocy Społecznej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 w Łodzi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 i Centrum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 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Administrac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yjne Pieczy Zastępczej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W ramach swoich kompetencji </w:t>
      </w:r>
      <w:r>
        <w:rPr>
          <w:rFonts w:ascii="Calibri" w:hAnsi="Calibri"/>
          <w:color w:val="000000"/>
          <w:szCs w:val="20"/>
          <w:shd w:val="clear" w:color="auto" w:fill="FFFFFF"/>
        </w:rPr>
        <w:t>jednostki</w:t>
      </w:r>
      <w:r>
        <w:rPr>
          <w:rFonts w:ascii="Calibri" w:hAnsi="Calibri"/>
          <w:color w:val="00000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zapewnia</w:t>
      </w:r>
      <w:r>
        <w:rPr>
          <w:rFonts w:ascii="Calibri" w:hAnsi="Calibri"/>
          <w:color w:val="000000"/>
          <w:szCs w:val="20"/>
          <w:shd w:val="clear" w:color="auto" w:fill="FFFFFF"/>
        </w:rPr>
        <w:t>ją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udzielanie bezpiecznego schronienia dzieciom – ofiarom przemocy w ramach rodzin zastępczych pełniących zadania pogotowia rodzinnego, placówek opiekuńczo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wychowawczych typu interwencyjnego lub we współpracy z organizacjami pozarządowymi. Ma</w:t>
      </w:r>
      <w:r>
        <w:rPr>
          <w:rFonts w:ascii="Calibri" w:hAnsi="Calibri"/>
          <w:color w:val="000000"/>
          <w:szCs w:val="20"/>
          <w:shd w:val="clear" w:color="auto" w:fill="FFFFFF"/>
        </w:rPr>
        <w:t>ją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możliwość organizowan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i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a zajęć profilaktycznych i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 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edukacyjnych w świetlicach środowiskowych.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Miejski Ośrodek Pomocy Społecznej w Łodzi organizuje funkcjonowanie Zespołu Interdyscyplinarnego oraz grup roboczych działających na rzecz przeciwdziałania przemocy w rodzinie.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Wydział Edukacji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 xml:space="preserve">Wydział Edukacji prowadzi sprawy związane z pełnieniem przez miasto funkcji organu prowadzącego publiczne szkoły i placówki oświatowe - jest to łącznie 395 placówek (przedszkoli, szkół i innych placówek oświatowych). 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 ramach swoich kompetencji Wydział Edukacji ma możliwość organizowania działań profilaktycznych w szkołach i placówkach oświatowo-wychowawczych w zakresie promowania nieagresywnych sposobów rozwiązywania konfliktów, radzenia sobie z emocjami. Współpracuje również z organizacjami pozarządowymi, które mogą zapewnić wsparcie w zakresie poradnictwa psychologicznego, pedagogicznego czy socjalnego, jak również prowadzić grupy wsparcia dla młodzieży dotkniętej zjawiskiem przemocy oraz prowadzić działania prewencyjne w zakresie przemocy oraz korekcyjno-edukacyjne dla nieletnich sprawców przemocy w rodzinie.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Miejskie Centrum Terapii i Profilaktyki Zdrowotnej im. bł. Rafała Chylińskiego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</w:t>
        <w:br/>
      </w: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w Łodzi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 (dalej „</w:t>
      </w: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Miejskie Centrum Terapii i Profilaktyki Zdrowotnej”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 lub „Centrum</w:t>
      </w: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”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Miejskie Centrum Terapii i Profilaktyki Zdrowotnej jest podmiotem leczniczym. Zakres świadczeń udzielanych przez Centrum obejmuje: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- specjalistyczną opiekę zdrowotną w zakresie psychiatrii i uzależnień oraz chorób współistniejących i zaburzeń psychicznych, udzielaną w warunkach ambulatoryjnych, stacjonarnych;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- działania rehabilitacyjno-readaptacyjne;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- promocję zdrowia i profilaktykę uzależnień;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- interwencje kryzysowe;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- transport osób w stanie intoksykacji substancjami psychoaktywnymi.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Placówka posiada zasoby do realizacji zajęć korekcyjno-edukacyjnych oraz programu psychologiczno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terapeutycznego dla osób stosujących przemoc w rodzinie w zakresie radzenia sobie ze stresem, agresją, konfliktem, udzielania pomocy psychologicznej w formie terapii indywidualnej, rodzinnej lub grupowej, jak również prowadzenia punktu konsultacyjnego dla osób dotkniętych przemocą.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870"/>
        </w:tabs>
        <w:suppressAutoHyphens w:val="0"/>
        <w:spacing w:before="0" w:beforeAutospacing="0" w:after="120" w:afterAutospacing="0" w:line="276" w:lineRule="auto"/>
        <w:ind w:left="360" w:right="0" w:firstLine="0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Organizacje pozarządowe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Organizacje pozarządowe są cennym zasobem przy realizacji działań w zakresie przeciwdziałania przemocy w rodzinie, jak również niwelowania negatywnych skutków tego zjawiska, zwłaszcza skutków społecznych. Sfera różnego rodzaju poradnictwa, prowadzenie grup wsparcia, mediacji to obszary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 gdzie organizacje pozarządowe z sukcesem wypełniają zadania powierzone przez samorząd.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357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36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  <w:t>Zespół Interdyscyplinarny w Łodzi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Zespól Interdyscyplinarny w Łodzi jest powołany zarządzeniem Prezydenta Miasta Łodzi i składa się z 24 osób reprezentujących instytucje zaangażowane w działania w obszarze przeciwdziałania przemocy. Zadaniem Zespołu Interdyscyplinarnego jest integrowanie </w:t>
        <w:br/>
        <w:t xml:space="preserve">i koordynowanie działań podmiotów i specjalistów działających w zakresie przeciwdziałania przemocy w rodzinie, poprzez: 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diagnozowanie problemu przemocy w rodzinie;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podejmowanie działań w środowisku zagrożonym przemocą w rodzinie, mającym na celu przeciwdziałanie temu zjawisku;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inicjowanie interwencji w środowisku dotkniętym przemocą w rodzinie;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rozpowszechnianie informacji o instytucjach, osobach i możliwościach udzielenia pomocy w środowisku lokalnym;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inicjowanie działań w stosunku do osób stosujących przemoc w rodzinie.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br w:type="page"/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2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870"/>
                <w:tab w:val="left" w:pos="2490"/>
              </w:tabs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br w:type="page"/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V.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Podstawy prawne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tabs>
          <w:tab w:val="left" w:pos="870"/>
        </w:tabs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Obowiązek uchwalenia Programu wynika z art. 6 ust. 2 pkt 1 ustawy z dnia 29 lipca 2005 r. o przeciwdziałaniu przemocy w rodzinie (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Dz. U. z 2021 r. poz. 1249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Przy realizacji zadań zawartych w Programie zastosowanie mają następujące akty prawne: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200" w:afterAutospacing="0" w:line="276" w:lineRule="auto"/>
        <w:ind w:left="36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ustawa z dnia 29 lipca 2005 r. o przeciwdziałaniu przemocy w rodzinie (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Dz. U. z 2021 r. poz. 1249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);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200" w:afterAutospacing="0" w:line="276" w:lineRule="auto"/>
        <w:ind w:left="36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ustawa z dnia 12 marca 2004 r. o pomocy społecznej (Dz. U. z 2020 r. poz. 1876 i 2369 oraz z 2021 r. poz. 794, 803 i 1981); 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200" w:afterAutospacing="0" w:line="276" w:lineRule="auto"/>
        <w:ind w:left="36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ustawa z dnia 26 października 1982 r. o wychowaniu w trzeźwości i przeciwdziałaniu alkoholizmowi (Dz. U.</w:t>
      </w:r>
      <w:r>
        <w:rPr>
          <w:rFonts w:ascii="Arial" w:hAnsi="Arial"/>
          <w:color w:val="000000"/>
          <w:sz w:val="25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z 2021 r. poz. 1119);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200" w:afterAutospacing="0" w:line="276" w:lineRule="auto"/>
        <w:ind w:left="36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ustawa z dnia 24 kwietnia 2003 r. o działalności pożytku publicznego i o wolontariacie (Dz. U. z 2020 r. poz. 1057 oraz z 2021 r. poz. 1038, 1243 i 1535.);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200" w:afterAutospacing="0" w:line="276" w:lineRule="auto"/>
        <w:ind w:left="36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ustawa z dnia 9 czerwca 2011 r. o wspieraniu rodziny i systemie pieczy zastępczej (Dz. U. z 2020 r. poz. 821 oraz z 2021 r. poz. 159, 1006 i 1981);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200" w:afterAutospacing="0" w:line="276" w:lineRule="auto"/>
        <w:ind w:left="36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rozporządzenie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 U. poz. 259);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200" w:afterAutospacing="0" w:line="276" w:lineRule="auto"/>
        <w:ind w:left="360" w:right="0" w:hanging="36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rozporządzenie Rady Ministrów z dnia 13 września 2011 r. w sprawie procedury „Niebieskie Karty” oraz wzorów formularzy „Niebieska Karta” (Dz. U. poz. 1245).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0" w:right="0" w:firstLine="0"/>
        <w:contextualSpacing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br w:type="page"/>
      </w:r>
    </w:p>
    <w:tbl>
      <w:tblPr>
        <w:tblStyle w:val="TableNormal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6"/>
      </w:tblGrid>
      <w:tr>
        <w:tblPrEx>
          <w:tblW w:w="960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200" w:afterAutospacing="0" w:line="276" w:lineRule="auto"/>
              <w:ind w:left="0" w:right="0" w:firstLine="0"/>
              <w:contextualSpacing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br w:type="page"/>
              <w:t>VI.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Cele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rogramu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Style w:val="TableNormal"/>
        <w:tblW w:w="0" w:type="auto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38"/>
        <w:gridCol w:w="8044"/>
      </w:tblGrid>
      <w:tr>
        <w:tblPrEx>
          <w:tblW w:w="0" w:type="auto"/>
          <w:tblInd w:w="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4A0"/>
        </w:tblPrEx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240" w:beforeAutospacing="0" w:after="12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Cel I.</w:t>
            </w:r>
          </w:p>
        </w:tc>
        <w:tc>
          <w:tcPr>
            <w:tcW w:w="7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240" w:beforeAutospacing="0" w:after="12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Zwiększenie świadomości społecznej nt. przemocy w rodzinie i sposobów jej przeciwdziałania oraz wzmacnianie postaw antyprzemocowych.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240" w:beforeAutospacing="0" w:after="12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Cel II.</w:t>
            </w:r>
          </w:p>
        </w:tc>
        <w:tc>
          <w:tcPr>
            <w:tcW w:w="7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240" w:beforeAutospacing="0" w:after="12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Redukcja negatywnych konsekwencji dla ofiar i świadków przemocy w rodzinie.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240" w:beforeAutospacing="0" w:after="12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Cel III.</w:t>
            </w:r>
          </w:p>
        </w:tc>
        <w:tc>
          <w:tcPr>
            <w:tcW w:w="7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240" w:beforeAutospacing="0" w:after="12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Zapobieganie przemocy poprzez oddziaływania wobec osób stosujących przemoc w rodzinie.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240" w:beforeAutospacing="0" w:after="12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Cel IV.</w:t>
            </w:r>
          </w:p>
        </w:tc>
        <w:tc>
          <w:tcPr>
            <w:tcW w:w="7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240" w:beforeAutospacing="0" w:after="12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Poprawa jakości działań w ramach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Gminnego Programu Przeciwdziałania Przemocy w Rodzinie oraz Ochrony Ofiar Przemocy w Rodzinie.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>
          <w:footerReference w:type="default" r:id="rId5"/>
          <w:type w:val="nextPage"/>
          <w:pgSz w:w="11906" w:h="16838" w:code="0"/>
          <w:pgMar w:top="1417" w:right="1417" w:bottom="1417" w:left="1417" w:header="708" w:footer="708" w:gutter="0"/>
          <w:cols w:space="708"/>
          <w:titlePg/>
        </w:sectPr>
      </w:pPr>
    </w:p>
    <w:tbl>
      <w:tblPr>
        <w:tblStyle w:val="TableNormal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89"/>
      </w:tblGrid>
      <w:tr>
        <w:tblPrEx>
          <w:tblW w:w="1470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36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VII. Działania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i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ilościowe wskaźniki ich realizacji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Style w:val="TableNormal"/>
        <w:tblpPr w:leftFromText="141" w:rightFromText="141" w:vertAnchor="text" w:tblpX="1" w:tblpY="1"/>
        <w:tblOverlap w:val="never"/>
        <w:tblW w:w="14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5"/>
        <w:gridCol w:w="5209"/>
        <w:gridCol w:w="3116"/>
      </w:tblGrid>
      <w:tr>
        <w:tblPrEx>
          <w:tblW w:w="146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Cel I.</w:t>
              <w:tab/>
              <w:t>Zwiększenie świadomości społecznej nt. przemocy w rodzinie i sposobów jej przeciwdziałania oraz wzmacnianie postaw antyprzemocowych.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Działania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Ilościowe wskaźniki realizacji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Koordynator/Realizator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1. Podnoszenie świadomości społecznej i promowanie aktywnych postaw wobec przemocy w rodzinie.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inicjatyw edukacyjnych (np. materiałów online, audycji, artykułów, plakatów, ulotek)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Zdrowia i Spraw Społecznych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2. Propagowanie konstruktywnych metod rozwiązywania konfliktów w rodzinie, w tym procedur mediacji.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inicjatyw edukacyjnych skierowanych do mieszkańców, dotyczących konstruktywnych metod rozwiązywania konfliktów 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przeprowadzonych mediacji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Liczba osób, które skorzystały z mediacji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Zdrowia i Spraw Społecznych / organizacje pozarządowe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3. Prowadzenie warsztatów umiejętności radzenia sobie </w:t>
              <w:br/>
              <w:t>z agresją i rozwiązywania konfliktów w rodzinie bez stosowania jakichkolwiek form przemocy (profilaktyka uniwersalna).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inicjatyw edukacyjnych (np. kursów, szkoleń, materiałów online, materiałów drukowanych) skierowanych do grup docelowych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osób uczestniczących w różnych zajęciach dotyczących radzenia sobie z agresją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Zdrowia i Spraw Społecznych / organizacje pozarządowe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Edukacji / organizacje pozarządowe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4. Wspieranie aktywnych postaw osób doświadczających przemocy w rodzinie.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działań skierowanych do osób doświadczających przemocy 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osób, które skorzystały z tych działań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Zespół Interdyscyplinarny /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Miejska Komisja Rozwiązywania Problemów Alkoholowych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5. Wspieranie programów edukacyjnych dla dzieci i młodzieży w zakresie przeciwdziałania przemocy.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Liczba programów skierowanych do dzieci </w:t>
              <w:br/>
              <w:t>i młodzieży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małoletnich uczestników, którzy skorzystali z programów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Edukacji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bookmarkStart w:id="5" w:name="_Hlk87386587"/>
    </w:p>
    <w:tbl>
      <w:tblPr>
        <w:tblStyle w:val="TableNormal"/>
        <w:tblpPr w:leftFromText="141" w:rightFromText="141" w:vertAnchor="text" w:tblpX="1" w:tblpY="1"/>
        <w:tblOverlap w:val="never"/>
        <w:tblW w:w="14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1"/>
        <w:gridCol w:w="5245"/>
        <w:gridCol w:w="2974"/>
      </w:tblGrid>
      <w:tr>
        <w:tblPrEx>
          <w:tblW w:w="146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Cel II. </w:t>
              <w:tab/>
              <w:t xml:space="preserve">Redukcja negatywnych konsekwencji dla ofiar i świadków przemocy w rodzinie. 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Działania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Ilościowe wskaźniki realizacji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Koordynator/Realizator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bookmarkEnd w:id="5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1. Organizowanie i prowadzenie zróżnicowanych form wsparcia osób doświadczających przemocy w rodzinie, w tym poradnictwa (m. in.: medycznego, psychologicznego, psychospołecznego, pedagogicznego, rodzinnego, prawnego, socjalnego), zajęć psychologa z rodziną w kryzysie, grup wsparcia oraz zapewnienie możliwości wykonania obdukcji lekarskich dla osób dotkniętych przemocą.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Liczba instytucji świadczących poradnictwo </w:t>
              <w:br/>
              <w:t>na rzecz ofiar przemocy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Liczba ofiar przemocy, które skorzystały </w:t>
              <w:br/>
              <w:t>z poradnictwa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Zdrowia i Spraw Społecznych / organizacje pozarządowe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hanging="108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 Wydział Edukacji / organizacje pozarządowe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2. Prowadzenie i doskonalenie pracy socjalnej w środowiskach dotkniętych przemocą w rodzinie.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środowisk objętych działaniami pracy socjalnej ze względu na przemoc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Miejski Ośrodek Pomocy Społecznej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 w Łodzi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3. Doskonalenie wdrażania procedury „Niebieskie Karty”.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inicjatyw na rzecz doskonalenia wdrażania procedury „Niebieskie Karty”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Zespół Interdyscyplinarny </w:t>
              <w:br/>
              <w:t>w Łodzi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4. Organizowanie i prowadzenie interwencji kryzysowej </w:t>
              <w:br/>
              <w:t>w sytuacjach przemocy w rodzinie.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podjętych interwencji kryzysowych związanych z przemocą 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Wydział Zdrowia i Spraw Społecznych / Miejskie Centrum Terapii </w:t>
              <w:br/>
              <w:t>i Profilaktyki Zdrowotnej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5. Wspieranie funkcjonowania telefonu interwencyjnego dla osób dotkniętych przemocą i świadków przemocy w rodzinie.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a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udzielonych interwencji telefonicznych </w:t>
              <w:br/>
              <w:t>na rzecz świadków i ofiar przemocy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Wydział Zdrowia i Spraw Społecznych / Miejskie Centrum Terapii </w:t>
              <w:br/>
              <w:t>i Profilaktyki Zdrowotnej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6. Udzielanie pomocy i wsparcia osobom lub rodzinom dotkniętym przemocą, zmuszonym do opuszczenia dotychczasowego miejsca zamieszkania bądź pobytu.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ofiar przemocy w rodzinie, którym udzielono pomocy w związku z koniecznością opuszczenia dotychczasowego miejsca zamieszkania lub pobytu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Miejski Ośrodek Pomocy Społecznej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w Łodzi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/ organizacje pozarządowe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7. Udzielanie bezpiecznego schronienia dzieciom - ofiarom przemocy.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dzieci, którym udzielono bezpiecznego schronienia w związku z doświadczaniem przemocy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Miejski Ośrodek Pomocy Społecznej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w Łodzi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>Centrum Administracyjne Pieczy Zastępczej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/ rodziny zastępcze, placówki typu interwencyjnego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-142" w:right="0" w:hanging="142"/>
        <w:contextualSpacing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Style w:val="TableNormal"/>
        <w:tblpPr w:leftFromText="141" w:rightFromText="141" w:vertAnchor="text" w:tblpX="1" w:tblpY="1"/>
        <w:tblOverlap w:val="never"/>
        <w:tblW w:w="14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1"/>
        <w:gridCol w:w="5103"/>
        <w:gridCol w:w="142"/>
        <w:gridCol w:w="2974"/>
      </w:tblGrid>
      <w:tr>
        <w:tblPrEx>
          <w:tblW w:w="146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Cel III. Zapobieganie przemocy poprzez oddziaływania wobec osób stosujących przemoc w rodzinie. 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Działania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Ilościowe wskaźniki realizacji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Koordynator/Realizator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1. Prowadzenie placówki całodobowego pobytu dla dorosłych sprawców przemocy.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Liczba sprawców przemocy, którzy korzystali </w:t>
              <w:br/>
              <w:t>z placówki całodobowego pobytu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Wydział Zdrowia i Spraw Społecznych / Miejskie Centrum Terapii </w:t>
              <w:br/>
              <w:t>i Profilaktyki Zdrowotnej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bookmarkStart w:id="6" w:name="_Hlk87386741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2. Indywidualne i grupowe działania korekcyjno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-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edukacyjne dla osób stosujących przemoc w rodzinie (nieletnich, pełnoletnich).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godzin zajęć korekcyjno-edukacyjnych dla osób stosujących przemoc 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osób, które przystąpiły do programu oddziaływań korekcyjno-edukacyjnych dla osób stosujących przemoc w rodzinie.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osób, które ukończyły program oddziaływań korekcyjno-edukacyjnych dla osób stosujących przemoc w rodzinie.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Wydział Zdrowia i Spraw Społecznych / Miejskie Centrum Terapii </w:t>
              <w:br/>
              <w:t>i Profilaktyki Zdrowotnej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 Edukacji / organizacje pozarządowe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bookmarkEnd w:id="6"/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3. Oddziaływania psychologiczno-terapeutyczne dla osób stosujących przemoc.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godzin zajęć dla osób stosujących przemoc w 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osób, które przystąpiły do programu psychologiczno-terapeutycznego.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osób, które ukończyły program psychologiczno-terapeutyczny.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Wydział Zdrowia i Spraw Społecznych / Miejskie Centrum Terapii </w:t>
              <w:br/>
              <w:t>i Profilaktyki Zdrowotnej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1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Cel IV. Poprawa jakości działań w ramach Gminnego Programu Przeciwdziałania Przemocy w Rodzinie oraz Ochrony Ofiar Przemocy w Rodzinie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Działania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Ilościowe wskaźniki realizacji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Koordynator/Realizator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1. Wzmacnianie kompetencji oraz współpracy kadry </w:t>
              <w:br/>
              <w:t xml:space="preserve">i instytucji/organizacji zajmujących się monitorowaniem </w:t>
              <w:br/>
              <w:t>i przeciwdziałaniem przemocy w rodzinie poprzez: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a. rozwijanie wiedzy i umiejętności reprezentantów Zespołu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I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nterdyscyplinarnego, grup roboczych oraz innych organizacji/instytucji zajmujących się profilaktyką przemocy </w:t>
              <w:br/>
              <w:t xml:space="preserve">w rodzinie, z akcentem na przeciwdziałanie zróżnicowanym typom zjawiska przemocy; 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b. wzmacnianie współdziałania instytucji/organizacji zajmujących się przemocą w rodzinie (w tym w ramach procedury „Niebieskie Karty”).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Liczba członków Zespołu Interdyscyplinarnego, którzy wzięli udział w zajęciach edukacyjnych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Liczba inicjatyw podjętych na rzecz współpracy instytucji/organizacji zajmujących się przemocą </w:t>
              <w:br/>
              <w:t>w rodzinie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Zdrowia i Spraw Społecznych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Miejski Ośrodek Pomocy Społecznej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 w Łodzi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Edukacji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Miejska Komisja Rozwiązywania Problemów Alkoholowych w Łodzi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Zespół Interdyscyplinarny 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both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 Łodzi</w:t>
            </w:r>
          </w:p>
        </w:tc>
      </w:tr>
      <w:tr>
        <w:tblPrEx>
          <w:tblW w:w="14670" w:type="dxa"/>
          <w:tblInd w:w="0" w:type="dxa"/>
          <w:tblLayout w:type="fixed"/>
          <w:tblLook w:val="00A0"/>
        </w:tblPrEx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2. Monitorowanie i ewaluacja działań realizowanych w ramach 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P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rogramu.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Liczba monitorowanych/wizytowanych placówek/organizacji/programów pod kątem </w:t>
              <w:br/>
              <w:t>ich jakości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Zdrowia i Spraw Społecznych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Miejski Ośrodek Pomocy Społecznej</w:t>
            </w:r>
            <w:r>
              <w:rPr>
                <w:rFonts w:ascii="Calibri" w:hAnsi="Calibri"/>
                <w:color w:val="000000"/>
                <w:szCs w:val="20"/>
                <w:shd w:val="clear" w:color="auto" w:fill="FFFFFF"/>
              </w:rPr>
              <w:t xml:space="preserve"> w Łodzi</w:t>
            </w:r>
          </w:p>
          <w:p>
            <w:pPr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0" w:right="0" w:firstLine="0"/>
              <w:contextualSpacing w:val="0"/>
              <w:jc w:val="left"/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szCs w:val="20"/>
                <w:shd w:val="clear" w:color="auto" w:fill="FFFFFF"/>
                <w:lang w:val="en-US" w:eastAsia="en-US" w:bidi="en-US"/>
              </w:rPr>
              <w:t>Wydział Edukacji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  <w:sectPr>
          <w:footerReference w:type="default" r:id="rId6"/>
          <w:type w:val="nextPage"/>
          <w:pgSz w:w="16838" w:h="11906" w:orient="landscape" w:code="0"/>
          <w:pgMar w:top="1418" w:right="1418" w:bottom="1418" w:left="1418" w:header="709" w:footer="0" w:gutter="0"/>
          <w:cols w:space="708"/>
        </w:sect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5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36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VIII.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Źródła finansowania Programu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21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W ramach Gminnego Programu Przeciwdziałania Przemocy w Rodzinie oraz Ochrony Ofiar Przemocy w Rodzinie realizowane są zadania własne gminy wskazane w ustawie – i te zadania finansowane są z budżetu gminy. Środki na zadania administracji rządowej zlecane powiatowi, takie jak: „tworzenie i prowadzenie specjalistycznych ośrodków wsparcia dla ofiar przemocy w rodzinie”, „opracowywanie i realizacja programów oddziaływań korekcyjno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edukacyjnych dla osób stosujących przemoc w rodzinie” oraz „realizacja programów psychologiczno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-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terapeutycznych dla osób stosujących przemoc w rodzinie" zapewnia budżet państwa.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20" w:afterAutospacing="0" w:line="276" w:lineRule="auto"/>
        <w:ind w:left="0" w:right="0" w:firstLine="21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5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76" w:lineRule="auto"/>
              <w:ind w:left="360" w:right="0" w:firstLine="0"/>
              <w:contextualSpacing w:val="0"/>
              <w:jc w:val="both"/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IX.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Literatura / źródła danych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1" w:after="0" w:afterAutospacing="1" w:line="276" w:lineRule="auto"/>
        <w:ind w:left="0" w:right="0" w:firstLine="0"/>
        <w:contextualSpacing w:val="0"/>
        <w:jc w:val="both"/>
        <w:rPr>
          <w:rFonts w:ascii="Calibri" w:hAnsi="Calibri"/>
          <w:color w:val="FF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54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Ustawa z dnia 29 lipca 2005 r. o przeciwdziałaniu przemocy w rodzinie (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Dz. U. z 2021 r. poz. 1249</w:t>
      </w:r>
      <w: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54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Ustawa z dnia 26 października 1982 r. o wychowaniu w trzeźwości i przeciwdziałaniu alkoholizmowi (Dz. U.</w:t>
      </w:r>
      <w:r>
        <w:rPr>
          <w:rFonts w:ascii="Arial" w:hAnsi="Arial"/>
          <w:color w:val="000000"/>
          <w:sz w:val="25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z 2021 r. poz. 1119</w:t>
      </w:r>
      <w:r>
        <w:rPr>
          <w:rFonts w:ascii="Calibri" w:hAnsi="Calibri"/>
          <w:szCs w:val="20"/>
          <w:lang w:val="x-none" w:eastAsia="en-US" w:bidi="ar-SA"/>
        </w:rPr>
        <w:t>).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54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Statystyki Komendy Głównej Policji, Komendy Wojewódzkiej Policji w Łodzi, Komendy Miejskiej Policji w Łodzi.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54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Sprawozdanie z działalności Zespołu Interdyscyplinarnego w Łodzi za 2020 rok.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54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Statystyka Prokuratury Okręgowej w Łodzi.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54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Statystyka Sądu Rejonowego dla Łodzi - Śródmieścia w Łodzi.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54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Statystyka Sądu Rejonowego dla Łodzi - Widzewa w Łodzi.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540" w:right="0" w:hanging="36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 xml:space="preserve">„Rozpowszechnienie picia alkoholu, używania narkotyków oraz przemocy w rodzinie </w:t>
        <w:br/>
        <w:t>i związane z tym problemy społeczne wśród mieszkańców Łodzi", badania ankietowe przeprowadzone w 2018 r. przez Ogólnopolskie Stowarzyszenie "RoPSAN" Rodzice Przeciwko Sprzedaży  Alkoholu Nieletnim.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567" w:right="0" w:hanging="425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Raport z badania „Picie alkoholu i używanie narkotyków przez młodzież szkolną na terenie Łodzi” - badanie wykonane na zlecenie Urzędu Miasta Łodzi przez Pracownię Badawczo- Psychologiczną „MIRABO”- 2019 r.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tabs>
          <w:tab w:val="left" w:pos="540"/>
        </w:tabs>
        <w:suppressAutoHyphens w:val="0"/>
        <w:spacing w:before="0" w:beforeAutospacing="1" w:after="0" w:afterAutospacing="1" w:line="276" w:lineRule="auto"/>
        <w:ind w:left="720" w:right="0" w:hanging="578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  <w:t>http://www.niebieskalinia.pl</w:t>
      </w:r>
      <w:r>
        <w:rPr>
          <w:rFonts w:ascii="Calibri" w:hAnsi="Calibri"/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Fonts w:ascii="Calibri" w:hAnsi="Calibri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  <w:sectPr>
          <w:footerReference w:type="default" r:id="rId7"/>
          <w:type w:val="nextPage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zapisami ustawy z dnia 29 lipca 2005 r. o przeciwdziałaniu przemocy </w:t>
        <w:br/>
        <w:t>w rodzinie do zadań własnych gminy należy m.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in. tworzenie gminnego programu przeciwdziałania przemocy w rodzinie.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 powyższym przedstawia się niniejszy projekt uchwały w sprawie przyjęcia Gminnego Programu Przeciwdziałania Przemocy w Rodzinie oraz Ochrony Ofiar Przemocy </w:t>
        <w:br/>
        <w:t>w Rodzinie na rok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zwany dalej Programem.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Program jest kontynuacją działań realizowanych w ramach Gminnych Systemów</w:t>
        <w:br/>
        <w:t>i Programów przyjętych na lata ubiegłe.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Zadaniem przedstawionego Programu jest wprowadzanie w życie szerokiego spektrum działań mających na celu zarówno zwrócenie uwagi opinii publicznej na zjawisko przemocy </w:t>
        <w:br/>
        <w:t xml:space="preserve">w rodzinie, jak i przeciwdziałanie jej poprzez udzielanie pomocy ofiarom przemocy rodzinnej, </w:t>
        <w:br/>
        <w:t xml:space="preserve">a także podejmowanie odpowiednich działań wobec sprawców.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Środki finansowe niezbędne dla prawidłowego funkcjonowania Programu pochodzą </w:t>
        <w:br/>
        <w:t>z budżetu Miasta oraz z budżetu Państwa.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8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b w:val="0"/>
              <w:sz w:val="18"/>
            </w:rPr>
            <w:instrText>PAGE</w:instrTex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separate"/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end"/>
          </w:r>
        </w:p>
      </w:tc>
    </w:tr>
  </w:tbl>
  <w:p>
    <w:pPr>
      <w:rPr>
        <w:rFonts w:ascii="Agency FB" w:eastAsia="Agency FB" w:hAnsi="Agency FB" w:cs="Agency FB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b w:val="0"/>
              <w:sz w:val="18"/>
            </w:rPr>
            <w:instrText>PAGE</w:instrTex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separate"/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end"/>
          </w:r>
        </w:p>
      </w:tc>
    </w:tr>
  </w:tbl>
  <w:p>
    <w:pPr>
      <w:rPr>
        <w:rFonts w:ascii="Agency FB" w:eastAsia="Agency FB" w:hAnsi="Agency FB" w:cs="Agency FB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35"/>
      <w:gridCol w:w="466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33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>Projekt</w:t>
          </w:r>
        </w:p>
      </w:tc>
      <w:tc>
        <w:tcPr>
          <w:tcW w:w="466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b w:val="0"/>
              <w:sz w:val="18"/>
            </w:rPr>
            <w:instrText>PAGE</w:instrTex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separate"/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end"/>
          </w:r>
        </w:p>
      </w:tc>
    </w:tr>
  </w:tbl>
  <w:p>
    <w:pPr>
      <w:rPr>
        <w:rFonts w:ascii="Agency FB" w:eastAsia="Agency FB" w:hAnsi="Agency FB" w:cs="Agency FB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b w:val="0"/>
              <w:sz w:val="18"/>
            </w:rPr>
            <w:instrText>PAGE</w:instrTex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separate"/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end"/>
          </w:r>
        </w:p>
      </w:tc>
    </w:tr>
  </w:tbl>
  <w:p>
    <w:pPr>
      <w:rPr>
        <w:rFonts w:ascii="Agency FB" w:eastAsia="Agency FB" w:hAnsi="Agency FB" w:cs="Agency FB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gency FB" w:eastAsia="Agency FB" w:hAnsi="Agency FB" w:cs="Agency FB"/>
              <w:b w:val="0"/>
              <w:sz w:val="18"/>
            </w:rPr>
          </w:pPr>
          <w:r>
            <w:rPr>
              <w:rFonts w:ascii="Agency FB" w:eastAsia="Agency FB" w:hAnsi="Agency FB" w:cs="Agency FB"/>
              <w:b w:val="0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b w:val="0"/>
              <w:sz w:val="18"/>
            </w:rPr>
            <w:instrText>PAGE</w:instrText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separate"/>
          </w:r>
          <w:r>
            <w:rPr>
              <w:rFonts w:ascii="Agency FB" w:eastAsia="Agency FB" w:hAnsi="Agency FB" w:cs="Agency FB"/>
              <w:b w:val="0"/>
              <w:sz w:val="18"/>
            </w:rPr>
            <w:fldChar w:fldCharType="end"/>
          </w:r>
        </w:p>
      </w:tc>
    </w:tr>
  </w:tbl>
  <w:p>
    <w:pPr>
      <w:rPr>
        <w:rFonts w:ascii="Agency FB" w:eastAsia="Agency FB" w:hAnsi="Agency FB" w:cs="Agency FB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8E0"/>
    <w:multiLevelType w:val="hybrid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FC1D4D"/>
    <w:multiLevelType w:val="hybrid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0" w:hanging="360"/>
      </w:pPr>
    </w:lvl>
    <w:lvl w:ilvl="2">
      <w:start w:val="1"/>
      <w:numFmt w:val="lowerRoman"/>
      <w:lvlText w:val="%3."/>
      <w:lvlJc w:val="right"/>
      <w:pPr>
        <w:ind w:left="750" w:hanging="180"/>
      </w:pPr>
    </w:lvl>
    <w:lvl w:ilvl="3">
      <w:start w:val="1"/>
      <w:numFmt w:val="decimal"/>
      <w:lvlText w:val="%4."/>
      <w:lvlJc w:val="left"/>
      <w:pPr>
        <w:ind w:left="1470" w:hanging="360"/>
      </w:pPr>
    </w:lvl>
    <w:lvl w:ilvl="4">
      <w:start w:val="1"/>
      <w:numFmt w:val="lowerLetter"/>
      <w:lvlText w:val="%5."/>
      <w:lvlJc w:val="left"/>
      <w:pPr>
        <w:ind w:left="2190" w:hanging="360"/>
      </w:pPr>
    </w:lvl>
    <w:lvl w:ilvl="5">
      <w:start w:val="1"/>
      <w:numFmt w:val="lowerRoman"/>
      <w:lvlText w:val="%6."/>
      <w:lvlJc w:val="right"/>
      <w:pPr>
        <w:ind w:left="2910" w:hanging="180"/>
      </w:pPr>
    </w:lvl>
    <w:lvl w:ilvl="6">
      <w:start w:val="1"/>
      <w:numFmt w:val="decimal"/>
      <w:lvlText w:val="%7."/>
      <w:lvlJc w:val="left"/>
      <w:pPr>
        <w:ind w:left="3630" w:hanging="360"/>
      </w:pPr>
    </w:lvl>
    <w:lvl w:ilvl="7">
      <w:start w:val="1"/>
      <w:numFmt w:val="lowerLetter"/>
      <w:lvlText w:val="%8."/>
      <w:lvlJc w:val="left"/>
      <w:pPr>
        <w:ind w:left="4350" w:hanging="360"/>
      </w:pPr>
    </w:lvl>
    <w:lvl w:ilvl="8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2C284846"/>
    <w:multiLevelType w:val="hybrid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5549"/>
    <w:multiLevelType w:val="hybrid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E11959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4D17"/>
    <w:multiLevelType w:val="hybridMultilevel"/>
    <w:tmpl w:val="000000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85103"/>
    <w:multiLevelType w:val="hybridMultilevel"/>
    <w:tmpl w:val="00000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3375"/>
    <w:multiLevelType w:val="hybrid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0187"/>
    <w:multiLevelType w:val="hybridMultilevel"/>
    <w:tmpl w:val="00000000"/>
    <w:lvl w:ilvl="0">
      <w:start w:val="1"/>
      <w:numFmt w:val="bullet"/>
      <w:lvlText w:val="·"/>
      <w:lvlJc w:val="left"/>
      <w:pPr>
        <w:ind w:left="108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78907EAD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BE711CC"/>
    <w:multiLevelType w:val="hybridMultilevel"/>
    <w:tmpl w:val="00000000"/>
    <w:lvl w:ilvl="0">
      <w:start w:val="1"/>
      <w:numFmt w:val="bullet"/>
      <w:lvlText w:val="-"/>
      <w:lvlJc w:val="left"/>
      <w:pPr>
        <w:ind w:left="90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widowControl w:val="0"/>
      <w:tabs>
        <w:tab w:val="center" w:pos="4536"/>
        <w:tab w:val="right" w:pos="9072"/>
      </w:tabs>
      <w:jc w:val="left"/>
    </w:pPr>
    <w:rPr>
      <w:szCs w:val="20"/>
      <w:lang w:val="x-none" w:eastAsia="en-US" w:bidi="ar-SA"/>
    </w:rPr>
  </w:style>
  <w:style w:type="character" w:customStyle="1" w:styleId="markedcontent">
    <w:name w:val="markedcontent"/>
    <w:rPr>
      <w:color w:val="auto"/>
      <w:shd w:val="clear" w:color="auto" w:fill="auto"/>
    </w:rPr>
  </w:style>
  <w:style w:type="character" w:styleId="Strong">
    <w:name w:val="Strong"/>
    <w:rPr>
      <w:b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Gminnego Programu Przeciwdziałania Przemocy w^Rodzinie oraz^Ochrony Ofiar Przemocy w^Rodzinie na rok 2022.</dc:subject>
  <dc:creator>elukowicz</dc:creator>
  <cp:lastModifiedBy>elukowicz</cp:lastModifiedBy>
  <cp:revision>1</cp:revision>
  <dcterms:created xsi:type="dcterms:W3CDTF">2021-12-13T16:44:17Z</dcterms:created>
  <dcterms:modified xsi:type="dcterms:W3CDTF">2021-12-13T16:44:17Z</dcterms:modified>
  <cp:category>Akt prawny</cp:category>
</cp:coreProperties>
</file>