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40" w:rsidRDefault="00AE1240">
      <w:pPr>
        <w:ind w:left="7370"/>
        <w:jc w:val="left"/>
        <w:rPr>
          <w:b/>
          <w:i/>
          <w:sz w:val="20"/>
          <w:u w:val="thick"/>
        </w:rPr>
      </w:pPr>
      <w:bookmarkStart w:id="0" w:name="_GoBack"/>
      <w:bookmarkEnd w:id="0"/>
    </w:p>
    <w:p w:rsidR="00AE1240" w:rsidRDefault="00AE1240">
      <w:pPr>
        <w:ind w:left="7370"/>
        <w:jc w:val="left"/>
        <w:rPr>
          <w:b/>
          <w:i/>
          <w:sz w:val="20"/>
          <w:u w:val="thick"/>
        </w:rPr>
      </w:pPr>
    </w:p>
    <w:p w:rsidR="00AE1240" w:rsidRDefault="00AE1240">
      <w:pPr>
        <w:ind w:left="7370"/>
        <w:jc w:val="left"/>
        <w:rPr>
          <w:sz w:val="20"/>
        </w:rPr>
      </w:pPr>
      <w:r>
        <w:rPr>
          <w:sz w:val="20"/>
        </w:rPr>
        <w:t>Druk BRM Nr 25/2024</w:t>
      </w:r>
    </w:p>
    <w:p w:rsidR="00AE1240" w:rsidRDefault="00AE1240">
      <w:pPr>
        <w:ind w:left="7370"/>
        <w:jc w:val="left"/>
        <w:rPr>
          <w:sz w:val="20"/>
        </w:rPr>
      </w:pPr>
      <w:r>
        <w:rPr>
          <w:sz w:val="20"/>
        </w:rPr>
        <w:t xml:space="preserve">Projekt z dnia 12 marca 2024 r. </w:t>
      </w:r>
    </w:p>
    <w:p w:rsidR="00AE1240" w:rsidRDefault="00AE1240">
      <w:pPr>
        <w:ind w:left="7370"/>
        <w:jc w:val="left"/>
        <w:rPr>
          <w:sz w:val="20"/>
        </w:rPr>
      </w:pPr>
    </w:p>
    <w:p w:rsidR="00AE1240" w:rsidRDefault="00AE1240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E1240" w:rsidRDefault="00AE1240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E1240" w:rsidRDefault="00AE1240">
      <w:pPr>
        <w:keepNext/>
        <w:spacing w:after="480"/>
      </w:pPr>
      <w:r>
        <w:rPr>
          <w:b/>
        </w:rPr>
        <w:t>w sprawie nadania rondu nazwy adw. Piotra Kona.</w:t>
      </w:r>
    </w:p>
    <w:p w:rsidR="00AE1240" w:rsidRDefault="00AE1240">
      <w:pPr>
        <w:keepLines/>
        <w:spacing w:before="120" w:after="120"/>
        <w:ind w:firstLine="227"/>
        <w:jc w:val="both"/>
      </w:pPr>
      <w:r>
        <w:t>Na podstawie art. 18 ust. 2 pkt 13 ustawy z dnia 8 marca 1990 r. o samorządzie gminnym (Dz. U. z 2023 r. poz. 40, 572, 1463 i 1688) Rada Miejska w Łodzi</w:t>
      </w:r>
    </w:p>
    <w:p w:rsidR="00AE1240" w:rsidRDefault="00AE1240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E1240" w:rsidRDefault="00AE1240">
      <w:pPr>
        <w:keepLines/>
        <w:spacing w:before="120" w:after="120"/>
        <w:ind w:firstLine="340"/>
        <w:jc w:val="both"/>
      </w:pPr>
      <w:r>
        <w:t>§ 1. Rondu zlokalizowanemu na skrzyżowaniu ulic: Krakowskiej, Siewnej, Bronowej, Złotno, Cyganka na częściach działek ewidencyjnych o numerach: 261/1, 261/2, 261/3, 263/3 w obrębie P-6 oraz 473/39, 473/24 w obrębie P-5, nadaje się nazwę:</w:t>
      </w:r>
    </w:p>
    <w:p w:rsidR="00AE1240" w:rsidRDefault="00AE1240">
      <w:pPr>
        <w:spacing w:before="120" w:after="120"/>
        <w:rPr>
          <w:b/>
        </w:rPr>
      </w:pPr>
      <w:r>
        <w:rPr>
          <w:b/>
        </w:rPr>
        <w:t>adw. Piotra Kona.</w:t>
      </w:r>
    </w:p>
    <w:p w:rsidR="00AE1240" w:rsidRDefault="00AE1240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AE1240" w:rsidRDefault="00AE1240">
      <w:pPr>
        <w:keepNext/>
        <w:keepLines/>
        <w:spacing w:before="120" w:after="120"/>
        <w:ind w:firstLine="340"/>
        <w:jc w:val="both"/>
      </w:pPr>
      <w:r>
        <w:t>§ 3.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AE124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240" w:rsidRDefault="00AE124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240" w:rsidRDefault="00AE1240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E1240" w:rsidRDefault="00AE1240">
      <w:pPr>
        <w:spacing w:before="120" w:after="120"/>
        <w:ind w:left="283" w:firstLine="227"/>
        <w:jc w:val="both"/>
      </w:pPr>
      <w:r>
        <w:t>Projektodawcą jest:</w:t>
      </w:r>
    </w:p>
    <w:p w:rsidR="00AE1240" w:rsidRDefault="00AE1240">
      <w:pPr>
        <w:spacing w:before="120" w:after="120"/>
        <w:ind w:left="283" w:firstLine="227"/>
        <w:jc w:val="both"/>
      </w:pPr>
      <w:r>
        <w:t>Komisja Kultury</w:t>
      </w:r>
    </w:p>
    <w:p w:rsidR="00AE1240" w:rsidRDefault="00AE1240">
      <w:pPr>
        <w:spacing w:before="120" w:after="120"/>
        <w:ind w:left="283" w:firstLine="227"/>
        <w:jc w:val="both"/>
        <w:sectPr w:rsidR="00AE1240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Rady Miejskiej w Łodzi</w:t>
      </w:r>
    </w:p>
    <w:p w:rsidR="00AE1240" w:rsidRDefault="00AE1240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AE1240" w:rsidRDefault="00AE1240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AE1240" w:rsidRDefault="00AE1240">
      <w:pPr>
        <w:spacing w:line="360" w:lineRule="auto"/>
        <w:ind w:firstLine="709"/>
        <w:jc w:val="both"/>
        <w:rPr>
          <w:color w:val="000000"/>
          <w:sz w:val="32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 xml:space="preserve">Z wnioskiem o nadanie nazwy dla </w:t>
      </w:r>
      <w:r>
        <w:rPr>
          <w:color w:val="000000"/>
          <w:szCs w:val="20"/>
          <w:shd w:val="clear" w:color="auto" w:fill="FFFFFF"/>
          <w:lang w:eastAsia="en-US"/>
        </w:rPr>
        <w:t xml:space="preserve">ronda zlokalizowanego na skrzyżowaniu ulic: Krakowskiej, Siewnej, Bronowej, Złotno, Cyganka wystąpił </w:t>
      </w:r>
      <w:r>
        <w:rPr>
          <w:color w:val="000000"/>
          <w:szCs w:val="20"/>
          <w:shd w:val="clear" w:color="auto" w:fill="FFFFFF"/>
        </w:rPr>
        <w:t xml:space="preserve">mieszkaniec Łodzi. </w:t>
      </w:r>
    </w:p>
    <w:p w:rsidR="00AE1240" w:rsidRDefault="00AE1240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Zgodnie z art. 18 ust. 2 pkt 13 ustawy z dnia 8 marca 1990 r. o samorządzie gminnym podejmowanie uchwał w sprawach herbu gminy, nazw ulic i placów będących drogami publicznymi lub nazw dróg wewnętrznych w rozumieniu ustawy z dnia 21 marca 1985 r.</w:t>
      </w:r>
      <w:r>
        <w:rPr>
          <w:color w:val="000000"/>
          <w:szCs w:val="20"/>
          <w:shd w:val="clear" w:color="auto" w:fill="FFFFFF"/>
          <w:lang w:eastAsia="en-US"/>
        </w:rPr>
        <w:br/>
        <w:t>o drogach publicznych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eastAsia="en-US"/>
        </w:rPr>
        <w:t>a także wznoszenia pomników, należy do wyłącznej właściwości rady gminy.</w:t>
      </w:r>
    </w:p>
    <w:p w:rsidR="00AE1240" w:rsidRDefault="00AE1240">
      <w:pPr>
        <w:spacing w:line="360" w:lineRule="auto"/>
        <w:ind w:firstLine="709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Piotr Kon (ur. </w:t>
      </w:r>
      <w:hyperlink r:id="rId7" w:tooltip="22 kwietnia" w:history="1">
        <w:r>
          <w:rPr>
            <w:color w:val="000000"/>
            <w:szCs w:val="20"/>
            <w:shd w:val="clear" w:color="auto" w:fill="FFFFFF"/>
            <w:lang w:eastAsia="en-US"/>
          </w:rPr>
          <w:t>22 kwietnia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hyperlink r:id="rId8" w:tooltip="1865" w:history="1">
        <w:r>
          <w:rPr>
            <w:color w:val="000000"/>
            <w:szCs w:val="20"/>
            <w:shd w:val="clear" w:color="auto" w:fill="FFFFFF"/>
            <w:lang w:eastAsia="en-US"/>
          </w:rPr>
          <w:t>1865</w:t>
        </w:r>
      </w:hyperlink>
      <w:r>
        <w:rPr>
          <w:color w:val="000000"/>
          <w:szCs w:val="20"/>
          <w:shd w:val="clear" w:color="auto" w:fill="FFFFFF"/>
        </w:rPr>
        <w:t xml:space="preserve"> r. </w:t>
      </w:r>
      <w:r>
        <w:rPr>
          <w:color w:val="000000"/>
          <w:szCs w:val="20"/>
          <w:shd w:val="clear" w:color="auto" w:fill="FFFFFF"/>
          <w:lang w:eastAsia="en-US"/>
        </w:rPr>
        <w:t xml:space="preserve"> w </w:t>
      </w:r>
      <w:hyperlink r:id="rId9" w:tooltip="Warszawa" w:history="1">
        <w:r>
          <w:rPr>
            <w:color w:val="000000"/>
            <w:szCs w:val="20"/>
            <w:shd w:val="clear" w:color="auto" w:fill="FFFFFF"/>
            <w:lang w:eastAsia="en-US"/>
          </w:rPr>
          <w:t>Warszawie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zm. </w:t>
      </w:r>
      <w:hyperlink r:id="rId10" w:tooltip="22 lutego" w:history="1">
        <w:r>
          <w:rPr>
            <w:color w:val="000000"/>
            <w:szCs w:val="20"/>
            <w:shd w:val="clear" w:color="auto" w:fill="FFFFFF"/>
            <w:lang w:eastAsia="en-US"/>
          </w:rPr>
          <w:t>22 lutego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hyperlink r:id="rId11" w:tooltip="1937" w:history="1">
        <w:r>
          <w:rPr>
            <w:color w:val="000000"/>
            <w:szCs w:val="20"/>
            <w:shd w:val="clear" w:color="auto" w:fill="FFFFFF"/>
            <w:lang w:eastAsia="en-US"/>
          </w:rPr>
          <w:t>1937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r. </w:t>
      </w:r>
      <w:r>
        <w:rPr>
          <w:color w:val="000000"/>
          <w:szCs w:val="20"/>
          <w:shd w:val="clear" w:color="auto" w:fill="FFFFFF"/>
          <w:lang w:eastAsia="en-US"/>
        </w:rPr>
        <w:t xml:space="preserve">w </w:t>
      </w:r>
      <w:hyperlink r:id="rId12" w:tooltip="Łódź" w:history="1">
        <w:r>
          <w:rPr>
            <w:color w:val="000000"/>
            <w:szCs w:val="20"/>
            <w:shd w:val="clear" w:color="auto" w:fill="FFFFFF"/>
            <w:lang w:eastAsia="en-US"/>
          </w:rPr>
          <w:t>Łodzi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) – </w:t>
      </w:r>
      <w:hyperlink r:id="rId13" w:tooltip="Adwokat" w:history="1">
        <w:r>
          <w:rPr>
            <w:color w:val="000000"/>
            <w:szCs w:val="20"/>
            <w:shd w:val="clear" w:color="auto" w:fill="FFFFFF"/>
            <w:lang w:eastAsia="en-US"/>
          </w:rPr>
          <w:t>adwokat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pochodzenia żydowskiego, obrońca w procesach działaczy ruchu robotniczego na ziemiach polskich </w:t>
      </w:r>
      <w:hyperlink r:id="rId14" w:tooltip="Królestwo Polskie (kongresowe)" w:history="1">
        <w:r>
          <w:rPr>
            <w:color w:val="000000"/>
            <w:szCs w:val="20"/>
            <w:shd w:val="clear" w:color="auto" w:fill="FFFFFF"/>
            <w:lang w:eastAsia="en-US"/>
          </w:rPr>
          <w:t>zaboru rosyjskiego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; działacz </w:t>
      </w:r>
      <w:hyperlink r:id="rId15" w:tooltip="Organizacja Radykalnej Inteligencji &quot;Wolność&quot;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Organizacji Radykalnej Inteligencji „Wolność”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w Łodzi</w:t>
      </w:r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  <w:lang w:eastAsia="en-US"/>
        </w:rPr>
        <w:t>W dziejach łódzkiej palestry uznawany za jednego z jej najwartościowszych przedstawicieli.</w:t>
      </w:r>
    </w:p>
    <w:p w:rsidR="00AE1240" w:rsidRDefault="00AE1240">
      <w:pPr>
        <w:spacing w:line="360" w:lineRule="auto"/>
        <w:ind w:firstLine="709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W procesach sądowych był obrońcą robotników oskarżonych o działalność polityczną, m.in. uczestników </w:t>
      </w:r>
      <w:hyperlink r:id="rId16" w:tooltip="Bunt łódzki" w:history="1">
        <w:r>
          <w:rPr>
            <w:color w:val="000000"/>
            <w:szCs w:val="20"/>
            <w:shd w:val="clear" w:color="auto" w:fill="FFFFFF"/>
            <w:lang w:eastAsia="en-US"/>
          </w:rPr>
          <w:t>buntu tkaczy łódzkich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w 1892 roku. Szczyt działalności Kona przypadł na lata 1905–1909, kiedy to bronił m.in. zabójców łódzkiego przemysłowca </w:t>
      </w:r>
      <w:hyperlink r:id="rId17" w:tooltip="Mieczysław Silberstein" w:history="1">
        <w:r>
          <w:rPr>
            <w:color w:val="000000"/>
            <w:szCs w:val="20"/>
            <w:shd w:val="clear" w:color="auto" w:fill="FFFFFF"/>
            <w:lang w:eastAsia="en-US"/>
          </w:rPr>
          <w:t>Mieczysława Silbersteina</w:t>
        </w:r>
      </w:hyperlink>
      <w:r>
        <w:rPr>
          <w:color w:val="000000"/>
          <w:szCs w:val="20"/>
          <w:shd w:val="clear" w:color="auto" w:fill="FFFFFF"/>
          <w:vertAlign w:val="superscript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  <w:vertAlign w:val="superscript"/>
        </w:rPr>
        <w:t xml:space="preserve">                             </w:t>
      </w:r>
      <w:r>
        <w:rPr>
          <w:color w:val="000000"/>
          <w:szCs w:val="20"/>
          <w:shd w:val="clear" w:color="auto" w:fill="FFFFFF"/>
          <w:lang w:eastAsia="en-US"/>
        </w:rPr>
        <w:t xml:space="preserve">(bez powodzenia, orzeczono karę śmierci) oraz oskarżonych o agitację                                   </w:t>
      </w:r>
      <w:r>
        <w:rPr>
          <w:color w:val="000000"/>
          <w:szCs w:val="20"/>
          <w:shd w:val="clear" w:color="auto" w:fill="FFFFFF"/>
        </w:rPr>
        <w:t xml:space="preserve">                               </w:t>
      </w:r>
      <w:r>
        <w:rPr>
          <w:color w:val="000000"/>
          <w:szCs w:val="20"/>
          <w:shd w:val="clear" w:color="auto" w:fill="FFFFFF"/>
          <w:lang w:eastAsia="en-US"/>
        </w:rPr>
        <w:t xml:space="preserve"> i przechowywanie nielegalnej literatury, </w:t>
      </w:r>
      <w:hyperlink r:id="rId18" w:tooltip="Jakub Frontczak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Jakuba Frontczaka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, </w:t>
      </w:r>
      <w:hyperlink r:id="rId19" w:tooltip="Maria Kakszta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Marii Kakszty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i </w:t>
      </w:r>
      <w:hyperlink r:id="rId20" w:tooltip="Bencjan Gorochow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Bencjana Gorochowa</w:t>
        </w:r>
      </w:hyperlink>
      <w:r>
        <w:rPr>
          <w:color w:val="000000"/>
          <w:szCs w:val="20"/>
          <w:shd w:val="clear" w:color="auto" w:fill="FFFFFF"/>
          <w:lang w:eastAsia="en-US"/>
        </w:rPr>
        <w:t>. Doprowadził do zakończenia lokautu w łódzkim przemyśle włókienniczym.</w:t>
      </w:r>
    </w:p>
    <w:p w:rsidR="00AE1240" w:rsidRDefault="00AE1240">
      <w:pPr>
        <w:spacing w:line="360" w:lineRule="auto"/>
        <w:ind w:firstLine="709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Po odzyskaniu przez Polskę niepodległości w 1918 r. został członkiem honorowym </w:t>
      </w:r>
      <w:hyperlink r:id="rId21" w:tooltip="Stowarzyszenie byłych Więźniów Politycznych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Stowarzyszenia byłych Więźniów Politycznych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, odznaczono go również </w:t>
      </w:r>
      <w:hyperlink r:id="rId22" w:tooltip="Order Odrodzenia Polski" w:history="1">
        <w:r>
          <w:rPr>
            <w:color w:val="000000"/>
            <w:szCs w:val="20"/>
            <w:shd w:val="clear" w:color="auto" w:fill="FFFFFF"/>
            <w:lang w:eastAsia="en-US"/>
          </w:rPr>
          <w:t>Orderem Odrodzenia Polski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i </w:t>
      </w:r>
      <w:hyperlink r:id="rId23" w:tooltip="Krzyż i Medal Niepodległości" w:history="1">
        <w:r>
          <w:rPr>
            <w:color w:val="000000"/>
            <w:szCs w:val="20"/>
            <w:shd w:val="clear" w:color="auto" w:fill="FFFFFF"/>
            <w:lang w:eastAsia="en-US"/>
          </w:rPr>
          <w:t>Krzyżem Niepodległości</w:t>
        </w:r>
      </w:hyperlink>
      <w:r>
        <w:rPr>
          <w:color w:val="000000"/>
          <w:szCs w:val="20"/>
          <w:shd w:val="clear" w:color="auto" w:fill="FFFFFF"/>
          <w:lang w:eastAsia="en-US"/>
        </w:rPr>
        <w:t>.</w:t>
      </w:r>
    </w:p>
    <w:p w:rsidR="00AE1240" w:rsidRDefault="00AE1240">
      <w:pPr>
        <w:spacing w:line="360" w:lineRule="auto"/>
        <w:ind w:firstLine="709"/>
        <w:jc w:val="both"/>
        <w:rPr>
          <w:color w:val="000000"/>
          <w:szCs w:val="20"/>
          <w:shd w:val="clear" w:color="auto" w:fill="FFFFFF"/>
          <w:vertAlign w:val="superscript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Był obrońcą kupców łódzkich: </w:t>
      </w:r>
      <w:hyperlink r:id="rId24" w:tooltip="Lewenson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Lewensona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, </w:t>
      </w:r>
      <w:hyperlink r:id="rId25" w:tooltip="Solomon Wojdysławski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Solomona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i </w:t>
      </w:r>
      <w:hyperlink r:id="rId26" w:tooltip="Abram Wojdysławski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Abrama Wojdysławskich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oraz ich współpracowników: </w:t>
      </w:r>
      <w:hyperlink r:id="rId27" w:tooltip="Szmul Ptasznik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Szmula Ptasznika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, </w:t>
      </w:r>
      <w:hyperlink r:id="rId28" w:tooltip="Estera Ptasznik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Estery Ptasznik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, </w:t>
      </w:r>
      <w:hyperlink r:id="rId29" w:tooltip="Blat Spinman (strona nie istnieje)" w:history="1">
        <w:r>
          <w:rPr>
            <w:color w:val="000000"/>
            <w:szCs w:val="20"/>
            <w:shd w:val="clear" w:color="auto" w:fill="FFFFFF"/>
            <w:lang w:eastAsia="en-US"/>
          </w:rPr>
          <w:t>Blata Spinmana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w procesie                              o podpalenie składu przędzy (wydarzenie z dnia 15 stycznia 1926 r</w:t>
      </w:r>
      <w:r>
        <w:rPr>
          <w:color w:val="000000"/>
          <w:szCs w:val="20"/>
          <w:shd w:val="clear" w:color="auto" w:fill="FFFFFF"/>
        </w:rPr>
        <w:t xml:space="preserve">.). </w:t>
      </w:r>
    </w:p>
    <w:p w:rsidR="00AE1240" w:rsidRDefault="00AE1240">
      <w:pPr>
        <w:spacing w:line="360" w:lineRule="auto"/>
        <w:ind w:firstLine="709"/>
        <w:jc w:val="both"/>
        <w:rPr>
          <w:b/>
          <w:color w:val="000000"/>
          <w:sz w:val="40"/>
          <w:szCs w:val="20"/>
          <w:lang w:eastAsia="en-US"/>
        </w:rPr>
      </w:pPr>
      <w:r>
        <w:rPr>
          <w:b/>
          <w:color w:val="000000"/>
          <w:sz w:val="40"/>
          <w:szCs w:val="20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  <w:lang w:eastAsia="en-US"/>
        </w:rPr>
        <w:t xml:space="preserve">Pochowany został w części </w:t>
      </w:r>
      <w:hyperlink r:id="rId30" w:tooltip="Cmentarz ewangelicko-augsburski przy ulicy Ogrodowej w Łodzi" w:history="1">
        <w:r>
          <w:rPr>
            <w:color w:val="000000"/>
            <w:szCs w:val="20"/>
            <w:shd w:val="clear" w:color="auto" w:fill="FFFFFF"/>
            <w:lang w:eastAsia="en-US"/>
          </w:rPr>
          <w:t>ewangelicko-augsburskiej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hyperlink r:id="rId31" w:tooltip="Stary Cmentarz w Łodzi" w:history="1">
        <w:r>
          <w:rPr>
            <w:color w:val="000000"/>
            <w:szCs w:val="20"/>
            <w:shd w:val="clear" w:color="auto" w:fill="FFFFFF"/>
            <w:lang w:eastAsia="en-US"/>
          </w:rPr>
          <w:t>Starego Cmentarza w Łodzi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.                  W uroczystości pogrzebowej wzięli udział m.in. przedstawiciele władz wojewódzkich, samorządowych, </w:t>
      </w:r>
      <w:hyperlink r:id="rId32" w:tooltip="Wojsko Polskie (II RP)" w:history="1">
        <w:r>
          <w:rPr>
            <w:color w:val="000000"/>
            <w:szCs w:val="20"/>
            <w:shd w:val="clear" w:color="auto" w:fill="FFFFFF"/>
            <w:lang w:eastAsia="en-US"/>
          </w:rPr>
          <w:t>Wojska Polskiego</w:t>
        </w:r>
      </w:hyperlink>
      <w:r>
        <w:rPr>
          <w:color w:val="000000"/>
          <w:szCs w:val="20"/>
          <w:shd w:val="clear" w:color="auto" w:fill="FFFFFF"/>
          <w:lang w:eastAsia="en-US"/>
        </w:rPr>
        <w:t xml:space="preserve"> oraz </w:t>
      </w:r>
      <w:hyperlink r:id="rId33" w:tooltip="Naczelna Rada Adwokacka" w:history="1">
        <w:r>
          <w:rPr>
            <w:color w:val="000000"/>
            <w:szCs w:val="20"/>
            <w:shd w:val="clear" w:color="auto" w:fill="FFFFFF"/>
            <w:lang w:eastAsia="en-US"/>
          </w:rPr>
          <w:t>Naczelnej Rady Adwokackiej</w:t>
        </w:r>
      </w:hyperlink>
      <w:r>
        <w:rPr>
          <w:color w:val="000000"/>
          <w:szCs w:val="20"/>
          <w:shd w:val="clear" w:color="auto" w:fill="FFFFFF"/>
          <w:lang w:eastAsia="en-US"/>
        </w:rPr>
        <w:t>.</w:t>
      </w:r>
    </w:p>
    <w:p w:rsidR="00AE1240" w:rsidRDefault="00AE1240">
      <w:pPr>
        <w:spacing w:line="360" w:lineRule="auto"/>
        <w:ind w:firstLine="709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Mapa, opis graficzny ronda, o którym mowa w projekcie uchwały stanowi załącznik do niniejszego projektu uchwały. </w:t>
      </w:r>
    </w:p>
    <w:p w:rsidR="00AE1240" w:rsidRDefault="00AE1240">
      <w:pPr>
        <w:spacing w:line="360" w:lineRule="auto"/>
        <w:ind w:firstLine="851"/>
        <w:jc w:val="both"/>
        <w:rPr>
          <w:color w:val="000000"/>
          <w:szCs w:val="20"/>
          <w:shd w:val="clear" w:color="auto" w:fill="FFFFFF"/>
        </w:rPr>
      </w:pPr>
    </w:p>
    <w:p w:rsidR="00AE1240" w:rsidRDefault="00AE1240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AE1240" w:rsidRDefault="00AE1240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AE1240" w:rsidRDefault="00AE1240">
      <w:pPr>
        <w:jc w:val="left"/>
        <w:rPr>
          <w:noProof/>
          <w:color w:val="000000"/>
          <w:szCs w:val="20"/>
          <w:shd w:val="clear" w:color="auto" w:fill="FFFFFF"/>
          <w:lang w:eastAsia="en-US"/>
        </w:rPr>
      </w:pPr>
    </w:p>
    <w:p w:rsidR="00AE1240" w:rsidRDefault="00C039B0">
      <w:pPr>
        <w:jc w:val="left"/>
        <w:rPr>
          <w:color w:val="000000"/>
          <w:szCs w:val="20"/>
          <w:shd w:val="clear" w:color="auto" w:fill="FFFFFF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334000" cy="921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40" w:rsidRDefault="00AE1240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/>
        </w:rPr>
      </w:pPr>
    </w:p>
    <w:sectPr w:rsidR="00AE1240" w:rsidSect="00A06216">
      <w:footerReference w:type="default" r:id="rId35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3A" w:rsidRDefault="00F5633A" w:rsidP="00A06216">
      <w:r>
        <w:separator/>
      </w:r>
    </w:p>
  </w:endnote>
  <w:endnote w:type="continuationSeparator" w:id="0">
    <w:p w:rsidR="00F5633A" w:rsidRDefault="00F5633A" w:rsidP="00A0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48"/>
      <w:gridCol w:w="3024"/>
    </w:tblGrid>
    <w:tr w:rsidR="00AE1240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E1240" w:rsidRDefault="00AE1240">
          <w:pPr>
            <w:jc w:val="left"/>
            <w:rPr>
              <w:sz w:val="18"/>
            </w:rPr>
          </w:pPr>
          <w:r w:rsidRPr="005239FA">
            <w:rPr>
              <w:sz w:val="18"/>
              <w:lang w:val="en-US"/>
            </w:rPr>
            <w:t>Id: 7DBABE39-CD6C-40FC-99A5-59FC13D9EB26. </w:t>
          </w: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E1240" w:rsidRDefault="00AE12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E1240" w:rsidRDefault="00AE124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03"/>
      <w:gridCol w:w="3202"/>
    </w:tblGrid>
    <w:tr w:rsidR="00AE1240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E1240" w:rsidRDefault="00AE1240">
          <w:pPr>
            <w:jc w:val="left"/>
            <w:rPr>
              <w:sz w:val="18"/>
            </w:rPr>
          </w:pPr>
          <w:r w:rsidRPr="005239FA">
            <w:rPr>
              <w:sz w:val="18"/>
              <w:lang w:val="en-US"/>
            </w:rPr>
            <w:t>Id: 7DBABE39-CD6C-40FC-99A5-59FC13D9EB26.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E1240" w:rsidRDefault="00AE12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E1240" w:rsidRDefault="00AE12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3A" w:rsidRDefault="00F5633A" w:rsidP="00A06216">
      <w:r>
        <w:separator/>
      </w:r>
    </w:p>
  </w:footnote>
  <w:footnote w:type="continuationSeparator" w:id="0">
    <w:p w:rsidR="00F5633A" w:rsidRDefault="00F5633A" w:rsidP="00A0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C417E"/>
    <w:rsid w:val="005239FA"/>
    <w:rsid w:val="00A06216"/>
    <w:rsid w:val="00A45DD4"/>
    <w:rsid w:val="00A77B3E"/>
    <w:rsid w:val="00AE1240"/>
    <w:rsid w:val="00B40175"/>
    <w:rsid w:val="00C039B0"/>
    <w:rsid w:val="00CA2A55"/>
    <w:rsid w:val="00F5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3E9C6-E322-4028-B3A0-D765B79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216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06216"/>
    <w:rPr>
      <w:rFonts w:cs="Times New Roman"/>
      <w:b/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Adwokat" TargetMode="External"/><Relationship Id="rId18" Type="http://schemas.openxmlformats.org/officeDocument/2006/relationships/hyperlink" Target="https://pl.wikipedia.org/w/index.php?title=Jakub_Frontczak&amp;action=edit&amp;redlink=1" TargetMode="External"/><Relationship Id="rId26" Type="http://schemas.openxmlformats.org/officeDocument/2006/relationships/hyperlink" Target="https://pl.wikipedia.org/w/index.php?title=Abram_Wojdys%C5%82awski&amp;action=edit&amp;redlink=1" TargetMode="External"/><Relationship Id="rId21" Type="http://schemas.openxmlformats.org/officeDocument/2006/relationships/hyperlink" Target="https://pl.wikipedia.org/w/index.php?title=Stowarzyszenie_by%C5%82ych_Wi%C4%99%C5%BAni%C3%B3w_Politycznych&amp;action=edit&amp;redlink=1" TargetMode="External"/><Relationship Id="rId34" Type="http://schemas.openxmlformats.org/officeDocument/2006/relationships/image" Target="media/image1.png"/><Relationship Id="rId7" Type="http://schemas.openxmlformats.org/officeDocument/2006/relationships/hyperlink" Target="https://pl.wikipedia.org/wiki/22_kwietnia" TargetMode="External"/><Relationship Id="rId12" Type="http://schemas.openxmlformats.org/officeDocument/2006/relationships/hyperlink" Target="https://pl.wikipedia.org/wiki/%C5%81%C3%B3d%C5%BA" TargetMode="External"/><Relationship Id="rId17" Type="http://schemas.openxmlformats.org/officeDocument/2006/relationships/hyperlink" Target="https://pl.wikipedia.org/wiki/Mieczys%C5%82aw_Silberstein" TargetMode="External"/><Relationship Id="rId25" Type="http://schemas.openxmlformats.org/officeDocument/2006/relationships/hyperlink" Target="https://pl.wikipedia.org/w/index.php?title=Solomon_Wojdys%C5%82awski&amp;action=edit&amp;redlink=1" TargetMode="External"/><Relationship Id="rId33" Type="http://schemas.openxmlformats.org/officeDocument/2006/relationships/hyperlink" Target="https://pl.wikipedia.org/wiki/Naczelna_Rada_Adwokac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Bunt_%C5%82%C3%B3dzki" TargetMode="External"/><Relationship Id="rId20" Type="http://schemas.openxmlformats.org/officeDocument/2006/relationships/hyperlink" Target="https://pl.wikipedia.org/w/index.php?title=Bencjan_Gorochow&amp;action=edit&amp;redlink=1" TargetMode="External"/><Relationship Id="rId29" Type="http://schemas.openxmlformats.org/officeDocument/2006/relationships/hyperlink" Target="https://pl.wikipedia.org/w/index.php?title=Blat_Spinman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pl.wikipedia.org/wiki/1937" TargetMode="External"/><Relationship Id="rId24" Type="http://schemas.openxmlformats.org/officeDocument/2006/relationships/hyperlink" Target="https://pl.wikipedia.org/w/index.php?title=Lewenson&amp;action=edit&amp;redlink=1" TargetMode="External"/><Relationship Id="rId32" Type="http://schemas.openxmlformats.org/officeDocument/2006/relationships/hyperlink" Target="https://pl.wikipedia.org/wiki/Wojsko_Polskie_(II_RP)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l.wikipedia.org/w/index.php?title=Organizacja_Radykalnej_Inteligencji_%22Wolno%C5%9B%C4%87%22&amp;action=edit&amp;redlink=1" TargetMode="External"/><Relationship Id="rId23" Type="http://schemas.openxmlformats.org/officeDocument/2006/relationships/hyperlink" Target="https://pl.wikipedia.org/wiki/Krzy%C5%BC_i_Medal_Niepodleg%C5%82o%C5%9Bci" TargetMode="External"/><Relationship Id="rId28" Type="http://schemas.openxmlformats.org/officeDocument/2006/relationships/hyperlink" Target="https://pl.wikipedia.org/w/index.php?title=Estera_Ptasznik&amp;action=edit&amp;redlink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.wikipedia.org/wiki/22_lutego" TargetMode="External"/><Relationship Id="rId19" Type="http://schemas.openxmlformats.org/officeDocument/2006/relationships/hyperlink" Target="https://pl.wikipedia.org/w/index.php?title=Maria_Kakszta&amp;action=edit&amp;redlink=1" TargetMode="External"/><Relationship Id="rId31" Type="http://schemas.openxmlformats.org/officeDocument/2006/relationships/hyperlink" Target="https://pl.wikipedia.org/wiki/Stary_Cmentarz_w_%C5%81odz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Warszawa" TargetMode="External"/><Relationship Id="rId14" Type="http://schemas.openxmlformats.org/officeDocument/2006/relationships/hyperlink" Target="https://pl.wikipedia.org/wiki/Kr%C3%B3lestwo_Polskie_(kongresowe)" TargetMode="External"/><Relationship Id="rId22" Type="http://schemas.openxmlformats.org/officeDocument/2006/relationships/hyperlink" Target="https://pl.wikipedia.org/wiki/Order_Odrodzenia_Polski" TargetMode="External"/><Relationship Id="rId27" Type="http://schemas.openxmlformats.org/officeDocument/2006/relationships/hyperlink" Target="https://pl.wikipedia.org/w/index.php?title=Szmul_Ptasznik&amp;action=edit&amp;redlink=1" TargetMode="External"/><Relationship Id="rId30" Type="http://schemas.openxmlformats.org/officeDocument/2006/relationships/hyperlink" Target="https://pl.wikipedia.org/wiki/Cmentarz_ewangelicko-augsburski_przy_ulicy_Ogrodowej_w_%C5%81odzi" TargetMode="External"/><Relationship Id="rId35" Type="http://schemas.openxmlformats.org/officeDocument/2006/relationships/footer" Target="footer2.xml"/><Relationship Id="rId8" Type="http://schemas.openxmlformats.org/officeDocument/2006/relationships/hyperlink" Target="https://pl.wikipedia.org/wiki/186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29 stycznia 2024 r.</vt:lpstr>
    </vt:vector>
  </TitlesOfParts>
  <Company>Rada Miejska w Łodzi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stycznia 2024 r.</dc:title>
  <dc:subject>w sprawie nadania rondu nazwy adw. Piotra Kona.</dc:subject>
  <dc:creator>moolejniczak</dc:creator>
  <cp:keywords/>
  <dc:description/>
  <cp:lastModifiedBy>Małgorzata Wójcik</cp:lastModifiedBy>
  <cp:revision>2</cp:revision>
  <dcterms:created xsi:type="dcterms:W3CDTF">2024-03-12T14:27:00Z</dcterms:created>
  <dcterms:modified xsi:type="dcterms:W3CDTF">2024-03-12T14:27:00Z</dcterms:modified>
  <cp:category>Akt prawny</cp:category>
</cp:coreProperties>
</file>