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E2" w:rsidRDefault="00AA5F35">
      <w:pPr>
        <w:spacing w:line="240" w:lineRule="auto"/>
        <w:ind w:left="566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Druk nr</w:t>
      </w:r>
      <w:r w:rsidR="00657A1F">
        <w:rPr>
          <w:rFonts w:ascii="Times New Roman" w:eastAsia="Times New Roman" w:hAnsi="Times New Roman" w:cs="Times New Roman"/>
          <w:b/>
          <w:sz w:val="24"/>
          <w:szCs w:val="24"/>
        </w:rPr>
        <w:t xml:space="preserve"> BRM</w:t>
      </w:r>
      <w:bookmarkStart w:id="0" w:name="_GoBack"/>
      <w:bookmarkEnd w:id="0"/>
      <w:r w:rsidR="00657A1F">
        <w:rPr>
          <w:rFonts w:ascii="Times New Roman" w:eastAsia="Times New Roman" w:hAnsi="Times New Roman" w:cs="Times New Roman"/>
          <w:b/>
          <w:sz w:val="24"/>
          <w:szCs w:val="24"/>
        </w:rPr>
        <w:t xml:space="preserve"> nr 48/2024</w:t>
      </w:r>
    </w:p>
    <w:p w:rsidR="004603E2" w:rsidRDefault="00AA5F35">
      <w:pPr>
        <w:spacing w:line="240" w:lineRule="auto"/>
        <w:ind w:left="566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z dnia 15.01.2024</w:t>
      </w:r>
    </w:p>
    <w:p w:rsidR="004603E2" w:rsidRDefault="004603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AA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UCHWAŁA NR</w:t>
      </w:r>
    </w:p>
    <w:p w:rsidR="004603E2" w:rsidRDefault="00AA5F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MIEJSKIEJ W ŁODZI</w:t>
      </w:r>
    </w:p>
    <w:p w:rsidR="004603E2" w:rsidRDefault="00AA5F35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3E2" w:rsidRDefault="00AA5F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zmieniająca uchwałę nr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LXX/2108/22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Rady Miejskiej w Łodzi z dnia 21 grudnia 2022 r. w sprawie przyjęcia Wieloletniego programu gospodarowania mieszkaniowym zasobem Miasta Łodzi na lata 2023-2030.</w:t>
      </w: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AA5F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 15 i art. 40 ust. 1 ustawy z dnia 8 marca 1990 r. o samorządz</w:t>
      </w:r>
      <w:r>
        <w:rPr>
          <w:rFonts w:ascii="Times New Roman" w:eastAsia="Times New Roman" w:hAnsi="Times New Roman" w:cs="Times New Roman"/>
          <w:sz w:val="24"/>
          <w:szCs w:val="24"/>
        </w:rPr>
        <w:t>ie gminnym (Dz. U. z 2023 r. poz. 40, 572, 1463, 1688) oraz art. 21 ust. 1 pkt 1 i ust. 2 ustawy z dnia 21 czerwca 2001 r. o ochronie praw lokatorów, mieszkaniowym zasobie gminy i o zmianie Kodeksu cywilnego (Dz. U. z 2023 r. poz. 725), Rada Miejska w Łodz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4603E2" w:rsidRDefault="00AA5F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603E2" w:rsidRDefault="00AA5F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 Wieloletnim programie gospodarowania mieszkaniowym zasobem Miasta Łodzi na lata 2023-2030, stanowiącym załącznik do uchwały Nr LXX/2108/22 Rady Miejskiej w Łodzi z dnia 21 grudnia 2022 r. w sprawie przyjęcia Wieloletniego programu gospodarowania mieszkan</w:t>
      </w:r>
      <w:r>
        <w:rPr>
          <w:rFonts w:ascii="Times New Roman" w:eastAsia="Times New Roman" w:hAnsi="Times New Roman" w:cs="Times New Roman"/>
          <w:sz w:val="24"/>
          <w:szCs w:val="24"/>
        </w:rPr>
        <w:t>iowym zasobem Miasta Łodzi na lata 2023-2030 (Dz. Urz. Woj. Łódzkiego poz. 270), wprowadza się następujące zmiany:</w:t>
      </w:r>
    </w:p>
    <w:p w:rsidR="004603E2" w:rsidRDefault="00AA5F35">
      <w:pPr>
        <w:tabs>
          <w:tab w:val="left" w:pos="709"/>
          <w:tab w:val="left" w:pos="0"/>
          <w:tab w:val="left" w:pos="1080"/>
          <w:tab w:val="left" w:pos="1440"/>
        </w:tabs>
        <w:spacing w:before="120" w:after="120" w:line="240" w:lineRule="auto"/>
        <w:ind w:left="4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 § 8 ust. 1 i 2 otrzymują brzmienie:</w:t>
      </w:r>
    </w:p>
    <w:p w:rsidR="004603E2" w:rsidRDefault="00AA5F35">
      <w:pPr>
        <w:keepLine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“1. Ustala się następujące czynniki obniżające stawkę bazową czynszu:</w:t>
      </w: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91"/>
        <w:gridCol w:w="3412"/>
        <w:gridCol w:w="2269"/>
      </w:tblGrid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Obniżki techniczno-użytkowe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obniżki</w:t>
            </w:r>
          </w:p>
        </w:tc>
      </w:tr>
      <w:tr w:rsidR="004603E2">
        <w:trPr>
          <w:cantSplit/>
          <w:trHeight w:val="26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bez wydzielonego w.c., przy czym: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w.c. znajduje się w budynku niezależnie od kondygnacji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4603E2">
        <w:trPr>
          <w:cantSplit/>
          <w:trHeight w:val="26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4603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4603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w.c. znajduje się poza budynkiem (wspólne lub indywidualne)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bez łazienki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bez centralnego ogrzewania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bez gazu przewodowego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bez urządzeń wodociągowo-kanalizacyjnych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w budynku wyłączonym z eksploatacji z uwagi na zły stan techniczny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wyłączony z eksploatacji z uwagi na zły stan techniczny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603E2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usytuowany poza strefą centralną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usytuowany powyżej 3 piętra w budynku bez windy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lokal mieszkalny ze wspólną używalnością kuchni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lokal mieszkalny usytuowany w suterenie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 zawilgocony, zagrzybiony lub zawilgocony i zagrzybiony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 mieszkalny, w którym ze względu na zły stan techniczny podstemplowano stropy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603E2">
        <w:trPr>
          <w:trHeight w:val="2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2" w:rsidRDefault="00A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piwnicy lub pomieszczenia gospodarczego w przypadku ogrzewania lokalu piecem na paliwa stałe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3E2" w:rsidRDefault="00AA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4603E2" w:rsidRDefault="004603E2">
      <w:pPr>
        <w:tabs>
          <w:tab w:val="left" w:pos="709"/>
          <w:tab w:val="left" w:pos="0"/>
          <w:tab w:val="left" w:pos="1080"/>
          <w:tab w:val="left" w:pos="14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E2" w:rsidRDefault="00AA5F35">
      <w:pPr>
        <w:tabs>
          <w:tab w:val="left" w:pos="709"/>
          <w:tab w:val="left" w:pos="0"/>
          <w:tab w:val="left" w:pos="1080"/>
          <w:tab w:val="left" w:pos="1440"/>
        </w:tabs>
        <w:spacing w:before="120" w:after="120" w:line="276" w:lineRule="auto"/>
        <w:ind w:left="34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Suma wszystkich zniżek, o których mowa w ust. 1, stosowanych przy ustalaniu stawki czynszu łącznie z obniżką czynszu, o której mowa w § 10 ust. 2 nie może przekroczyć 70% stawki bazowej czynszu najmu.”</w:t>
      </w:r>
    </w:p>
    <w:p w:rsidR="004603E2" w:rsidRDefault="00AA5F35">
      <w:pPr>
        <w:tabs>
          <w:tab w:val="left" w:pos="709"/>
          <w:tab w:val="left" w:pos="0"/>
          <w:tab w:val="left" w:pos="1080"/>
          <w:tab w:val="left" w:pos="144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Wykonanie uchwały powierza się Prezydentowi Mi</w:t>
      </w:r>
      <w:r>
        <w:rPr>
          <w:rFonts w:ascii="Times New Roman" w:eastAsia="Times New Roman" w:hAnsi="Times New Roman" w:cs="Times New Roman"/>
          <w:sz w:val="24"/>
          <w:szCs w:val="24"/>
        </w:rPr>
        <w:t>asta Łodzi.</w:t>
      </w:r>
    </w:p>
    <w:p w:rsidR="004603E2" w:rsidRDefault="00AA5F35">
      <w:pPr>
        <w:tabs>
          <w:tab w:val="left" w:pos="709"/>
          <w:tab w:val="left" w:pos="0"/>
          <w:tab w:val="left" w:pos="1080"/>
          <w:tab w:val="left" w:pos="144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§3. Uchwała wchodzi w życie po upływie 14 dni od dnia ogłoszenia w Dzienniku   Urzędowym Województwa Łódzkiego. </w:t>
      </w:r>
    </w:p>
    <w:p w:rsidR="004603E2" w:rsidRDefault="004603E2">
      <w:pPr>
        <w:spacing w:line="240" w:lineRule="auto"/>
        <w:ind w:left="6372" w:firstLine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AA5F35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Rady Miejskiej w Łodzi      Marcin Gołaszewski</w:t>
      </w:r>
    </w:p>
    <w:p w:rsidR="004603E2" w:rsidRDefault="004603E2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46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E2" w:rsidRDefault="00AA5F3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Projektodawca: komitet obywatelskiej inicjatywy uchwałodawczej “Łódzkie Stowarzyszenie Lokatorów”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Upoważniony przez projektodawców do kontaktów i prezentowania projektu uchwały: Jakub Kowalski</w:t>
      </w:r>
    </w:p>
    <w:p w:rsidR="004603E2" w:rsidRDefault="00AA5F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:rsidR="004603E2" w:rsidRDefault="00AA5F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03E2" w:rsidRDefault="00AA5F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Miejska w Łodzi podjęła w grudniu 2022 rok</w:t>
      </w:r>
      <w:r>
        <w:rPr>
          <w:rFonts w:ascii="Times New Roman" w:eastAsia="Times New Roman" w:hAnsi="Times New Roman" w:cs="Times New Roman"/>
          <w:sz w:val="24"/>
          <w:szCs w:val="24"/>
        </w:rPr>
        <w:t>u uchwałę w sprawie przyjęcia “Wieloletniego programu gospodarowania mieszkaniowym zasobem Miasta Łodzi na lata 2023-2030”. Wyżej wymieniony dokument zawierał szereg istotnych zmian w porównaniu do poprzednich wersji programów gospodarowania. Niestety, wpr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owadzenie nowego dokumenty przyniosło ze sobą negatywne zmiany z punktu widzenia lokatorów i lokatorek. </w:t>
      </w:r>
    </w:p>
    <w:p w:rsidR="004603E2" w:rsidRDefault="00AA5F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obywatelska inicjatywa uchwałodawcza wychodzi naprzeciw głosom wielu lokatorek i lokatorów mieszkań komunalnych. Zmiany te jako projektodawcy</w:t>
      </w:r>
      <w:r>
        <w:rPr>
          <w:rFonts w:ascii="Times New Roman" w:eastAsia="Times New Roman" w:hAnsi="Times New Roman" w:cs="Times New Roman"/>
          <w:sz w:val="24"/>
          <w:szCs w:val="24"/>
        </w:rPr>
        <w:t>, a także jednocześnie byli bądź obecni lokatorzy miejskiego zasobu komunalnego oceniamy negatywnie.</w:t>
      </w:r>
    </w:p>
    <w:p w:rsidR="004603E2" w:rsidRDefault="00AA5F35">
      <w:pPr>
        <w:spacing w:after="1" w:line="36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obecnie obowiązującym programie gospodarowania, w porównaniu do poprzednich odpowiedników w znaczący sposób ograniczone zostały dostępne najemcom czynnik</w:t>
      </w:r>
      <w:r>
        <w:rPr>
          <w:rFonts w:ascii="Times New Roman" w:eastAsia="Times New Roman" w:hAnsi="Times New Roman" w:cs="Times New Roman"/>
          <w:sz w:val="24"/>
          <w:szCs w:val="24"/>
        </w:rPr>
        <w:t>i obniżające stawki czynszu. Jedne z nich zostały drastycznie obniżone, inne zupełnie zlikwidowane - mimo, że problemy na bazie których obniżki te mogły być wprowadzone nie zniknęły z mieszkań znajdujących się w zasobie mieszkaniowym. Rosnące koszty utrzym</w:t>
      </w:r>
      <w:r>
        <w:rPr>
          <w:rFonts w:ascii="Times New Roman" w:eastAsia="Times New Roman" w:hAnsi="Times New Roman" w:cs="Times New Roman"/>
          <w:sz w:val="24"/>
          <w:szCs w:val="24"/>
        </w:rPr>
        <w:t>ania mieszkań przy pogarszającym się stanie lokali (wg. prognozy stanu technicznego zasobu mieszkaniowego Miasta Łodzi na lata 2023-2030 zawartego w wieloletnim programie gospodarowania mieszkaniowym zasobem Miasta Łodzi na lata 2023-2030 udział lokali zna</w:t>
      </w:r>
      <w:r>
        <w:rPr>
          <w:rFonts w:ascii="Times New Roman" w:eastAsia="Times New Roman" w:hAnsi="Times New Roman" w:cs="Times New Roman"/>
          <w:sz w:val="24"/>
          <w:szCs w:val="24"/>
        </w:rPr>
        <w:t>jdujących się w budynkach o zużyciu wynoszącym od 70 do 100% w ogóle lokali zwiększy się z 22% do 28%) wskazują na zasadność nie tylko wprowadzania takiego wsparcia ze strony gminy, które pozwoli na mniej uciążliwe korzystanie z mieszkaniowego zasobu gminy</w:t>
      </w:r>
      <w:r>
        <w:rPr>
          <w:rFonts w:ascii="Times New Roman" w:eastAsia="Times New Roman" w:hAnsi="Times New Roman" w:cs="Times New Roman"/>
          <w:sz w:val="24"/>
          <w:szCs w:val="24"/>
        </w:rPr>
        <w:t>, ale też poszerzania go.</w:t>
      </w:r>
    </w:p>
    <w:p w:rsidR="004603E2" w:rsidRDefault="004603E2">
      <w:pPr>
        <w:spacing w:after="1" w:line="36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E2" w:rsidRDefault="00AA5F35">
      <w:pPr>
        <w:spacing w:after="1" w:line="36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Właśnie jednym z takich rozwiązań są obniżki czynszu. W przypadku braku możliwości zamieszkiwania w lokalu spełniającym odpowiednie do wieku czy stanu zdrowia, obniżki czynszu mogą w realny sposób ułatwić członkom naszej wspólnot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samorządowej realizowanie swoich potrzeb mieszkaniowych, których zaspokajanie poprzez prowadzenie odpowiedniej polityki mieszkaniowej (polityki mającej na celu zaspokojenie popytu na lokale mieszkalne) zresztą jest ustawowym obowiązkiem gminy. </w:t>
      </w:r>
    </w:p>
    <w:p w:rsidR="004603E2" w:rsidRDefault="004603E2">
      <w:pPr>
        <w:spacing w:after="1" w:line="36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E2" w:rsidRDefault="004603E2">
      <w:pPr>
        <w:spacing w:after="1" w:line="36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E2" w:rsidRDefault="004603E2">
      <w:pPr>
        <w:spacing w:after="1" w:line="36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03E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35" w:rsidRDefault="00AA5F35">
      <w:pPr>
        <w:spacing w:after="0" w:line="240" w:lineRule="auto"/>
      </w:pPr>
      <w:r>
        <w:separator/>
      </w:r>
    </w:p>
  </w:endnote>
  <w:endnote w:type="continuationSeparator" w:id="0">
    <w:p w:rsidR="00AA5F35" w:rsidRDefault="00A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E2" w:rsidRDefault="004603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35" w:rsidRDefault="00AA5F35">
      <w:pPr>
        <w:spacing w:after="0" w:line="240" w:lineRule="auto"/>
      </w:pPr>
      <w:r>
        <w:separator/>
      </w:r>
    </w:p>
  </w:footnote>
  <w:footnote w:type="continuationSeparator" w:id="0">
    <w:p w:rsidR="00AA5F35" w:rsidRDefault="00AA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2"/>
    <w:rsid w:val="004603E2"/>
    <w:rsid w:val="00657A1F"/>
    <w:rsid w:val="00A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04CE"/>
  <w15:docId w15:val="{A9CDB95A-7211-4E54-A872-E879B04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D5571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7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557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3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top w:w="45" w:type="dxa"/>
        <w:left w:w="108" w:type="dxa"/>
        <w:bottom w:w="0" w:type="dxa"/>
        <w:right w:w="94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top w:w="45" w:type="dxa"/>
        <w:left w:w="108" w:type="dxa"/>
        <w:bottom w:w="0" w:type="dxa"/>
        <w:right w:w="94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top w:w="45" w:type="dxa"/>
        <w:left w:w="108" w:type="dxa"/>
        <w:bottom w:w="0" w:type="dxa"/>
        <w:right w:w="94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SFEHX+ujTDv0dfMCkiqu5K/qg==">CgMxLjA4AHIhMTBBT0FwMFRXWDgxc291d1g4djFFOUdCSGxnSlFWbWVC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Dariusz Kędzierski</cp:lastModifiedBy>
  <cp:revision>2</cp:revision>
  <dcterms:created xsi:type="dcterms:W3CDTF">2021-03-14T20:08:00Z</dcterms:created>
  <dcterms:modified xsi:type="dcterms:W3CDTF">2024-04-09T09:43:00Z</dcterms:modified>
</cp:coreProperties>
</file>