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744" w:rsidRDefault="00BB05D4">
      <w:pPr>
        <w:pStyle w:val="Default"/>
        <w:spacing w:before="0" w:after="322" w:line="360" w:lineRule="auto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Program dzia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alno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</w:rPr>
        <w:t>ci Instytucji Kultury inLodz21 na lata 2026-2030</w:t>
      </w:r>
    </w:p>
    <w:p w:rsidR="001B0744" w:rsidRDefault="00BB05D4">
      <w:pPr>
        <w:pStyle w:val="Default"/>
        <w:spacing w:before="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MISJA</w:t>
      </w:r>
      <w:r>
        <w:rPr>
          <w:rFonts w:ascii="Times New Roman" w:hAnsi="Times New Roman"/>
        </w:rPr>
        <w:t>: Realizacja programu pog</w:t>
      </w:r>
      <w:r>
        <w:rPr>
          <w:rFonts w:ascii="Times New Roman" w:hAnsi="Times New Roman"/>
        </w:rPr>
        <w:t>łę</w:t>
      </w:r>
      <w:r>
        <w:rPr>
          <w:rFonts w:ascii="Times New Roman" w:hAnsi="Times New Roman"/>
        </w:rPr>
        <w:t xml:space="preserve">bionej rewitalizacji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poprzez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ania </w:t>
      </w:r>
      <w:proofErr w:type="spellStart"/>
      <w:r>
        <w:rPr>
          <w:rFonts w:ascii="Times New Roman" w:hAnsi="Times New Roman"/>
        </w:rPr>
        <w:t>kulturotw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rcze</w:t>
      </w:r>
      <w:proofErr w:type="spellEnd"/>
      <w:r>
        <w:rPr>
          <w:rFonts w:ascii="Times New Roman" w:hAnsi="Times New Roman"/>
        </w:rPr>
        <w:t xml:space="preserve"> i artystyczne, budowanie to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miejsca oraz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eczny dialog o przysz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ci miasta </w:t>
      </w:r>
      <w:r>
        <w:rPr>
          <w:rFonts w:ascii="Times New Roman" w:hAnsi="Times New Roman"/>
        </w:rPr>
        <w:t>prowadzony w oparciu o dziedzictwo architektury i urbanistyki.</w:t>
      </w:r>
    </w:p>
    <w:p w:rsidR="001B0744" w:rsidRDefault="00BB05D4">
      <w:pPr>
        <w:pStyle w:val="Default"/>
        <w:spacing w:before="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WIZJA</w:t>
      </w:r>
      <w:r>
        <w:rPr>
          <w:rFonts w:ascii="Times New Roman" w:hAnsi="Times New Roman"/>
        </w:rPr>
        <w:t xml:space="preserve">: inLodz21 jako katalizator transformacji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odzi w miasto,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re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uczy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od siebie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czy dziedzictwo przemys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owe z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czesnymi formami kultury, tworz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wzorcowy model rewitalizacji d</w:t>
      </w:r>
      <w:r>
        <w:rPr>
          <w:rFonts w:ascii="Times New Roman" w:hAnsi="Times New Roman"/>
        </w:rPr>
        <w:t>la miast poprzemys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owych.</w:t>
      </w:r>
    </w:p>
    <w:p w:rsidR="001B0744" w:rsidRDefault="00BB05D4">
      <w:pPr>
        <w:pStyle w:val="Default"/>
        <w:spacing w:before="0" w:after="12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KONTEKST: </w:t>
      </w:r>
      <w:r>
        <w:rPr>
          <w:rFonts w:ascii="Times New Roman" w:hAnsi="Times New Roman"/>
        </w:rPr>
        <w:t>W latach 2022-2025 uda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wydoby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inLodz21 z kryzysu instytucjonalnego, pozyska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Kamienicy Hilarego Majewskiego przy ulicy W</w:t>
      </w:r>
      <w:r>
        <w:rPr>
          <w:rFonts w:ascii="Times New Roman" w:hAnsi="Times New Roman"/>
        </w:rPr>
        <w:t>łó</w:t>
      </w:r>
      <w:r>
        <w:rPr>
          <w:rFonts w:ascii="Times New Roman" w:hAnsi="Times New Roman"/>
        </w:rPr>
        <w:t>kienniczej 11, zbudowa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dynamiczny i zr</w:t>
      </w:r>
      <w:r>
        <w:rPr>
          <w:rFonts w:ascii="Times New Roman" w:hAnsi="Times New Roman"/>
        </w:rPr>
        <w:t>óż</w:t>
      </w:r>
      <w:r>
        <w:rPr>
          <w:rFonts w:ascii="Times New Roman" w:hAnsi="Times New Roman"/>
        </w:rPr>
        <w:t>nicowany zesp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, uporz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dkowa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dokumentacj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, zaktualizowa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i dopasowa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statut, wdro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niezb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dne procedury 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dcze, wzmocni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partnerstwo </w:t>
      </w:r>
      <w:proofErr w:type="spellStart"/>
      <w:r>
        <w:rPr>
          <w:rFonts w:ascii="Times New Roman" w:hAnsi="Times New Roman"/>
        </w:rPr>
        <w:t>prywatno</w:t>
      </w:r>
      <w:proofErr w:type="spellEnd"/>
      <w:r>
        <w:rPr>
          <w:rFonts w:ascii="Times New Roman" w:hAnsi="Times New Roman"/>
        </w:rPr>
        <w:t>-publiczne, pozyskuj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nowych partner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instytucjonalnych, a nade wszystko uruchomi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program merytoryczny, specyficzny, lecz dope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si</w:t>
      </w:r>
      <w:r>
        <w:rPr>
          <w:rFonts w:ascii="Times New Roman" w:hAnsi="Times New Roman"/>
        </w:rPr>
        <w:t>atk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istniej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wydarze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, skoncentrowany na ugruntowaniu proces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rewitalizacyjnych w strefie jeden rewitalizacji obszarowej, ale tak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otwarty na miasto i promieniuj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szerzej. W pierwszym roku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w Kamienicy Hilarego Majewskiego uda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zrealizowa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ponad 90 wydarze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, a liczba uczestnik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zwiedzaj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waha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dzy 800 a 1200 os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b miesi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cznie. Obecny rok zapowiada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jeszcze lepiej je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 chodzi o statystyki, a nat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ok zwiedzaj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zagra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bezpiecze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stwu w Kamienicy roz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adowany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wydarzeniami organizowanym w bezpo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rednim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siedztwie i w innych miejscach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(Ba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uty). Sukces polegaj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cy na wpisaniu instytucji w pole sztuki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</w:t>
      </w:r>
      <w:r>
        <w:rPr>
          <w:rFonts w:ascii="Times New Roman" w:hAnsi="Times New Roman"/>
        </w:rPr>
        <w:t>ł ś</w:t>
      </w:r>
      <w:r>
        <w:rPr>
          <w:rFonts w:ascii="Times New Roman" w:hAnsi="Times New Roman"/>
        </w:rPr>
        <w:t>cis</w:t>
      </w:r>
      <w:r>
        <w:rPr>
          <w:rFonts w:ascii="Times New Roman" w:hAnsi="Times New Roman"/>
        </w:rPr>
        <w:t xml:space="preserve">łą </w:t>
      </w:r>
      <w:r>
        <w:rPr>
          <w:rFonts w:ascii="Times New Roman" w:hAnsi="Times New Roman"/>
        </w:rPr>
        <w:t>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i koordynacj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nie tylko z organizatorami inLodz21, p</w:t>
      </w:r>
      <w:r>
        <w:rPr>
          <w:rFonts w:ascii="Times New Roman" w:hAnsi="Times New Roman"/>
        </w:rPr>
        <w:t xml:space="preserve">artnerami instytucjonalnymi (m.in. muzea, galerie miejskie, </w:t>
      </w:r>
      <w:proofErr w:type="spellStart"/>
      <w:r>
        <w:rPr>
          <w:rFonts w:ascii="Times New Roman" w:hAnsi="Times New Roman"/>
        </w:rPr>
        <w:t>NGOsy</w:t>
      </w:r>
      <w:proofErr w:type="spellEnd"/>
      <w:r>
        <w:rPr>
          <w:rFonts w:ascii="Times New Roman" w:hAnsi="Times New Roman"/>
        </w:rPr>
        <w:t xml:space="preserve">, festiwale,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CW), ale tak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wyj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cie naprzeciw oczekiwaniom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rodowiska artystycznego, architektonicznego, aktywist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miejskich i innych grup interesariuszy (np. senior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w, pasjonat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odzi, pr</w:t>
      </w:r>
      <w:r>
        <w:rPr>
          <w:rFonts w:ascii="Times New Roman" w:hAnsi="Times New Roman"/>
        </w:rPr>
        <w:t>zewodnik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miejskich, dawnych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obszar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rewitalizowanych).</w:t>
      </w:r>
    </w:p>
    <w:p w:rsidR="001B0744" w:rsidRDefault="00BB05D4">
      <w:pPr>
        <w:pStyle w:val="Default"/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PROGRAM NA LATA 2026-2030:</w:t>
      </w:r>
      <w:r>
        <w:rPr>
          <w:rFonts w:ascii="Times New Roman" w:hAnsi="Times New Roman"/>
        </w:rPr>
        <w:t xml:space="preserve"> Program merytoryczny poprzedza praca z zespo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em,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ma odpowiada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za planowanie i wykonanie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instytucji. Podstawowym celem jest ustabilizowanie, dals</w:t>
      </w:r>
      <w:r>
        <w:rPr>
          <w:rFonts w:ascii="Times New Roman" w:hAnsi="Times New Roman"/>
        </w:rPr>
        <w:t>za integracja, utrzymanie dobrostanu i 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 zespo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wci</w:t>
      </w:r>
      <w:r>
        <w:rPr>
          <w:rFonts w:ascii="Times New Roman" w:hAnsi="Times New Roman"/>
        </w:rPr>
        <w:t xml:space="preserve">ąż </w:t>
      </w:r>
      <w:r>
        <w:rPr>
          <w:rFonts w:ascii="Times New Roman" w:hAnsi="Times New Roman"/>
        </w:rPr>
        <w:t>nowej instytucji, zapewnienie zast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powalno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i wsparcie elastyczno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ci, kreatywno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ci, mobilno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pracownik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i pracowniczek merytorycznych i administracyjnych, co odpowiada polityce tworzenia atrakcyjnych miejsc pracy w sektorach kreatywnych i kulturze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odzi. 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dzanie zespo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em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 po pierwsze otwarto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na sytuacj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kulturze miejskiej, potrzeby interes</w:t>
      </w:r>
      <w:r>
        <w:rPr>
          <w:rFonts w:ascii="Times New Roman" w:hAnsi="Times New Roman"/>
        </w:rPr>
        <w:t>ariuszy, zdobywanie kwalifikacji i poszerzanie kompetencji wraz z integracj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wolontariuszy i praktykant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w, co jest </w:t>
      </w:r>
      <w:r>
        <w:rPr>
          <w:rFonts w:ascii="Times New Roman" w:hAnsi="Times New Roman"/>
        </w:rPr>
        <w:lastRenderedPageBreak/>
        <w:t xml:space="preserve">istotne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rodowisko tw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rczo. Po drugie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 prac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projektow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i zadaniow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zw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aszcza w obszarze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realizowanych poza siedzib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inLodz</w:t>
      </w:r>
      <w:r>
        <w:rPr>
          <w:rFonts w:ascii="Times New Roman" w:hAnsi="Times New Roman"/>
        </w:rPr>
        <w:t>21, czyli Kamienic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Hilarego Majewskiego, co 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czy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podnoszeniem kompetencji 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dczych pracowniczek i pracownik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w.</w:t>
      </w:r>
    </w:p>
    <w:p w:rsidR="001B0744" w:rsidRDefault="00BB05D4">
      <w:pPr>
        <w:pStyle w:val="Default"/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Przygotowany wraz z zespo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em program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realizacj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wystaw wraz z wydarzeniami towarzysz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cymi i programem edukacyjnym, publika</w:t>
      </w:r>
      <w:r>
        <w:rPr>
          <w:rFonts w:ascii="Times New Roman" w:hAnsi="Times New Roman"/>
        </w:rPr>
        <w:t>cji, audytorium zar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wno w Kamienicy Hilarego Majewskiego jak i w innych lokalizacjach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zostanie utrzymany i odpowiednio wzmocniony. O ile liczba wydarze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w samej Kamienicy nie ulegnie zmianie - wydaje si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obiekt po 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ch latach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osi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gn</w:t>
      </w:r>
      <w:r>
        <w:rPr>
          <w:rFonts w:ascii="Times New Roman" w:hAnsi="Times New Roman"/>
        </w:rPr>
        <w:t xml:space="preserve">ął </w:t>
      </w:r>
      <w:r>
        <w:rPr>
          <w:rFonts w:ascii="Times New Roman" w:hAnsi="Times New Roman"/>
        </w:rPr>
        <w:t>optymalne nasycenie projektami - o tyle intensyfikacji i rozbudowie ulegnie program miejski inLodz21 budowany w oparciu o kolejne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 xml:space="preserve">prace w partnerstwie </w:t>
      </w:r>
      <w:proofErr w:type="spellStart"/>
      <w:r>
        <w:rPr>
          <w:rFonts w:ascii="Times New Roman" w:hAnsi="Times New Roman"/>
        </w:rPr>
        <w:t>prywatno</w:t>
      </w:r>
      <w:proofErr w:type="spellEnd"/>
      <w:r>
        <w:rPr>
          <w:rFonts w:ascii="Times New Roman" w:hAnsi="Times New Roman"/>
        </w:rPr>
        <w:t xml:space="preserve">-publicznym, </w:t>
      </w:r>
      <w:proofErr w:type="spellStart"/>
      <w:r>
        <w:rPr>
          <w:rFonts w:ascii="Times New Roman" w:hAnsi="Times New Roman"/>
        </w:rPr>
        <w:t>kt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rego</w:t>
      </w:r>
      <w:proofErr w:type="spellEnd"/>
      <w:r>
        <w:rPr>
          <w:rFonts w:ascii="Times New Roman" w:hAnsi="Times New Roman"/>
        </w:rPr>
        <w:t xml:space="preserve"> przyk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adem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realizowany w tym roku w Muzeum Farmacji im. </w:t>
      </w:r>
      <w:r>
        <w:rPr>
          <w:rFonts w:ascii="Times New Roman" w:hAnsi="Times New Roman"/>
        </w:rPr>
        <w:t>Muszy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 xml:space="preserve">skiego projekt wystawy 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cej sztuk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farmacj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finansowany ze </w:t>
      </w:r>
      <w:proofErr w:type="spellStart"/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prywatnych, a zarazem dope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proces rewitalizacji Pl. Wolno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ci. Podobnych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spodziewa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zar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wno na G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rniaku, Widzewie, w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dmie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ciu, czy na Ba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utach, a p</w:t>
      </w:r>
      <w:r>
        <w:rPr>
          <w:rFonts w:ascii="Times New Roman" w:hAnsi="Times New Roman"/>
        </w:rPr>
        <w:t>oszczeg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lne projekty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ą ś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le powi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zane z polityk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rewitalizacyjn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miasta i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aniami BAM przy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pracy z SARP, Izb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Architekt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w, NIAIU. Celem jest w danym okresie kolejnego miejsca por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wnywalnego skal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do Kamienicy Hilarego Majewskiego</w:t>
      </w:r>
      <w:r>
        <w:rPr>
          <w:rFonts w:ascii="Times New Roman" w:hAnsi="Times New Roman"/>
        </w:rPr>
        <w:t>.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praca z biznesem, deweloperami i firmami operuj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cymi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pozwoli wzmocni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 instytucji i zwi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kszy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nak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ady finansowe na kultur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mie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cie. Planujemy realizowanie kolejnych ods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on flagowego projektu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Ucz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 xml:space="preserve">realizowanego nie </w:t>
      </w:r>
      <w:r>
        <w:rPr>
          <w:rFonts w:ascii="Times New Roman" w:hAnsi="Times New Roman"/>
        </w:rPr>
        <w:t>tylko w Kamienicy Hilarego Majewskiego, lecz w rewitalizowanych obszarach miasta. Wzmocnieniu na pewno ulegnie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praca z BAM oraz UM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przy okazji organizacji kolejnych edycji i towarzysz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cej gali Nagrody Architektonicznej Prezydent Miasta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oraz Hil</w:t>
      </w:r>
      <w:r>
        <w:rPr>
          <w:rFonts w:ascii="Times New Roman" w:hAnsi="Times New Roman"/>
        </w:rPr>
        <w:t>arego. Nagrody Architektonicznej im. Hilarego Majewskiego.</w:t>
      </w:r>
    </w:p>
    <w:p w:rsidR="001B0744" w:rsidRDefault="00BB05D4">
      <w:pPr>
        <w:pStyle w:val="Default"/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Kolejnym celem jest przeniesienie rozpoznawalno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instytucji oraz poszczeg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lnych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inLodz21 tj. Kamienica Hilarego Majewskiego na poziom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lnopolski</w:t>
      </w:r>
      <w:proofErr w:type="spellEnd"/>
      <w:r>
        <w:rPr>
          <w:rFonts w:ascii="Times New Roman" w:hAnsi="Times New Roman"/>
        </w:rPr>
        <w:t xml:space="preserve"> i mi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dzynarodowy, co w pierwszych 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h latach si</w:t>
      </w:r>
      <w:r>
        <w:rPr>
          <w:rFonts w:ascii="Times New Roman" w:hAnsi="Times New Roman"/>
        </w:rPr>
        <w:t xml:space="preserve">łą </w:t>
      </w:r>
      <w:r>
        <w:rPr>
          <w:rFonts w:ascii="Times New Roman" w:hAnsi="Times New Roman"/>
        </w:rPr>
        <w:t>rzeczy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ograniczone ze wzgl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du na fundamentaln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potrzeb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uzasadnienia i wzmocnienia instytucji w perspektywie przede wszystkim lokalnej. Realizacji tego celu 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nie tylko 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 i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og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lnopolskich i mi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dzynaro</w:t>
      </w:r>
      <w:r>
        <w:rPr>
          <w:rFonts w:ascii="Times New Roman" w:hAnsi="Times New Roman"/>
        </w:rPr>
        <w:t>dowych, ale te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 xml:space="preserve">przeznaczenie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na t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umaczenia i dotarcie do odbiorc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spoza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odzi. Opr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cz zwi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kszenia obecno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w mediach zewn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trznych, chcieliby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my wp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tak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 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 dyskursu krytycznego i towarzysz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cego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odzi, st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d plan stworzenia i </w:t>
      </w:r>
      <w:r>
        <w:rPr>
          <w:rFonts w:ascii="Times New Roman" w:hAnsi="Times New Roman"/>
        </w:rPr>
        <w:t>prowadzenia magazynu po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conego scenie artystycznej, architektonicznej i aktywistycznej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i nie tylko,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na celu ma uzupe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nienie i pog</w:t>
      </w:r>
      <w:r>
        <w:rPr>
          <w:rFonts w:ascii="Times New Roman" w:hAnsi="Times New Roman"/>
        </w:rPr>
        <w:t>łę</w:t>
      </w:r>
      <w:r>
        <w:rPr>
          <w:rFonts w:ascii="Times New Roman" w:hAnsi="Times New Roman"/>
        </w:rPr>
        <w:t>bienie programu merytorycznego,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osobami tworz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cymi tkank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instytucji, artystami, krytyczkami, k</w:t>
      </w:r>
      <w:r>
        <w:rPr>
          <w:rFonts w:ascii="Times New Roman" w:hAnsi="Times New Roman"/>
        </w:rPr>
        <w:t xml:space="preserve">uratorami, pisarkami, dziennikarzami i teoretyczkami. </w:t>
      </w:r>
      <w:r>
        <w:rPr>
          <w:rFonts w:ascii="Times New Roman" w:hAnsi="Times New Roman"/>
        </w:rPr>
        <w:lastRenderedPageBreak/>
        <w:t>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 programu merytorycznego, jego rozszerzanie i pog</w:t>
      </w:r>
      <w:r>
        <w:rPr>
          <w:rFonts w:ascii="Times New Roman" w:hAnsi="Times New Roman"/>
        </w:rPr>
        <w:t>łę</w:t>
      </w:r>
      <w:r>
        <w:rPr>
          <w:rFonts w:ascii="Times New Roman" w:hAnsi="Times New Roman"/>
        </w:rPr>
        <w:t>bianie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ada nie tylko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cis</w:t>
      </w:r>
      <w:r>
        <w:rPr>
          <w:rFonts w:ascii="Times New Roman" w:hAnsi="Times New Roman"/>
        </w:rPr>
        <w:t xml:space="preserve">łą </w:t>
      </w:r>
      <w:r>
        <w:rPr>
          <w:rFonts w:ascii="Times New Roman" w:hAnsi="Times New Roman"/>
        </w:rPr>
        <w:t>i oczywist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instytucjami podleg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ymi Wydzia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owi Kultury, ale te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kontynuacj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 xml:space="preserve">pracy z uczelniami </w:t>
      </w:r>
      <w:r>
        <w:rPr>
          <w:rFonts w:ascii="Times New Roman" w:hAnsi="Times New Roman"/>
        </w:rPr>
        <w:t>łó</w:t>
      </w:r>
      <w:r>
        <w:rPr>
          <w:rFonts w:ascii="Times New Roman" w:hAnsi="Times New Roman"/>
        </w:rPr>
        <w:t>dzkimi Uniwersytetem, Politechnik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Akademi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Muzyczn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ASP, Szko</w:t>
      </w:r>
      <w:r>
        <w:rPr>
          <w:rFonts w:ascii="Times New Roman" w:hAnsi="Times New Roman"/>
        </w:rPr>
        <w:t xml:space="preserve">łą </w:t>
      </w:r>
      <w:r>
        <w:rPr>
          <w:rFonts w:ascii="Times New Roman" w:hAnsi="Times New Roman"/>
        </w:rPr>
        <w:t>Filmow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uczelniami prywatnymi (szko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rednie i 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sze), czy partnerami zewn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trznymi, w tym NGO, biznesem </w:t>
      </w:r>
      <w:r>
        <w:rPr>
          <w:rFonts w:ascii="Times New Roman" w:hAnsi="Times New Roman"/>
        </w:rPr>
        <w:t>łó</w:t>
      </w:r>
      <w:r>
        <w:rPr>
          <w:rFonts w:ascii="Times New Roman" w:hAnsi="Times New Roman"/>
        </w:rPr>
        <w:t>dzkim i organizacjami/zwi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zkami zawodowymi (SARP, Izba Architekt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w). W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>rozwijanych w inLodz21 modeli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pracy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zar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wno programy sponsorskie,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ania p</w:t>
      </w:r>
      <w:r>
        <w:rPr>
          <w:rFonts w:ascii="Times New Roman" w:hAnsi="Times New Roman"/>
          <w:lang w:val="it-IT"/>
        </w:rPr>
        <w:t>ro bono</w:t>
      </w:r>
      <w:r>
        <w:rPr>
          <w:rFonts w:ascii="Times New Roman" w:hAnsi="Times New Roman"/>
        </w:rPr>
        <w:t>,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finansowanie projekt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i </w:t>
      </w:r>
      <w:proofErr w:type="spellStart"/>
      <w:r>
        <w:rPr>
          <w:rFonts w:ascii="Times New Roman" w:hAnsi="Times New Roman"/>
        </w:rPr>
        <w:t>wsp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lne</w:t>
      </w:r>
      <w:proofErr w:type="spellEnd"/>
      <w:r>
        <w:rPr>
          <w:rFonts w:ascii="Times New Roman" w:hAnsi="Times New Roman"/>
        </w:rPr>
        <w:t xml:space="preserve"> aplikowanie o granty, czy wymiana kompetencji: praktyki, sta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e, warsztaty specjalistyczne</w:t>
      </w:r>
    </w:p>
    <w:p w:rsidR="001B0744" w:rsidRDefault="00BB05D4">
      <w:pPr>
        <w:pStyle w:val="Default"/>
        <w:spacing w:before="0" w:after="299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CELE STRATEGICZNE 2026-2030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Pierw</w:t>
      </w:r>
      <w:r>
        <w:rPr>
          <w:rFonts w:ascii="Times New Roman" w:hAnsi="Times New Roman"/>
        </w:rPr>
        <w:t>szym i podstawowym celem jest konsolidacja programu w zrewitalizowanej kamienicy Hilarego Majewskiego jako flagowej instytucji kultury,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ra jest centrum kompetencji, dobrych praktyk, z programem artystycznym skoncentrowanym na szeroko rozumianej tematyce</w:t>
      </w:r>
      <w:r>
        <w:rPr>
          <w:rFonts w:ascii="Times New Roman" w:hAnsi="Times New Roman"/>
        </w:rPr>
        <w:t xml:space="preserve"> miejskiej. 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 i pog</w:t>
      </w:r>
      <w:r>
        <w:rPr>
          <w:rFonts w:ascii="Times New Roman" w:hAnsi="Times New Roman"/>
        </w:rPr>
        <w:t>łę</w:t>
      </w:r>
      <w:r>
        <w:rPr>
          <w:rFonts w:ascii="Times New Roman" w:hAnsi="Times New Roman"/>
        </w:rPr>
        <w:t>bienie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programowych w kluczowych obszarach okre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lanych statutem instytucji. Drugim celem jest przygotowanie i gotowo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zespo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u do realizacji budynku Daniela </w:t>
      </w:r>
      <w:proofErr w:type="spellStart"/>
      <w:r>
        <w:rPr>
          <w:rFonts w:ascii="Times New Roman" w:hAnsi="Times New Roman"/>
        </w:rPr>
        <w:t>Libeskinda</w:t>
      </w:r>
      <w:proofErr w:type="spellEnd"/>
      <w:r>
        <w:rPr>
          <w:rFonts w:ascii="Times New Roman" w:hAnsi="Times New Roman"/>
        </w:rPr>
        <w:t xml:space="preserve"> wed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ug zapotrzebowania zg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oszonego przez organizator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po udro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nieniu kwestii formalnych oraz - przede wszystkim - finansowych projektu. Celem uzupe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cym jest facylitacja proces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zbli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cych miasto do celu i utrzymanie komunikacji z </w:t>
      </w:r>
      <w:proofErr w:type="spellStart"/>
      <w:r>
        <w:rPr>
          <w:rFonts w:ascii="Times New Roman" w:hAnsi="Times New Roman"/>
        </w:rPr>
        <w:t>Libeskindami</w:t>
      </w:r>
      <w:proofErr w:type="spellEnd"/>
      <w:r>
        <w:rPr>
          <w:rFonts w:ascii="Times New Roman" w:hAnsi="Times New Roman"/>
        </w:rPr>
        <w:t>. Cel trzeci to kontynuacja i rozszerzenie pog</w:t>
      </w:r>
      <w:r>
        <w:rPr>
          <w:rFonts w:ascii="Times New Roman" w:hAnsi="Times New Roman"/>
        </w:rPr>
        <w:t>łę</w:t>
      </w:r>
      <w:r>
        <w:rPr>
          <w:rFonts w:ascii="Times New Roman" w:hAnsi="Times New Roman"/>
        </w:rPr>
        <w:t>bionej rewi</w:t>
      </w:r>
      <w:r>
        <w:rPr>
          <w:rFonts w:ascii="Times New Roman" w:hAnsi="Times New Roman"/>
        </w:rPr>
        <w:t>talizacji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eczno-kulturowej polegaj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na rozszerzeniu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 xml:space="preserve">na inne obszary rewitalizacji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 oraz grupy interesariuszy,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w,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rodowisko artystyczne, architektoniczne, aktywistyczne. W ramach tego celu utrzymany zostanie program wystaw, w tym projekt </w:t>
      </w:r>
      <w:r>
        <w:rPr>
          <w:rFonts w:ascii="Times New Roman" w:hAnsi="Times New Roman"/>
          <w:i/>
          <w:iCs/>
        </w:rPr>
        <w:t>Ucz</w:t>
      </w:r>
      <w:r>
        <w:rPr>
          <w:rFonts w:ascii="Times New Roman" w:hAnsi="Times New Roman"/>
          <w:i/>
          <w:iCs/>
        </w:rPr>
        <w:t>ą</w:t>
      </w:r>
      <w:r>
        <w:rPr>
          <w:rFonts w:ascii="Times New Roman" w:hAnsi="Times New Roman"/>
          <w:i/>
          <w:iCs/>
        </w:rPr>
        <w:t>c si</w:t>
      </w:r>
      <w:r>
        <w:rPr>
          <w:rFonts w:ascii="Times New Roman" w:hAnsi="Times New Roman"/>
          <w:i/>
          <w:iCs/>
        </w:rPr>
        <w:t xml:space="preserve">ę </w:t>
      </w:r>
      <w:r>
        <w:rPr>
          <w:rFonts w:ascii="Times New Roman" w:hAnsi="Times New Roman"/>
          <w:i/>
          <w:iCs/>
        </w:rPr>
        <w:t xml:space="preserve">od </w:t>
      </w:r>
      <w:r>
        <w:rPr>
          <w:rFonts w:ascii="Times New Roman" w:hAnsi="Times New Roman"/>
          <w:i/>
          <w:iCs/>
        </w:rPr>
        <w:t>Ł</w:t>
      </w:r>
      <w:r>
        <w:rPr>
          <w:rFonts w:ascii="Times New Roman" w:hAnsi="Times New Roman"/>
          <w:i/>
          <w:iCs/>
        </w:rPr>
        <w:t>odzi</w:t>
      </w:r>
      <w:r>
        <w:rPr>
          <w:rFonts w:ascii="Times New Roman" w:hAnsi="Times New Roman"/>
        </w:rPr>
        <w:t xml:space="preserve"> jako model reprezentuj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cy, dokumentuj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i promuj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cy </w:t>
      </w:r>
      <w:r>
        <w:rPr>
          <w:rFonts w:ascii="Times New Roman" w:hAnsi="Times New Roman"/>
        </w:rPr>
        <w:t>łó</w:t>
      </w:r>
      <w:r>
        <w:rPr>
          <w:rFonts w:ascii="Times New Roman" w:hAnsi="Times New Roman"/>
        </w:rPr>
        <w:t>dzkie do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wiadczenia rewitalizacyjne. Istotnym komponentem </w:t>
      </w:r>
      <w:r>
        <w:rPr>
          <w:rFonts w:ascii="Times New Roman" w:hAnsi="Times New Roman"/>
        </w:rPr>
        <w:t>w realizacji celu jest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praca z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cami w procesach regeneracji przestrzeni. Cel czwarty to przygotowanie w ramach realizacji celu organizatora stworzenia 21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rewitalizacyjnych kolejnego, 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ego miejsca por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wnywalnego z Kamienic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Hilareg</w:t>
      </w:r>
      <w:r>
        <w:rPr>
          <w:rFonts w:ascii="Times New Roman" w:hAnsi="Times New Roman"/>
        </w:rPr>
        <w:t>o Majewskiego umo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rozszerzenie i wzmocnienie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inLodz21 w przestrzeni miasta. Projekt powinien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wnie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 xml:space="preserve">realizowany w partnerstwie </w:t>
      </w:r>
      <w:proofErr w:type="spellStart"/>
      <w:r>
        <w:rPr>
          <w:rFonts w:ascii="Times New Roman" w:hAnsi="Times New Roman"/>
        </w:rPr>
        <w:t>prywatno</w:t>
      </w:r>
      <w:proofErr w:type="spellEnd"/>
      <w:r>
        <w:rPr>
          <w:rFonts w:ascii="Times New Roman" w:hAnsi="Times New Roman"/>
        </w:rPr>
        <w:t>-publicznym.</w:t>
      </w:r>
    </w:p>
    <w:p w:rsidR="001B0744" w:rsidRDefault="00BB05D4">
      <w:pPr>
        <w:pStyle w:val="Default"/>
        <w:spacing w:before="0" w:after="299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KLUCZOWE OBSZARY DZIA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 xml:space="preserve">ANIA: </w:t>
      </w:r>
      <w:r>
        <w:rPr>
          <w:rFonts w:ascii="Times New Roman" w:hAnsi="Times New Roman"/>
        </w:rPr>
        <w:t>Pierwszym jest z pewno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wystawiennicza i</w:t>
      </w:r>
      <w:r>
        <w:rPr>
          <w:rFonts w:ascii="Times New Roman" w:hAnsi="Times New Roman"/>
        </w:rPr>
        <w:t xml:space="preserve"> artystyczna (10</w:t>
      </w:r>
      <w:r>
        <w:rPr>
          <w:rFonts w:ascii="Times New Roman" w:hAnsi="Times New Roman"/>
          <w:lang w:val="ru-RU"/>
        </w:rPr>
        <w:t>-1</w:t>
      </w:r>
      <w:r>
        <w:rPr>
          <w:rFonts w:ascii="Times New Roman" w:hAnsi="Times New Roman"/>
        </w:rPr>
        <w:t>2 wystaw rocznie w Kamienicy Hilarego Majewskiego i 3-4 poza Kamienic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), projekty </w:t>
      </w:r>
      <w:proofErr w:type="spellStart"/>
      <w:r>
        <w:rPr>
          <w:rFonts w:ascii="Times New Roman" w:hAnsi="Times New Roman"/>
        </w:rPr>
        <w:t>site-specific</w:t>
      </w:r>
      <w:proofErr w:type="spellEnd"/>
      <w:r>
        <w:rPr>
          <w:rFonts w:ascii="Times New Roman" w:hAnsi="Times New Roman"/>
        </w:rPr>
        <w:t xml:space="preserve"> (w tym wykorzystuj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unikalne wn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trza kamienicy i otoczenia strefy jeden rewitalizacji obszarowej),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praca z artystami lokalnymi i mi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dzy</w:t>
      </w:r>
      <w:r>
        <w:rPr>
          <w:rFonts w:ascii="Times New Roman" w:hAnsi="Times New Roman"/>
        </w:rPr>
        <w:t>narodowymi. Do rozwa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enia pozostaje program rezydencji artystycznych dla </w:t>
      </w:r>
      <w:proofErr w:type="spellStart"/>
      <w:r>
        <w:rPr>
          <w:rFonts w:ascii="Times New Roman" w:hAnsi="Times New Roman"/>
        </w:rPr>
        <w:t>tw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rc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zainteresowanych tematyk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miejsk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. Drugim obszarem jest edukacja i dialog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eczny, na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zar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wno wydarzenia, warsztaty i spotkania (80-90 rocznie) adresowane</w:t>
      </w:r>
      <w:r>
        <w:rPr>
          <w:rFonts w:ascii="Times New Roman" w:hAnsi="Times New Roman"/>
        </w:rPr>
        <w:t xml:space="preserve"> do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odzi, grup zorganizowanych i os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b zainteresowanych sztuk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architektur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lastRenderedPageBreak/>
        <w:t>urbanistyk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(od grup przedszkolnych, m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i doros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ych, po grupy senior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w). Kontynuowany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cykl spotka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"W Gabinecie Hilarego Majewskiego" (10 wydarze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rocz</w:t>
      </w:r>
      <w:r>
        <w:rPr>
          <w:rFonts w:ascii="Times New Roman" w:hAnsi="Times New Roman"/>
        </w:rPr>
        <w:t xml:space="preserve">nie) oraz spacery tematyczne po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odzi, a tak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program publikacji,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tworzenie</w:t>
      </w:r>
      <w:r>
        <w:rPr>
          <w:rFonts w:ascii="Times New Roman" w:hAnsi="Times New Roman"/>
          <w:lang w:val="it-IT"/>
        </w:rPr>
        <w:t xml:space="preserve"> materia</w:t>
      </w:r>
      <w:r>
        <w:rPr>
          <w:rFonts w:ascii="Times New Roman" w:hAnsi="Times New Roman"/>
        </w:rPr>
        <w:t>łó</w:t>
      </w:r>
      <w:r>
        <w:rPr>
          <w:rFonts w:ascii="Times New Roman" w:hAnsi="Times New Roman"/>
        </w:rPr>
        <w:t>w edukacyjnych o procesach rewitalizacji, przewodnik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katalog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w. Trzecim obszarem,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dopiero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zarysowany w pierwszych 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ch latach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w</w:t>
      </w:r>
      <w:r>
        <w:rPr>
          <w:rFonts w:ascii="Times New Roman" w:hAnsi="Times New Roman"/>
        </w:rPr>
        <w:t xml:space="preserve"> Kamienicy Hilarego Majewskiego, a wymaga rozwini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cia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badania (w tym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praca naukowa) i dokumentacja.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 to 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 Archiwum Historii M</w:t>
      </w:r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wionej</w:t>
      </w:r>
      <w:proofErr w:type="spellEnd"/>
      <w:r>
        <w:rPr>
          <w:rFonts w:ascii="Times New Roman" w:hAnsi="Times New Roman"/>
        </w:rPr>
        <w:t>, badania nad procesami rewitalizacji w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pracy z uczelniami 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szymi z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odzi, z Polski i zagranicy, </w:t>
      </w:r>
      <w:r>
        <w:rPr>
          <w:rFonts w:ascii="Times New Roman" w:hAnsi="Times New Roman"/>
        </w:rPr>
        <w:t>tworzenie archiwum fotograficznego zmian w przestrzeni miasta, publikacje naukowe i popularnonaukowe. Czwartym obszarem jest wyr</w:t>
      </w:r>
      <w:r>
        <w:rPr>
          <w:rFonts w:ascii="Times New Roman" w:hAnsi="Times New Roman"/>
        </w:rPr>
        <w:t>óż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inLodz21 spo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d innych instytucji kultury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 xml:space="preserve">praca </w:t>
      </w:r>
      <w:proofErr w:type="spellStart"/>
      <w:r>
        <w:rPr>
          <w:rFonts w:ascii="Times New Roman" w:hAnsi="Times New Roman"/>
        </w:rPr>
        <w:t>prywatno</w:t>
      </w:r>
      <w:proofErr w:type="spellEnd"/>
      <w:r>
        <w:rPr>
          <w:rFonts w:ascii="Times New Roman" w:hAnsi="Times New Roman"/>
        </w:rPr>
        <w:t xml:space="preserve">-publiczna i </w:t>
      </w:r>
      <w:proofErr w:type="spellStart"/>
      <w:r>
        <w:rPr>
          <w:rFonts w:ascii="Times New Roman" w:hAnsi="Times New Roman"/>
        </w:rPr>
        <w:t>networking</w:t>
      </w:r>
      <w:proofErr w:type="spellEnd"/>
      <w:r>
        <w:rPr>
          <w:rFonts w:ascii="Times New Roman" w:hAnsi="Times New Roman"/>
        </w:rPr>
        <w:t>. Ten obszar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 s</w:t>
      </w:r>
      <w:r>
        <w:rPr>
          <w:rFonts w:ascii="Times New Roman" w:hAnsi="Times New Roman"/>
          <w:b/>
          <w:bCs/>
        </w:rPr>
        <w:t>trategiczne</w:t>
      </w:r>
      <w:r>
        <w:rPr>
          <w:rFonts w:ascii="Times New Roman" w:hAnsi="Times New Roman"/>
          <w:b/>
          <w:bCs/>
        </w:rPr>
        <w:t xml:space="preserve"> partnerstwa lokalne (np. Muzeum Farmacji, </w:t>
      </w:r>
      <w:proofErr w:type="spellStart"/>
      <w:r>
        <w:rPr>
          <w:rFonts w:ascii="Times New Roman" w:hAnsi="Times New Roman"/>
          <w:b/>
          <w:bCs/>
        </w:rPr>
        <w:t>Fotofestiwal</w:t>
      </w:r>
      <w:proofErr w:type="spellEnd"/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  <w:lang w:val="pt-PT"/>
        </w:rPr>
        <w:t xml:space="preserve">Festival LAAF, </w:t>
      </w:r>
      <w:r>
        <w:rPr>
          <w:rFonts w:ascii="Times New Roman" w:hAnsi="Times New Roman"/>
          <w:b/>
          <w:bCs/>
        </w:rPr>
        <w:t>udzia</w:t>
      </w:r>
      <w:r>
        <w:rPr>
          <w:rFonts w:ascii="Times New Roman" w:hAnsi="Times New Roman"/>
          <w:b/>
          <w:bCs/>
        </w:rPr>
        <w:t xml:space="preserve">ł </w:t>
      </w:r>
      <w:r>
        <w:rPr>
          <w:rFonts w:ascii="Times New Roman" w:hAnsi="Times New Roman"/>
          <w:b/>
          <w:bCs/>
        </w:rPr>
        <w:t>w kongresach i wydarzeniach miejskich), wsp</w:t>
      </w:r>
      <w:r>
        <w:rPr>
          <w:rFonts w:ascii="Times New Roman" w:hAnsi="Times New Roman"/>
          <w:b/>
          <w:bCs/>
        </w:rPr>
        <w:t>ół</w:t>
      </w:r>
      <w:r>
        <w:rPr>
          <w:rFonts w:ascii="Times New Roman" w:hAnsi="Times New Roman"/>
          <w:b/>
          <w:bCs/>
        </w:rPr>
        <w:t>prac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 xml:space="preserve"> z przedsi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biorstwami i biznesem (firmy farmaceutyczne, deweloperzy, sektor kreatywny), wsp</w:t>
      </w:r>
      <w:r>
        <w:rPr>
          <w:rFonts w:ascii="Times New Roman" w:hAnsi="Times New Roman"/>
          <w:b/>
          <w:bCs/>
        </w:rPr>
        <w:t>ół</w:t>
      </w:r>
      <w:r>
        <w:rPr>
          <w:rFonts w:ascii="Times New Roman" w:hAnsi="Times New Roman"/>
          <w:b/>
          <w:bCs/>
        </w:rPr>
        <w:t>prac</w:t>
      </w:r>
      <w:r>
        <w:rPr>
          <w:rFonts w:ascii="Times New Roman" w:hAnsi="Times New Roman"/>
          <w:b/>
          <w:bCs/>
        </w:rPr>
        <w:t xml:space="preserve">ę </w:t>
      </w:r>
      <w:r>
        <w:rPr>
          <w:rFonts w:ascii="Times New Roman" w:hAnsi="Times New Roman"/>
          <w:b/>
          <w:bCs/>
        </w:rPr>
        <w:t xml:space="preserve">w ramach instytucji z sieci </w:t>
      </w:r>
      <w:r>
        <w:rPr>
          <w:rFonts w:ascii="Times New Roman" w:hAnsi="Times New Roman"/>
          <w:b/>
          <w:bCs/>
        </w:rPr>
        <w:t>miast partnerskich</w:t>
      </w:r>
      <w:r>
        <w:rPr>
          <w:rFonts w:ascii="Times New Roman" w:hAnsi="Times New Roman"/>
        </w:rPr>
        <w:t xml:space="preserve"> w zakresie rewitalizacji, w</w:t>
      </w:r>
      <w:r>
        <w:rPr>
          <w:rFonts w:ascii="Times New Roman" w:hAnsi="Times New Roman"/>
          <w:b/>
          <w:bCs/>
        </w:rPr>
        <w:t>sp</w:t>
      </w:r>
      <w:r>
        <w:rPr>
          <w:rFonts w:ascii="Times New Roman" w:hAnsi="Times New Roman"/>
          <w:b/>
          <w:bCs/>
        </w:rPr>
        <w:t>ół</w:t>
      </w:r>
      <w:r>
        <w:rPr>
          <w:rFonts w:ascii="Times New Roman" w:hAnsi="Times New Roman"/>
          <w:b/>
          <w:bCs/>
        </w:rPr>
        <w:t>prac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 xml:space="preserve"> z Biurem Architekta Miasta</w:t>
      </w:r>
      <w:r>
        <w:rPr>
          <w:rFonts w:ascii="Times New Roman" w:hAnsi="Times New Roman"/>
        </w:rPr>
        <w:t xml:space="preserve"> i instytucjami miejskimi w Polsce i Unii Europejskiej, p</w:t>
      </w:r>
      <w:r>
        <w:rPr>
          <w:rFonts w:ascii="Times New Roman" w:hAnsi="Times New Roman"/>
          <w:b/>
          <w:bCs/>
        </w:rPr>
        <w:t>artnerstwo z uczelniami</w:t>
      </w:r>
      <w:r>
        <w:rPr>
          <w:rFonts w:ascii="Times New Roman" w:hAnsi="Times New Roman"/>
        </w:rPr>
        <w:t xml:space="preserve"> (ASP, P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, U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, Szko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Filmowa, Akademia Muzyczna).</w:t>
      </w:r>
    </w:p>
    <w:p w:rsidR="001B0744" w:rsidRDefault="00BB05D4">
      <w:pPr>
        <w:pStyle w:val="Default"/>
        <w:spacing w:before="0" w:after="299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HARMONOGRAM REALIZACJI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- konsolidacja i rozw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j, 2027-2028 - ekspansja programowa, 2029-2030 - utrwalenie i transfer, przygotowanie planu na lata 2031-2035.</w:t>
      </w:r>
    </w:p>
    <w:p w:rsidR="001B0744" w:rsidRDefault="00BB05D4">
      <w:pPr>
        <w:pStyle w:val="Default"/>
        <w:spacing w:before="0" w:after="299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WSKA</w:t>
      </w:r>
      <w:r>
        <w:rPr>
          <w:rFonts w:ascii="Times New Roman" w:hAnsi="Times New Roman"/>
          <w:b/>
          <w:bCs/>
        </w:rPr>
        <w:t>Ź</w:t>
      </w:r>
      <w:r>
        <w:rPr>
          <w:rFonts w:ascii="Times New Roman" w:hAnsi="Times New Roman"/>
          <w:b/>
          <w:bCs/>
          <w:lang w:val="en-US"/>
        </w:rPr>
        <w:t>NIKI SUKCESU</w:t>
      </w:r>
    </w:p>
    <w:p w:rsidR="001B0744" w:rsidRDefault="00BB05D4">
      <w:pPr>
        <w:pStyle w:val="Default"/>
        <w:spacing w:before="0" w:after="281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WSKA</w:t>
      </w:r>
      <w:r>
        <w:rPr>
          <w:rFonts w:ascii="Times New Roman" w:hAnsi="Times New Roman"/>
          <w:b/>
          <w:bCs/>
        </w:rPr>
        <w:t>Ź</w:t>
      </w:r>
      <w:r>
        <w:rPr>
          <w:rFonts w:ascii="Times New Roman" w:hAnsi="Times New Roman"/>
          <w:b/>
          <w:bCs/>
          <w:lang w:val="en-US"/>
        </w:rPr>
        <w:t>NIKI ILO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  <w:lang w:val="de-DE"/>
        </w:rPr>
        <w:t>CIOWE: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Frekwencja: 15.000 odwiedzaj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rocznie w Kamienicy Hilarego Majewskiego i kolejn</w:t>
      </w:r>
      <w:r>
        <w:rPr>
          <w:rFonts w:ascii="Times New Roman" w:hAnsi="Times New Roman"/>
        </w:rPr>
        <w:t xml:space="preserve">e 5.000-10.000 w wydarzeniach w innych lokalizacjach w 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Wydarzenia: 90+ wydarze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kulturalnych rocznie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Publikacje: 2-3 publikacje naukowe/popularnonaukowe rocznie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praca: 10+ instytucji partnerskich w Polsce i za granic</w:t>
      </w:r>
      <w:r>
        <w:rPr>
          <w:rFonts w:ascii="Times New Roman" w:hAnsi="Times New Roman"/>
        </w:rPr>
        <w:t>ą</w:t>
      </w:r>
    </w:p>
    <w:p w:rsidR="001B0744" w:rsidRDefault="00BB05D4">
      <w:pPr>
        <w:pStyle w:val="Default"/>
        <w:spacing w:before="0" w:after="281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WSKA</w:t>
      </w:r>
      <w:r>
        <w:rPr>
          <w:rFonts w:ascii="Times New Roman" w:hAnsi="Times New Roman"/>
          <w:b/>
          <w:bCs/>
        </w:rPr>
        <w:t>Ź</w:t>
      </w:r>
      <w:r>
        <w:rPr>
          <w:rFonts w:ascii="Times New Roman" w:hAnsi="Times New Roman"/>
          <w:b/>
          <w:bCs/>
        </w:rPr>
        <w:t>NIKI JAKO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  <w:lang w:val="de-DE"/>
        </w:rPr>
        <w:t>CIOWE: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Uznan</w:t>
      </w:r>
      <w:r>
        <w:rPr>
          <w:rFonts w:ascii="Times New Roman" w:hAnsi="Times New Roman"/>
        </w:rPr>
        <w:t xml:space="preserve">ie eksperckie dla modelu </w:t>
      </w:r>
      <w:r>
        <w:rPr>
          <w:rFonts w:ascii="Times New Roman" w:hAnsi="Times New Roman"/>
        </w:rPr>
        <w:t>łó</w:t>
      </w:r>
      <w:r>
        <w:rPr>
          <w:rFonts w:ascii="Times New Roman" w:hAnsi="Times New Roman"/>
        </w:rPr>
        <w:t>dzkiej rewitalizacji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Satysfakcja </w:t>
      </w:r>
      <w:proofErr w:type="spellStart"/>
      <w:r>
        <w:rPr>
          <w:rFonts w:ascii="Times New Roman" w:hAnsi="Times New Roman"/>
        </w:rPr>
        <w:t>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z proces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rewitalizacji (badania jako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ciowe)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Obecno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medialna i akademicka projekt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inLodz21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Wp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yw na polityki miejskie w zakresie kultury i rewitalizacji</w:t>
      </w:r>
    </w:p>
    <w:p w:rsidR="001B0744" w:rsidRDefault="00BB05D4">
      <w:pPr>
        <w:pStyle w:val="Default"/>
        <w:spacing w:before="0" w:after="299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BUD</w:t>
      </w:r>
      <w:r>
        <w:rPr>
          <w:rFonts w:ascii="Times New Roman" w:hAnsi="Times New Roman"/>
          <w:b/>
          <w:bCs/>
        </w:rPr>
        <w:t>Ż</w:t>
      </w:r>
      <w:r>
        <w:rPr>
          <w:rFonts w:ascii="Times New Roman" w:hAnsi="Times New Roman"/>
          <w:b/>
          <w:bCs/>
          <w:lang w:val="en-US"/>
        </w:rPr>
        <w:t>ET I FINANSOWANIE</w:t>
      </w:r>
    </w:p>
    <w:p w:rsidR="001B0744" w:rsidRDefault="00BB05D4">
      <w:pPr>
        <w:pStyle w:val="Default"/>
        <w:spacing w:before="0" w:after="281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Ź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  <w:lang w:val="en-US"/>
        </w:rPr>
        <w:t>A FINANSOWANIA: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Dotacja miejska</w:t>
      </w:r>
      <w:r>
        <w:rPr>
          <w:rFonts w:ascii="Times New Roman" w:hAnsi="Times New Roman"/>
        </w:rPr>
        <w:t>: 70%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etu operacyjnego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Granty krajowe i europejskie</w:t>
      </w:r>
      <w:r>
        <w:rPr>
          <w:rFonts w:ascii="Times New Roman" w:hAnsi="Times New Roman"/>
        </w:rPr>
        <w:t>: 10% (programy kulturalne, badawcze)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Partnerstwa </w:t>
      </w:r>
      <w:proofErr w:type="spellStart"/>
      <w:r>
        <w:rPr>
          <w:rFonts w:ascii="Times New Roman" w:hAnsi="Times New Roman"/>
          <w:b/>
          <w:bCs/>
        </w:rPr>
        <w:t>prywatno</w:t>
      </w:r>
      <w:proofErr w:type="spellEnd"/>
      <w:r>
        <w:rPr>
          <w:rFonts w:ascii="Times New Roman" w:hAnsi="Times New Roman"/>
          <w:b/>
          <w:bCs/>
        </w:rPr>
        <w:t>-publiczne</w:t>
      </w:r>
      <w:r>
        <w:rPr>
          <w:rFonts w:ascii="Times New Roman" w:hAnsi="Times New Roman"/>
        </w:rPr>
        <w:t xml:space="preserve">: 15% (biznes / NGO) </w:t>
      </w:r>
    </w:p>
    <w:p w:rsidR="001B0744" w:rsidRDefault="00BB05D4">
      <w:pPr>
        <w:pStyle w:val="Default"/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Dzia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alno</w:t>
      </w:r>
      <w:r>
        <w:rPr>
          <w:rFonts w:ascii="Times New Roman" w:hAnsi="Times New Roman"/>
          <w:b/>
          <w:bCs/>
        </w:rPr>
        <w:t xml:space="preserve">ść </w:t>
      </w: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asna</w:t>
      </w:r>
      <w:r>
        <w:rPr>
          <w:rFonts w:ascii="Times New Roman" w:hAnsi="Times New Roman"/>
        </w:rPr>
        <w:t>: 5% (bilety, publikacje, us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ugi)</w:t>
      </w:r>
    </w:p>
    <w:p w:rsidR="001B0744" w:rsidRDefault="00BB05D4">
      <w:pPr>
        <w:pStyle w:val="Default"/>
        <w:spacing w:before="0" w:after="281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 xml:space="preserve">SZACUNKOWE KOSZTY ROCZNE: </w:t>
      </w:r>
      <w:r>
        <w:rPr>
          <w:rFonts w:ascii="Times New Roman" w:hAnsi="Times New Roman"/>
          <w:b/>
          <w:bCs/>
          <w:lang w:val="de-DE"/>
        </w:rPr>
        <w:t>2,</w:t>
      </w:r>
      <w:r>
        <w:rPr>
          <w:rFonts w:ascii="Times New Roman" w:hAnsi="Times New Roman"/>
          <w:b/>
          <w:bCs/>
        </w:rPr>
        <w:t>9-3,5 mln PLN</w:t>
      </w:r>
    </w:p>
    <w:p w:rsidR="001B0744" w:rsidRDefault="00BB05D4">
      <w:pPr>
        <w:pStyle w:val="Default"/>
        <w:numPr>
          <w:ilvl w:val="0"/>
          <w:numId w:val="3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Koszty osobowe: 60%</w:t>
      </w:r>
    </w:p>
    <w:p w:rsidR="001B0744" w:rsidRDefault="00BB05D4">
      <w:pPr>
        <w:pStyle w:val="Default"/>
        <w:numPr>
          <w:ilvl w:val="0"/>
          <w:numId w:val="3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Program artystyczny i kulturalny: 25%</w:t>
      </w:r>
    </w:p>
    <w:p w:rsidR="001B0744" w:rsidRDefault="00BB05D4">
      <w:pPr>
        <w:pStyle w:val="Default"/>
        <w:numPr>
          <w:ilvl w:val="0"/>
          <w:numId w:val="3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Koszty operacyjne: 10%</w:t>
      </w:r>
    </w:p>
    <w:p w:rsidR="001B0744" w:rsidRDefault="00BB05D4">
      <w:pPr>
        <w:pStyle w:val="Default"/>
        <w:numPr>
          <w:ilvl w:val="0"/>
          <w:numId w:val="3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Inwestycje i </w:t>
      </w:r>
      <w:proofErr w:type="spellStart"/>
      <w:r>
        <w:rPr>
          <w:rFonts w:ascii="Times New Roman" w:hAnsi="Times New Roman"/>
        </w:rPr>
        <w:t>rozw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j: 5%</w:t>
      </w:r>
    </w:p>
    <w:p w:rsidR="001B0744" w:rsidRDefault="001B0744">
      <w:pPr>
        <w:pStyle w:val="Default"/>
        <w:spacing w:before="0" w:after="120" w:line="360" w:lineRule="auto"/>
        <w:rPr>
          <w:rFonts w:ascii="Times New Roman" w:eastAsia="Times New Roman" w:hAnsi="Times New Roman" w:cs="Times New Roman"/>
        </w:rPr>
      </w:pPr>
    </w:p>
    <w:p w:rsidR="001B0744" w:rsidRDefault="00BB05D4">
      <w:pPr>
        <w:pStyle w:val="Default"/>
        <w:spacing w:before="0" w:after="240" w:line="360" w:lineRule="auto"/>
      </w:pPr>
      <w:r>
        <w:rPr>
          <w:rFonts w:ascii="Times New Roman" w:hAnsi="Times New Roman"/>
          <w:b/>
          <w:bCs/>
        </w:rPr>
        <w:t>PODSUMOWANIE</w:t>
      </w:r>
      <w:r>
        <w:rPr>
          <w:rFonts w:ascii="Times New Roman" w:hAnsi="Times New Roman"/>
        </w:rPr>
        <w:t>: Program na lata 2026-2030 pozycjonuje inLodz21 jako wiod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instytucj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w Polsce w zakresie 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 xml:space="preserve">czenia kultury z procesami </w:t>
      </w:r>
      <w:r>
        <w:rPr>
          <w:rFonts w:ascii="Times New Roman" w:hAnsi="Times New Roman"/>
        </w:rPr>
        <w:t>rewitalizacji miejskiej. 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ki umiejscowieniu w zabytkowej Kamienicy Hilarego Majewskiego i potencjalnej realizacji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w kolejnych lokalizacjach, instytucja ma szanse sta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dzynarodowym punktem odniesienia dla miast poszukuj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cych modeli </w:t>
      </w:r>
      <w:proofErr w:type="spellStart"/>
      <w:r>
        <w:rPr>
          <w:rFonts w:ascii="Times New Roman" w:hAnsi="Times New Roman"/>
        </w:rPr>
        <w:t>zr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wn</w:t>
      </w:r>
      <w:r>
        <w:rPr>
          <w:rFonts w:ascii="Times New Roman" w:hAnsi="Times New Roman"/>
        </w:rPr>
        <w:t>owa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onej</w:t>
      </w:r>
      <w:proofErr w:type="spellEnd"/>
      <w:r>
        <w:rPr>
          <w:rFonts w:ascii="Times New Roman" w:hAnsi="Times New Roman"/>
        </w:rPr>
        <w:t xml:space="preserve"> transformacji.</w:t>
      </w:r>
    </w:p>
    <w:sectPr w:rsidR="001B074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D4" w:rsidRDefault="00BB05D4">
      <w:r>
        <w:separator/>
      </w:r>
    </w:p>
  </w:endnote>
  <w:endnote w:type="continuationSeparator" w:id="0">
    <w:p w:rsidR="00BB05D4" w:rsidRDefault="00BB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44" w:rsidRDefault="001B07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D4" w:rsidRDefault="00BB05D4">
      <w:r>
        <w:separator/>
      </w:r>
    </w:p>
  </w:footnote>
  <w:footnote w:type="continuationSeparator" w:id="0">
    <w:p w:rsidR="00BB05D4" w:rsidRDefault="00BB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44" w:rsidRDefault="001B07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66364"/>
    <w:multiLevelType w:val="hybridMultilevel"/>
    <w:tmpl w:val="987AE824"/>
    <w:styleLink w:val="Bullet"/>
    <w:lvl w:ilvl="0" w:tplc="6A02328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A26D4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DA30F5B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099E6DCA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502C247C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0956A8C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72440A5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F7DC5E74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1A60396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7F71F7A"/>
    <w:multiLevelType w:val="hybridMultilevel"/>
    <w:tmpl w:val="987AE824"/>
    <w:numStyleLink w:val="Bullet"/>
  </w:abstractNum>
  <w:num w:numId="1">
    <w:abstractNumId w:val="0"/>
  </w:num>
  <w:num w:numId="2">
    <w:abstractNumId w:val="1"/>
  </w:num>
  <w:num w:numId="3">
    <w:abstractNumId w:val="1"/>
    <w:lvlOverride w:ilvl="0">
      <w:lvl w:ilvl="0" w:tplc="02643348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00F418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8767E28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0BEEF98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B248EEA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DE04052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DA8512A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A1CCEDA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DAE06D0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44"/>
    <w:rsid w:val="001B0744"/>
    <w:rsid w:val="008E20AC"/>
    <w:rsid w:val="00B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F6EF2-9D88-4B8B-A911-FA052763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Milnikel</dc:creator>
  <cp:lastModifiedBy>Agnieszka Milnikel</cp:lastModifiedBy>
  <cp:revision>2</cp:revision>
  <dcterms:created xsi:type="dcterms:W3CDTF">2025-11-07T08:17:00Z</dcterms:created>
  <dcterms:modified xsi:type="dcterms:W3CDTF">2025-11-07T08:17:00Z</dcterms:modified>
</cp:coreProperties>
</file>