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776AA1">
      <w:pPr>
        <w:jc w:val="center"/>
        <w:rPr>
          <w:b/>
          <w:caps/>
        </w:rPr>
      </w:pPr>
      <w:r>
        <w:rPr>
          <w:b/>
          <w:caps/>
        </w:rPr>
        <w:t>Uchwała Nr XXXVII/1157/21</w:t>
      </w:r>
      <w:r>
        <w:rPr>
          <w:b/>
          <w:caps/>
        </w:rPr>
        <w:br/>
        <w:t>Rady Miejskiej w Łodzi</w:t>
      </w:r>
    </w:p>
    <w:p w:rsidR="00A77B3E" w:rsidRDefault="00776AA1">
      <w:pPr>
        <w:jc w:val="center"/>
        <w:rPr>
          <w:b/>
          <w:caps/>
        </w:rPr>
      </w:pPr>
      <w:r>
        <w:rPr>
          <w:b/>
        </w:rPr>
        <w:t>z dnia 27 stycznia 2021 r.</w:t>
      </w:r>
    </w:p>
    <w:p w:rsidR="00A77B3E" w:rsidRDefault="00776AA1">
      <w:pPr>
        <w:keepNext/>
        <w:spacing w:before="120" w:after="240"/>
        <w:jc w:val="center"/>
      </w:pPr>
      <w:r>
        <w:rPr>
          <w:b/>
        </w:rPr>
        <w:t>w sprawie wyboru metody ustalenia opłaty za gospodarowanie odpadami komunalnymi oraz ustalenia stawki takiej opłaty na terenie Miasta Łodzi.</w:t>
      </w:r>
    </w:p>
    <w:p w:rsidR="00A77B3E" w:rsidRDefault="00776AA1">
      <w:pPr>
        <w:keepLines/>
        <w:spacing w:before="120" w:after="240"/>
        <w:ind w:firstLine="567"/>
      </w:pPr>
      <w:r>
        <w:t xml:space="preserve">Na podstawie art. 18 ust. 2 pkt 15, </w:t>
      </w:r>
      <w:r>
        <w:t>art. 40 ust. 1 i art. 41 ust. 1 ustawy z dnia 8 marca 1990 r. o samorządzie gminnym (Dz. U. z 2020 r. poz. 713 i 1378) oraz art. 6j ust. 1 pkt 1 i 2 oraz ust. 3, 3e, 4, art. 6k ust. 1 pkt 1 i 2 oraz ust. 2, 2a i 3 ustawy z dnia 13 września 1996 r. o utrzym</w:t>
      </w:r>
      <w:r>
        <w:t>aniu czystości i porządku w gminach (Dz. U. z 2020 r. poz. 1439, 2320 i 2361), Rada Miejska w Łodzi</w:t>
      </w:r>
    </w:p>
    <w:p w:rsidR="00A77B3E" w:rsidRDefault="00776AA1">
      <w:pPr>
        <w:jc w:val="center"/>
        <w:rPr>
          <w:b/>
        </w:rPr>
      </w:pPr>
      <w:r>
        <w:rPr>
          <w:b/>
        </w:rPr>
        <w:t>uchwala, co następuje:</w:t>
      </w:r>
    </w:p>
    <w:p w:rsidR="00A77B3E" w:rsidRDefault="00776AA1">
      <w:pPr>
        <w:keepLines/>
        <w:spacing w:before="240"/>
        <w:ind w:firstLine="567"/>
        <w:rPr>
          <w:color w:val="000000"/>
          <w:u w:color="000000"/>
        </w:rPr>
      </w:pPr>
      <w:r>
        <w:t>§ 1. 1. </w:t>
      </w:r>
      <w:r>
        <w:t>W przypadku nieruchomości zabudowanych budynkami mieszkalnymi jednorodzinnymi, na których zamieszkują mieszkańcy dokonuje się</w:t>
      </w:r>
      <w:r>
        <w:t xml:space="preserve"> wyboru metody ustalenia opłaty za gospodarowanie odpadami komunalnymi w oparciu o liczbę mieszkańców zamieszkujących daną nieruchomość.</w:t>
      </w:r>
    </w:p>
    <w:p w:rsidR="00A77B3E" w:rsidRDefault="00776AA1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stawkę opłaty za gospodarowanie odpadami komunalnymi z nieruchomości, o których mowa w ust. 1 w wysokości</w:t>
      </w:r>
      <w:r>
        <w:rPr>
          <w:color w:val="000000"/>
          <w:u w:color="000000"/>
        </w:rPr>
        <w:t xml:space="preserve"> 34,00 zł miesięcznie od jednego mieszkańca zamieszkującego daną nieruchomość.</w:t>
      </w:r>
    </w:p>
    <w:p w:rsidR="00A77B3E" w:rsidRDefault="00776AA1">
      <w:pPr>
        <w:keepLines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Ustala się stawkę opłaty podwyższonej za gospodarowanie odpadami komunalnymi z nieruchomości, o których mowa w ust. 1, jeżeli właściciel nieruchomości nie wypełnia obowiązku </w:t>
      </w:r>
      <w:r>
        <w:rPr>
          <w:color w:val="000000"/>
          <w:u w:color="000000"/>
        </w:rPr>
        <w:t>zbierania odpadów komunalnych w sposób selektywny, w wysokości 68,00 zł miesięcznie od jednego mieszkańca zamieszkującego daną nieruchomość.</w:t>
      </w:r>
    </w:p>
    <w:p w:rsidR="00A77B3E" w:rsidRDefault="00776AA1">
      <w:pPr>
        <w:keepLines/>
        <w:spacing w:before="240"/>
        <w:ind w:firstLine="567"/>
        <w:rPr>
          <w:color w:val="000000"/>
          <w:u w:color="000000"/>
        </w:rPr>
      </w:pPr>
      <w:r>
        <w:t>§ 2. 1. </w:t>
      </w:r>
      <w:r>
        <w:rPr>
          <w:color w:val="000000"/>
          <w:u w:color="000000"/>
        </w:rPr>
        <w:t>W przypadku nieruchomości zabudowanych budynkami wielolokalowymi, na których zamieszkują mieszkańcy dokonuj</w:t>
      </w:r>
      <w:r>
        <w:rPr>
          <w:color w:val="000000"/>
          <w:u w:color="000000"/>
        </w:rPr>
        <w:t>e się wyboru metody ustalenia opłaty za gospodarowanie odpadami komunalnymi w oparciu o ilość zużytej wody z danej nieruchomości.</w:t>
      </w:r>
    </w:p>
    <w:p w:rsidR="00A77B3E" w:rsidRDefault="00776AA1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stawkę opłaty za gospodarowanie odpadami komunalnymi z nieruchomości, o których mowa w ust. 1 w wysokości 9,60 z</w:t>
      </w:r>
      <w:r>
        <w:rPr>
          <w:color w:val="000000"/>
          <w:u w:color="000000"/>
        </w:rPr>
        <w:t>ł za 1 m</w:t>
      </w:r>
      <w:r>
        <w:rPr>
          <w:color w:val="000000"/>
          <w:u w:color="000000"/>
          <w:vertAlign w:val="superscript"/>
        </w:rPr>
        <w:t xml:space="preserve">3 </w:t>
      </w:r>
      <w:r>
        <w:rPr>
          <w:color w:val="000000"/>
          <w:u w:color="000000"/>
        </w:rPr>
        <w:t>zużytej wody.</w:t>
      </w:r>
    </w:p>
    <w:p w:rsidR="00A77B3E" w:rsidRDefault="00776AA1">
      <w:pPr>
        <w:keepLines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stawkę opłaty podwyższonej za gospodarowanie odpadami komunalnymi z nieruchomości, o których mowa w ust. 1, jeżeli właściciel nieruchomości nie wypełnia obowiązku zbierania odpadów komunalnych w sposób selektywny, w </w:t>
      </w:r>
      <w:r>
        <w:rPr>
          <w:color w:val="000000"/>
          <w:u w:color="000000"/>
        </w:rPr>
        <w:t>wysokości 19,20 zł za 1 m</w:t>
      </w:r>
      <w:r>
        <w:rPr>
          <w:color w:val="000000"/>
          <w:u w:color="000000"/>
          <w:vertAlign w:val="superscript"/>
        </w:rPr>
        <w:t xml:space="preserve">3 </w:t>
      </w:r>
      <w:r>
        <w:rPr>
          <w:color w:val="000000"/>
          <w:u w:color="000000"/>
        </w:rPr>
        <w:t>zużytej wody.</w:t>
      </w:r>
    </w:p>
    <w:p w:rsidR="00A77B3E" w:rsidRDefault="00776AA1">
      <w:pPr>
        <w:keepLines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Podstawę ustalenia opłaty stanowi średniomiesięczne zużycie wody.</w:t>
      </w:r>
    </w:p>
    <w:p w:rsidR="00A77B3E" w:rsidRDefault="00776AA1">
      <w:pPr>
        <w:keepLines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Średniomiesięczne zużycie wody, o którym mowa w ust. 4, wyliczane jest jako suma ilości zużytej wody według wskazań wodomierza za kolejne trzy </w:t>
      </w:r>
      <w:r>
        <w:rPr>
          <w:color w:val="000000"/>
          <w:u w:color="000000"/>
        </w:rPr>
        <w:t>miesiące następujące po sobie – bezpośrednio poprzedzające miesiąc, w którym powstał obowiązek złożenia deklaracji, podzielone przez 3.</w:t>
      </w:r>
    </w:p>
    <w:p w:rsidR="00A77B3E" w:rsidRDefault="00776AA1">
      <w:pPr>
        <w:keepLines/>
        <w:ind w:firstLine="567"/>
        <w:rPr>
          <w:color w:val="000000"/>
          <w:u w:color="000000"/>
        </w:rPr>
      </w:pPr>
      <w:r>
        <w:t>5a. </w:t>
      </w:r>
      <w:r>
        <w:rPr>
          <w:color w:val="000000"/>
          <w:u w:color="000000"/>
        </w:rPr>
        <w:t>Dla średniomiesięcznego zużycia wody, o którym mowa w ust. 4, wyliczonego zgodnie z ust. 5, przyjmuje się trzymiesię</w:t>
      </w:r>
      <w:r>
        <w:rPr>
          <w:color w:val="000000"/>
          <w:u w:color="000000"/>
        </w:rPr>
        <w:t>czny okres rozliczeniowy.</w:t>
      </w:r>
    </w:p>
    <w:p w:rsidR="00A77B3E" w:rsidRDefault="00776AA1">
      <w:pPr>
        <w:keepLines/>
        <w:ind w:firstLine="567"/>
        <w:rPr>
          <w:color w:val="000000"/>
          <w:u w:color="000000"/>
        </w:rPr>
      </w:pPr>
      <w:r>
        <w:t>5b. </w:t>
      </w:r>
      <w:r>
        <w:rPr>
          <w:color w:val="000000"/>
          <w:u w:color="000000"/>
        </w:rPr>
        <w:t>Trzymiesięczny okres rozliczeniowy, o którym mowa w ust. 5a, liczony jest za kolejne trzy miesiące począwszy od  miesiąca, w którym powstał obowiązek złożenia deklaracji.</w:t>
      </w:r>
    </w:p>
    <w:p w:rsidR="00A77B3E" w:rsidRDefault="00776AA1">
      <w:pPr>
        <w:keepLines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Przy wyliczaniu średniomiesięcznego zużycia wody nie</w:t>
      </w:r>
      <w:r>
        <w:rPr>
          <w:color w:val="000000"/>
          <w:u w:color="000000"/>
        </w:rPr>
        <w:t> uwzględnia się ilości wody:</w:t>
      </w:r>
    </w:p>
    <w:p w:rsidR="00A77B3E" w:rsidRDefault="00776AA1">
      <w:pPr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bezpowrotnie zużytej w okresie przyjętym do wyliczenia, ustalonej na podstawie wskazań dodatkowego wodomierza zainstalowanego na danej nieruchomości;</w:t>
      </w:r>
    </w:p>
    <w:p w:rsidR="00A77B3E" w:rsidRDefault="00776AA1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wody zużytej poza częścią zamieszkałą nieruchomości - wody wykorzystywa</w:t>
      </w:r>
      <w:r>
        <w:rPr>
          <w:color w:val="000000"/>
          <w:u w:color="000000"/>
        </w:rPr>
        <w:t>nej na cele wspólne nieruchomości oraz wody wykorzystywanej w lokalach użytkowych.</w:t>
      </w:r>
    </w:p>
    <w:p w:rsidR="00A77B3E" w:rsidRDefault="00776AA1">
      <w:pPr>
        <w:keepLines/>
        <w:spacing w:before="240"/>
        <w:ind w:firstLine="567"/>
        <w:rPr>
          <w:color w:val="000000"/>
          <w:u w:color="000000"/>
        </w:rPr>
      </w:pPr>
      <w:r>
        <w:lastRenderedPageBreak/>
        <w:t>§ 3. 1. </w:t>
      </w:r>
      <w:r>
        <w:rPr>
          <w:color w:val="000000"/>
          <w:u w:color="000000"/>
        </w:rPr>
        <w:t>W przypadku nieruchomości, o których mowa w § 2 i § 4 ust. 1 pkt 1, w przypadku:</w:t>
      </w:r>
    </w:p>
    <w:p w:rsidR="00A77B3E" w:rsidRDefault="00776AA1">
      <w:pPr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braku podłączenia budynku mieszkalnego do sieci wodociągowej, lub</w:t>
      </w:r>
    </w:p>
    <w:p w:rsidR="00A77B3E" w:rsidRDefault="00776AA1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braku wodomi</w:t>
      </w:r>
      <w:r>
        <w:rPr>
          <w:color w:val="000000"/>
          <w:u w:color="000000"/>
        </w:rPr>
        <w:t>erza, lub</w:t>
      </w:r>
    </w:p>
    <w:p w:rsidR="00A77B3E" w:rsidRDefault="00776AA1">
      <w:pPr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nieruchomości nowo wybudowanej albo nowo zamieszkałej</w:t>
      </w:r>
    </w:p>
    <w:p w:rsidR="00A77B3E" w:rsidRDefault="00776AA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dokonuje się wyboru metody ustalenia opłaty za gospodarowanie odpadami komunalnymi w oparciu o liczbę mieszkańców zamieszkujących daną nieruchomość.</w:t>
      </w:r>
    </w:p>
    <w:p w:rsidR="00A77B3E" w:rsidRDefault="00776AA1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Ustala się stawkę opłaty za </w:t>
      </w:r>
      <w:r>
        <w:rPr>
          <w:color w:val="000000"/>
          <w:u w:color="000000"/>
        </w:rPr>
        <w:t>gospodarowanie odpadami komunalnymi z nieruchomości, o których mowa w ust. 1 w wysokości 34,00 zł miesięcznie od jednego mieszkańca zamieszkującego daną nieruchomość.</w:t>
      </w:r>
    </w:p>
    <w:p w:rsidR="00A77B3E" w:rsidRDefault="00776AA1">
      <w:pPr>
        <w:keepLines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stawkę opłaty podwyższonej za gospodarowanie odpadami komunalnymi z nieruch</w:t>
      </w:r>
      <w:r>
        <w:rPr>
          <w:color w:val="000000"/>
          <w:u w:color="000000"/>
        </w:rPr>
        <w:t>omości, o których mowa w ust. 1, jeżeli właściciel nieruchomości nie wypełnia obowiązku zbierania odpadów komunalnych w sposób selektywny, w wysokości 68,00 zł miesięcznie od jednego mieszkańca zamieszkującego daną nieruchomość.</w:t>
      </w:r>
    </w:p>
    <w:p w:rsidR="00A77B3E" w:rsidRDefault="00776AA1">
      <w:pPr>
        <w:keepLines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nieruchomośc</w:t>
      </w:r>
      <w:r>
        <w:rPr>
          <w:color w:val="000000"/>
          <w:u w:color="000000"/>
        </w:rPr>
        <w:t>i, o których mowa w ust. 1 pkt 1 – 3 po uzyskaniu danych, o których mowa w § 2 ust. 5 wysokość opłaty ustala się w oparciu o metodę</w:t>
      </w:r>
      <w:r>
        <w:rPr>
          <w:color w:val="000000"/>
          <w:u w:color="000000"/>
        </w:rPr>
        <w:br/>
        <w:t>i zasady określone w § 2.</w:t>
      </w:r>
    </w:p>
    <w:p w:rsidR="00A77B3E" w:rsidRDefault="00776AA1">
      <w:pPr>
        <w:keepLines/>
        <w:spacing w:before="240"/>
        <w:ind w:firstLine="567"/>
        <w:rPr>
          <w:color w:val="000000"/>
          <w:u w:color="000000"/>
        </w:rPr>
      </w:pPr>
      <w:r>
        <w:t>§ 4. 1. </w:t>
      </w:r>
      <w:r>
        <w:rPr>
          <w:color w:val="000000"/>
          <w:u w:color="000000"/>
        </w:rPr>
        <w:t>W przypadku nieruchomości zabudowanych budynkami wielolokalowymi, w części stanowiącej nie</w:t>
      </w:r>
      <w:r>
        <w:rPr>
          <w:color w:val="000000"/>
          <w:u w:color="000000"/>
        </w:rPr>
        <w:t xml:space="preserve">ruchomość, na której zamieszkują mieszkańcy oraz w części </w:t>
      </w:r>
      <w:r>
        <w:rPr>
          <w:i/>
          <w:color w:val="000000"/>
          <w:u w:color="000000"/>
        </w:rPr>
        <w:t>s</w:t>
      </w:r>
      <w:r>
        <w:rPr>
          <w:color w:val="000000"/>
          <w:u w:color="000000"/>
        </w:rPr>
        <w:t>tanowiącej nieruchomość, na której nie zamieszkują mieszkańcy, a powstają odpady komunalne, dokonuje się wyboru metody ustalenia opłaty za gospodarowanie odpadami komunalnymi;</w:t>
      </w:r>
    </w:p>
    <w:p w:rsidR="00A77B3E" w:rsidRDefault="00776AA1">
      <w:pPr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części zamiesz</w:t>
      </w:r>
      <w:r>
        <w:rPr>
          <w:color w:val="000000"/>
          <w:u w:color="000000"/>
        </w:rPr>
        <w:t>kałej w oparciu o ilość zużytej wody;</w:t>
      </w:r>
    </w:p>
    <w:p w:rsidR="00A77B3E" w:rsidRDefault="00776AA1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części niezamieszkałej w oparciu o liczbę pojemników lub worków przeznaczonych do zbierania odpadów komunalnych.</w:t>
      </w:r>
    </w:p>
    <w:p w:rsidR="00A77B3E" w:rsidRDefault="00776AA1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stawki opłaty za gospodarowanie odpadami komunalnymi:</w:t>
      </w:r>
    </w:p>
    <w:p w:rsidR="00A77B3E" w:rsidRDefault="00776AA1">
      <w:pPr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nieruchomości, o której</w:t>
      </w:r>
      <w:r>
        <w:rPr>
          <w:color w:val="000000"/>
          <w:u w:color="000000"/>
        </w:rPr>
        <w:t xml:space="preserve"> mowa w ust. 1 pkt 1, w wysokości 9,60 zł za 1 m</w:t>
      </w:r>
      <w:r>
        <w:rPr>
          <w:color w:val="000000"/>
          <w:u w:color="000000"/>
          <w:vertAlign w:val="superscript"/>
        </w:rPr>
        <w:t xml:space="preserve">3 </w:t>
      </w:r>
      <w:r>
        <w:rPr>
          <w:color w:val="000000"/>
          <w:u w:color="000000"/>
        </w:rPr>
        <w:t>zużytej wody;</w:t>
      </w:r>
    </w:p>
    <w:p w:rsidR="00A77B3E" w:rsidRDefault="00776AA1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nieruchomości, o której mowa w ust. 1 pkt 2, jako iloczyn zadeklarowanej liczby pojemników lub worków przeznaczonych do zbierania odpadów komunalnych powstających na danej nieruchomości</w:t>
      </w:r>
      <w:r>
        <w:rPr>
          <w:color w:val="000000"/>
          <w:u w:color="000000"/>
        </w:rPr>
        <w:t xml:space="preserve"> oraz stawki opłaty, o której mowa w pkt 3;</w:t>
      </w:r>
    </w:p>
    <w:p w:rsidR="00A77B3E" w:rsidRDefault="00776AA1">
      <w:pPr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stawka opłaty za pojemnik przeznaczony do zbierania odpadów komunalnych o pojemności 1100 litrów wynosi 58,20 zł, a za worek przeznaczony do zbierania odpadów komunalnych o pojemności 120 litrów wynosi 18,19 z</w:t>
      </w:r>
      <w:r>
        <w:rPr>
          <w:color w:val="000000"/>
          <w:u w:color="000000"/>
        </w:rPr>
        <w:t>ł; za pojemniki lub worki przeznaczone do zbierania odpadów komunalnych o mniejszych lub większych pojemnościach stawki opłat ustala się według tabeli stanowiącej załącznik Nr 1 do uchwały.</w:t>
      </w:r>
    </w:p>
    <w:p w:rsidR="00A77B3E" w:rsidRDefault="00776AA1">
      <w:pPr>
        <w:keepLines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właściciel nieruchomości nie wypełnia obowiązku zbierani</w:t>
      </w:r>
      <w:r>
        <w:rPr>
          <w:color w:val="000000"/>
          <w:u w:color="000000"/>
        </w:rPr>
        <w:t>a odpadów komunalnych w sposób selektywny, stawka opłaty podwyższonej za gospodarowanie odpadami komunalnymi wynosi  odpowiednio dwukrotność stawki  ustalonej w ust. 2, to jest:</w:t>
      </w:r>
    </w:p>
    <w:p w:rsidR="00A77B3E" w:rsidRDefault="00776AA1">
      <w:pPr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19,20 zł dla stawki, o której mowa w ust. 2 pkt 1;</w:t>
      </w:r>
    </w:p>
    <w:p w:rsidR="00A77B3E" w:rsidRDefault="00776AA1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116,40 zł za pojemnik</w:t>
      </w:r>
      <w:r>
        <w:rPr>
          <w:color w:val="000000"/>
          <w:u w:color="000000"/>
        </w:rPr>
        <w:t xml:space="preserve"> o pojemności 1100 litrów oraz 36,38 zł za worek o pojemności 120 litrów; za pojemniki lub worki przeznaczone do zbierania odpadów komunalnych o mniejszych lub większych pojemnościach stawki opłat podwyższonych ustala się według tabeli stanowiącej załączni</w:t>
      </w:r>
      <w:r>
        <w:rPr>
          <w:color w:val="000000"/>
          <w:u w:color="000000"/>
        </w:rPr>
        <w:t>k Nr 2 do uchwały, dla stawki, o której mowa w ust. 2 pkt 3.</w:t>
      </w:r>
    </w:p>
    <w:p w:rsidR="00A77B3E" w:rsidRDefault="00776AA1">
      <w:pPr>
        <w:keepLines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Wyliczenie ilości zużytej wody dla nieruchomości, o których mowa w ust. 1 pkt 1, następuje zgodnie z zasadami określonymi w § 2 ust. 4-7.</w:t>
      </w:r>
    </w:p>
    <w:p w:rsidR="00A77B3E" w:rsidRDefault="00776AA1">
      <w:pPr>
        <w:keepLines/>
        <w:spacing w:before="240"/>
        <w:ind w:firstLine="567"/>
        <w:rPr>
          <w:color w:val="000000"/>
          <w:u w:color="000000"/>
        </w:rPr>
      </w:pPr>
      <w:r>
        <w:t>§ 5. </w:t>
      </w:r>
      <w:r>
        <w:rPr>
          <w:color w:val="000000"/>
          <w:u w:color="000000"/>
        </w:rPr>
        <w:t>Wykonanie uchwały powierza się Prezydentowi Miast</w:t>
      </w:r>
      <w:r>
        <w:rPr>
          <w:color w:val="000000"/>
          <w:u w:color="000000"/>
        </w:rPr>
        <w:t>a Łodzi.</w:t>
      </w:r>
    </w:p>
    <w:p w:rsidR="00A77B3E" w:rsidRDefault="00776AA1">
      <w:pPr>
        <w:keepLines/>
        <w:spacing w:before="240"/>
        <w:ind w:firstLine="567"/>
        <w:rPr>
          <w:color w:val="000000"/>
          <w:u w:color="000000"/>
        </w:rPr>
      </w:pPr>
      <w:r>
        <w:lastRenderedPageBreak/>
        <w:t>§ 6. </w:t>
      </w:r>
      <w:r>
        <w:rPr>
          <w:color w:val="000000"/>
          <w:u w:color="000000"/>
        </w:rPr>
        <w:t>Traci moc uchwała Nr XXXV/1136/20 Rady Miejskiej w Łodzi z dnia 30 grudnia 2020 r. w sprawie wyboru metody ustalenia opłaty za gospodarowanie odpadami komunalnymi, ustalenia stawki tej opłaty dla nieruchomości, na których zamieszkują mieszkań</w:t>
      </w:r>
      <w:r>
        <w:rPr>
          <w:color w:val="000000"/>
          <w:u w:color="000000"/>
        </w:rPr>
        <w:t>cy oraz ustalenia stawki opłaty za pojemnik lub worek przeznaczony do zbierania odpadów komunalnych.</w:t>
      </w:r>
    </w:p>
    <w:p w:rsidR="00A77B3E" w:rsidRDefault="00776AA1">
      <w:pPr>
        <w:keepNext/>
        <w:keepLines/>
        <w:spacing w:before="240"/>
        <w:ind w:firstLine="567"/>
        <w:rPr>
          <w:color w:val="000000"/>
          <w:u w:color="000000"/>
        </w:rPr>
      </w:pPr>
      <w:r>
        <w:t>§ 7. </w:t>
      </w:r>
      <w:r>
        <w:rPr>
          <w:color w:val="000000"/>
          <w:u w:color="000000"/>
        </w:rPr>
        <w:t>Uchwała podlega ogłoszeniu w Dzienniku Urzędowym Województwa Łódzkiego i wchodzi w życie z dniem 1 lipca 2021 r.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C51D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5C51DF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keepLines/>
              <w:spacing w:before="240" w:after="26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 xml:space="preserve">Rady Miejskiej </w:t>
            </w:r>
            <w:r>
              <w:rPr>
                <w:b/>
                <w:color w:val="000000"/>
              </w:rPr>
              <w:t>w Łodzi</w:t>
            </w:r>
            <w:r>
              <w:rPr>
                <w:color w:val="000000"/>
              </w:rPr>
              <w:br/>
            </w:r>
            <w:r w:rsidR="00164832"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 w:rsidSect="006F7E53">
          <w:footerReference w:type="default" r:id="rId6"/>
          <w:endnotePr>
            <w:numFmt w:val="decimal"/>
          </w:endnotePr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5C51DF" w:rsidRDefault="00776AA1">
      <w:pPr>
        <w:spacing w:after="240"/>
        <w:ind w:left="5669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Załącznik</w:t>
      </w:r>
      <w:r>
        <w:rPr>
          <w:color w:val="000000"/>
          <w:szCs w:val="20"/>
          <w:shd w:val="clear" w:color="auto" w:fill="FFFFFF"/>
        </w:rPr>
        <w:t xml:space="preserve"> Nr 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                         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uchwały Nr </w:t>
      </w:r>
      <w:r>
        <w:rPr>
          <w:color w:val="000000"/>
          <w:szCs w:val="20"/>
          <w:shd w:val="clear" w:color="auto" w:fill="FFFFFF"/>
        </w:rPr>
        <w:t>XXXVII/1157/21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Rady Miejskiej w Łodzi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dnia</w:t>
      </w:r>
      <w:r>
        <w:rPr>
          <w:color w:val="000000"/>
          <w:szCs w:val="20"/>
          <w:shd w:val="clear" w:color="auto" w:fill="FFFFFF"/>
        </w:rPr>
        <w:t xml:space="preserve"> 27 stycznia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2021 r.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789"/>
        <w:gridCol w:w="3299"/>
        <w:gridCol w:w="3386"/>
      </w:tblGrid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Lp.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Pojemność pojemnika lub worka w litrach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5C51DF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Stawka opłaty za pojemnik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>w zł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5C51DF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Stawka opłaty za worek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>w zł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-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4,54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60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3,17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9,09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80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4,23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12,12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4.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120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6,34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18,19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140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7,40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21,22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6.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180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9,52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27,28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190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10,05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28,80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8.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210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11,11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31,83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9.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240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12,69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36,38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10.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260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13,75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39,41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11.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340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17,98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51,53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390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20,63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59,11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13.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26,45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75,79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14.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550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29,10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83,37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15.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660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34,92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100,04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16.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750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39,68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113,68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17.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770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40,74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116,71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18.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52,90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151,58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19.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1100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58,20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166,74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20.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1200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63,49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181,90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21.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1300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68,78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197,05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1400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74,07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212,21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23.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1500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79,36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227,37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24.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1600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84,65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242,53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25.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1700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89,94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257,69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26.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2500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132,27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378,95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27.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264,54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757,91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28.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370,36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1061,08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29.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10000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529,09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1515,83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30.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12000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634,90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1819,00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31.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15000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793,63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2273,75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20000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1058,18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3031,66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33.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24000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1269,81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3638,00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34.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27000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1428,54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4092,75</w:t>
            </w:r>
          </w:p>
        </w:tc>
      </w:tr>
      <w:tr w:rsidR="005C51D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35.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34000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1798,90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153,83</w:t>
            </w:r>
          </w:p>
        </w:tc>
      </w:tr>
    </w:tbl>
    <w:p w:rsidR="006F7E53" w:rsidRDefault="006F7E53" w:rsidP="006F7E53">
      <w:pPr>
        <w:ind w:left="524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C51DF" w:rsidRDefault="005C51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5C51DF">
          <w:footerReference w:type="default" r:id="rId7"/>
          <w:endnotePr>
            <w:numFmt w:val="decimal"/>
          </w:endnotePr>
          <w:pgSz w:w="11906" w:h="16838"/>
          <w:pgMar w:top="1701" w:right="1417" w:bottom="1417" w:left="1417" w:header="708" w:footer="708" w:gutter="0"/>
          <w:cols w:space="708"/>
        </w:sectPr>
      </w:pPr>
    </w:p>
    <w:p w:rsidR="005C51DF" w:rsidRDefault="00776AA1">
      <w:pPr>
        <w:spacing w:after="240"/>
        <w:ind w:left="5669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Załącznik Nr 2 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br/>
      </w:r>
      <w:bookmarkStart w:id="0" w:name="_GoBack"/>
      <w:bookmarkEnd w:id="0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uchwały Nr </w:t>
      </w:r>
      <w:r>
        <w:rPr>
          <w:color w:val="000000"/>
          <w:szCs w:val="20"/>
          <w:shd w:val="clear" w:color="auto" w:fill="FFFFFF"/>
        </w:rPr>
        <w:t>XXXVII/1157/21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Rady Miejskiej w Łodzi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dnia</w:t>
      </w:r>
      <w:r>
        <w:rPr>
          <w:color w:val="000000"/>
          <w:szCs w:val="20"/>
          <w:shd w:val="clear" w:color="auto" w:fill="FFFFFF"/>
        </w:rPr>
        <w:t xml:space="preserve"> 27 stycznia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2021 r.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774"/>
        <w:gridCol w:w="3313"/>
        <w:gridCol w:w="3382"/>
      </w:tblGrid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Lp.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Pojemność pojemnika lub worka w litrach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5C51DF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Stawka opłaty za pojemnik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>w zł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5C51DF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Stawka opłaty za worek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>w zł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-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9,08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60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6,34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18,18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80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8,46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24,24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120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12,68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36,38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140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14,80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42,44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180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19,04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54,56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190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20,10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57,60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8.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210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22,22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63,66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9.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240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25,38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72,76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10.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260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27,50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78,82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340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35,96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103,06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390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41,26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118,22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52,90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151,58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550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58,20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166,74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660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69,84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200,08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750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79,36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227,36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17.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770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81,48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233,42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18.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1000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105,80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303,16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19.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1100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116,40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333,48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20.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1200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126,98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363,80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1300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137,56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394,10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1400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148,14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424,42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1500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158,72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454,74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1600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169,30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485,06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1700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179,88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515,38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2500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264,54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757,90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27.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5000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529,08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1515,82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28.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7000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740,72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2122,16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29.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10000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1058,18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3031,66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30.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12000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1269,80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3638,00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15000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1587,26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4547,50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20000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2116,36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6063,32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24000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2539,62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7276,00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27000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2857,08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8185,50</w:t>
            </w:r>
          </w:p>
        </w:tc>
      </w:tr>
      <w:tr w:rsidR="005C51DF" w:rsidTr="006F7E5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34000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3597,80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5C51DF" w:rsidRDefault="00776AA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10307,66</w:t>
            </w:r>
          </w:p>
        </w:tc>
      </w:tr>
    </w:tbl>
    <w:p w:rsidR="005C51DF" w:rsidRDefault="005C51DF" w:rsidP="006F7E53">
      <w:pPr>
        <w:ind w:left="567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5C51DF">
      <w:footerReference w:type="default" r:id="rId8"/>
      <w:endnotePr>
        <w:numFmt w:val="decimal"/>
      </w:endnotePr>
      <w:pgSz w:w="11906" w:h="16838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76AA1">
      <w:r>
        <w:separator/>
      </w:r>
    </w:p>
  </w:endnote>
  <w:endnote w:type="continuationSeparator" w:id="0">
    <w:p w:rsidR="00000000" w:rsidRDefault="0077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7"/>
      <w:gridCol w:w="3023"/>
    </w:tblGrid>
    <w:tr w:rsidR="005C51D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C51DF" w:rsidRDefault="00776AA1">
          <w:pPr>
            <w:jc w:val="left"/>
            <w:rPr>
              <w:sz w:val="18"/>
            </w:rPr>
          </w:pPr>
          <w:r>
            <w:rPr>
              <w:sz w:val="18"/>
            </w:rPr>
            <w:t>Id: 2889A897-E149-4E03-92B0-3F6C84B46BC0.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C51DF" w:rsidRDefault="00776AA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F7E53">
            <w:rPr>
              <w:sz w:val="18"/>
            </w:rPr>
            <w:fldChar w:fldCharType="separate"/>
          </w:r>
          <w:r w:rsidR="006F7E5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6F7E53">
            <w:rPr>
              <w:sz w:val="18"/>
            </w:rPr>
            <w:fldChar w:fldCharType="separate"/>
          </w:r>
          <w:r w:rsidR="006F7E5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C51DF" w:rsidRDefault="005C51D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C51D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C51DF" w:rsidRDefault="00776AA1">
          <w:pPr>
            <w:jc w:val="left"/>
            <w:rPr>
              <w:sz w:val="18"/>
            </w:rPr>
          </w:pPr>
          <w:r>
            <w:rPr>
              <w:sz w:val="18"/>
            </w:rPr>
            <w:t>Id: 2889A897-E149-4E03-92B0-3F6C84B46BC0.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C51DF" w:rsidRDefault="00776AA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F7E53">
            <w:rPr>
              <w:sz w:val="18"/>
            </w:rPr>
            <w:fldChar w:fldCharType="separate"/>
          </w:r>
          <w:r w:rsidR="006F7E53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6F7E53">
            <w:rPr>
              <w:sz w:val="18"/>
            </w:rPr>
            <w:fldChar w:fldCharType="separate"/>
          </w:r>
          <w:r w:rsidR="006F7E53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5C51DF" w:rsidRDefault="005C51D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C51D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C51DF" w:rsidRDefault="00776AA1">
          <w:pPr>
            <w:jc w:val="left"/>
            <w:rPr>
              <w:sz w:val="18"/>
            </w:rPr>
          </w:pPr>
          <w:r>
            <w:rPr>
              <w:sz w:val="18"/>
            </w:rPr>
            <w:t>Id: 2889A897-E149-4E03-92B0-3F6C84B46BC0.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C51DF" w:rsidRDefault="00776AA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F7E53">
            <w:rPr>
              <w:sz w:val="18"/>
            </w:rPr>
            <w:fldChar w:fldCharType="separate"/>
          </w:r>
          <w:r w:rsidR="006F7E53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6F7E53">
            <w:rPr>
              <w:sz w:val="18"/>
            </w:rPr>
            <w:fldChar w:fldCharType="separate"/>
          </w:r>
          <w:r w:rsidR="006F7E53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5C51DF" w:rsidRDefault="005C51D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76AA1">
      <w:r>
        <w:separator/>
      </w:r>
    </w:p>
  </w:footnote>
  <w:footnote w:type="continuationSeparator" w:id="0">
    <w:p w:rsidR="00000000" w:rsidRDefault="00776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64832"/>
    <w:rsid w:val="005C51DF"/>
    <w:rsid w:val="006F7E53"/>
    <w:rsid w:val="00776AA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B62F4"/>
  <w15:docId w15:val="{AF0659C2-16A7-497A-8993-FC93A371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7E53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7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1385</Words>
  <Characters>7555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XXXVII/1157/21 z dnia 27 stycznia 2021 r.</vt:lpstr>
      <vt:lpstr/>
    </vt:vector>
  </TitlesOfParts>
  <Company>Rada Miejska w Łodzi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XXXVII/1157/21 z dnia 27 stycznia 2021 r.</dc:title>
  <dc:subject>w sprawie wyboru metody ustalenia opłaty za gospodarowanie odpadami komunalnymi oraz ustalenia stawki takiej opłaty na terenie Miasta Łodzi.</dc:subject>
  <dc:creator>mwozniak</dc:creator>
  <cp:lastModifiedBy>Małgorzata Woźniak</cp:lastModifiedBy>
  <cp:revision>3</cp:revision>
  <cp:lastPrinted>2021-02-19T11:15:00Z</cp:lastPrinted>
  <dcterms:created xsi:type="dcterms:W3CDTF">2021-02-19T11:21:00Z</dcterms:created>
  <dcterms:modified xsi:type="dcterms:W3CDTF">2021-02-19T11:22:00Z</dcterms:modified>
  <cp:category>Akt prawny</cp:category>
</cp:coreProperties>
</file>