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p w:rsidR="00A77B3E">
      <w:pPr>
        <w:ind w:left="0"/>
        <w:jc w:val="center"/>
        <w:rPr>
          <w:rFonts w:ascii="Times New Roman" w:eastAsia="Times New Roman" w:hAnsi="Times New Roman" w:cs="Times New Roman"/>
          <w:b/>
          <w:caps/>
          <w:sz w:val="24"/>
        </w:rPr>
      </w:pPr>
      <w:r>
        <w:rPr>
          <w:rFonts w:ascii="Times New Roman" w:eastAsia="Times New Roman" w:hAnsi="Times New Roman" w:cs="Times New Roman"/>
          <w:b/>
          <w:caps/>
          <w:sz w:val="24"/>
        </w:rPr>
        <w:t>Uchwała</w:t>
      </w:r>
      <w:r>
        <w:rPr>
          <w:rFonts w:ascii="Times New Roman" w:eastAsia="Times New Roman" w:hAnsi="Times New Roman" w:cs="Times New Roman"/>
          <w:b/>
          <w:caps/>
          <w:sz w:val="24"/>
        </w:rPr>
        <w:t xml:space="preserve"> Nr XV/643/19</w:t>
      </w:r>
      <w:r>
        <w:rPr>
          <w:rFonts w:ascii="Times New Roman" w:eastAsia="Times New Roman" w:hAnsi="Times New Roman" w:cs="Times New Roman"/>
          <w:b/>
          <w:caps/>
          <w:sz w:val="24"/>
        </w:rPr>
        <w:br/>
      </w:r>
      <w:r>
        <w:rPr>
          <w:rFonts w:ascii="Times New Roman" w:eastAsia="Times New Roman" w:hAnsi="Times New Roman" w:cs="Times New Roman"/>
          <w:b/>
          <w:caps/>
          <w:sz w:val="24"/>
        </w:rPr>
        <w:t>Rady Miejskiej w Łodzi</w:t>
      </w:r>
    </w:p>
    <w:p w:rsidR="00A77B3E">
      <w:pPr>
        <w:spacing w:before="0" w:after="480"/>
        <w:ind w:left="0"/>
        <w:jc w:val="center"/>
        <w:rPr>
          <w:rFonts w:ascii="Times New Roman" w:eastAsia="Times New Roman" w:hAnsi="Times New Roman" w:cs="Times New Roman"/>
          <w:b/>
          <w:caps/>
          <w:sz w:val="24"/>
        </w:rPr>
      </w:pPr>
      <w:r>
        <w:rPr>
          <w:rFonts w:ascii="Times New Roman" w:eastAsia="Times New Roman" w:hAnsi="Times New Roman" w:cs="Times New Roman"/>
          <w:b/>
          <w:caps w:val="0"/>
          <w:sz w:val="24"/>
        </w:rPr>
        <w:t>z dnia 16 października 2019 r.</w:t>
      </w:r>
    </w:p>
    <w:p w:rsidR="00A77B3E">
      <w:pPr>
        <w:keepNext/>
        <w:spacing w:before="120" w:after="480" w:line="240" w:lineRule="auto"/>
        <w:ind w:left="0" w:right="0" w:firstLine="0"/>
        <w:jc w:val="center"/>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b/>
          <w:caps w:val="0"/>
          <w:sz w:val="24"/>
        </w:rPr>
        <w:t>w sprawie wyboru metody ustalenia opłaty za gospodarowanie odpadami komunalnymi, ustalenia stawki tej opłaty dla nieruchomości, na których zamieszkują mieszkańcy</w:t>
      </w:r>
      <w:r>
        <w:rPr>
          <w:rFonts w:ascii="Times New Roman" w:eastAsia="Times New Roman" w:hAnsi="Times New Roman" w:cs="Times New Roman"/>
          <w:b/>
          <w:caps w:val="0"/>
          <w:sz w:val="24"/>
        </w:rPr>
        <w:br/>
      </w:r>
      <w:r>
        <w:rPr>
          <w:rFonts w:ascii="Times New Roman" w:eastAsia="Times New Roman" w:hAnsi="Times New Roman" w:cs="Times New Roman"/>
          <w:b/>
          <w:caps w:val="0"/>
          <w:sz w:val="24"/>
        </w:rPr>
        <w:t>oraz ustalenia stawki opłaty za pojemnik lub worek przeznaczony do zbierania odpadów komunalnych.</w:t>
      </w:r>
    </w:p>
    <w:p w:rsidR="00A77B3E">
      <w:pPr>
        <w:keepNext w:val="0"/>
        <w:keepLines/>
        <w:spacing w:before="120" w:after="24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b w:val="0"/>
          <w:caps w:val="0"/>
          <w:strike w:val="0"/>
          <w:color w:val="auto"/>
          <w:sz w:val="24"/>
          <w:u w:val="none"/>
        </w:rPr>
        <w:t>Na podstawie 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18</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pkt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15, 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40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41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ustawy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8</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marca</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1990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samorządzie gminnym (Dz.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2019</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506, 1309,</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1571, 1696</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1815) oraz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6j 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pkt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 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3, 3d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4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6k 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 2, 2a pkt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5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3,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związku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6r 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 2b, 2c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2d ustawy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13</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września 1996</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utrzymaniu czystości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porządku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gminach (Dz.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2018</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1454</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1629 oraz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2019</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730, 1403</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1579), Rada Miejska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Łodzi</w:t>
      </w:r>
    </w:p>
    <w:p w:rsidR="00A77B3E">
      <w:pPr>
        <w:keepNext w:val="0"/>
        <w:keepLines w:val="0"/>
        <w:spacing w:before="0" w:after="0" w:line="240" w:lineRule="auto"/>
        <w:ind w:left="0" w:right="0" w:firstLine="0"/>
        <w:jc w:val="center"/>
        <w:rPr>
          <w:rFonts w:ascii="Times New Roman" w:eastAsia="Times New Roman" w:hAnsi="Times New Roman" w:cs="Times New Roman"/>
          <w:b/>
          <w:caps w:val="0"/>
          <w:strike w:val="0"/>
          <w:color w:val="auto"/>
          <w:sz w:val="24"/>
          <w:u w:val="none"/>
        </w:rPr>
      </w:pPr>
      <w:r>
        <w:rPr>
          <w:rFonts w:ascii="Times New Roman" w:eastAsia="Times New Roman" w:hAnsi="Times New Roman" w:cs="Times New Roman"/>
          <w:b/>
          <w:caps w:val="0"/>
          <w:strike w:val="0"/>
          <w:color w:val="auto"/>
          <w:sz w:val="24"/>
          <w:u w:val="none"/>
        </w:rPr>
        <w:t>uchwala, co następuje:</w:t>
      </w:r>
    </w:p>
    <w:p w:rsidR="00A77B3E">
      <w:pPr>
        <w:keepNext w:val="0"/>
        <w:keepLines/>
        <w:spacing w:before="240" w:after="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 1. </w:t>
      </w:r>
      <w:r>
        <w:rPr>
          <w:rFonts w:ascii="Times New Roman" w:eastAsia="Times New Roman" w:hAnsi="Times New Roman" w:cs="Times New Roman"/>
          <w:b w:val="0"/>
          <w:caps w:val="0"/>
          <w:strike w:val="0"/>
          <w:color w:val="auto"/>
          <w:sz w:val="24"/>
          <w:u w:val="none"/>
        </w:rPr>
        <w:t>Dla nieruchomości, na których zamieszkują mieszkańcy:</w:t>
      </w:r>
    </w:p>
    <w:p w:rsidR="00A77B3E">
      <w:pPr>
        <w:keepNext w:val="0"/>
        <w:keepLines w:val="0"/>
        <w:spacing w:before="0" w:after="0" w:line="240" w:lineRule="auto"/>
        <w:ind w:left="227" w:right="0" w:hanging="22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1) </w:t>
      </w:r>
      <w:r>
        <w:rPr>
          <w:rFonts w:ascii="Times New Roman" w:eastAsia="Times New Roman" w:hAnsi="Times New Roman" w:cs="Times New Roman"/>
          <w:b w:val="0"/>
          <w:caps w:val="0"/>
          <w:strike w:val="0"/>
          <w:color w:val="auto"/>
          <w:sz w:val="24"/>
          <w:u w:val="none"/>
        </w:rPr>
        <w:t>dokonuje się wyboru metody ustalenia opłaty za gospodarowanie odpadami komunalnymi stanowiącej iloczyn liczby mieszkańców zamieszkujących daną nieruchomość oraz stawki opłaty za gospodarowanie odpadami komunalnymi;</w:t>
      </w:r>
    </w:p>
    <w:p w:rsidR="00A77B3E">
      <w:pPr>
        <w:keepNext w:val="0"/>
        <w:keepLines w:val="0"/>
        <w:spacing w:before="0" w:after="0" w:line="240" w:lineRule="auto"/>
        <w:ind w:left="227" w:right="0" w:hanging="22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2) </w:t>
      </w:r>
      <w:r>
        <w:rPr>
          <w:rFonts w:ascii="Times New Roman" w:eastAsia="Times New Roman" w:hAnsi="Times New Roman" w:cs="Times New Roman"/>
          <w:b w:val="0"/>
          <w:caps w:val="0"/>
          <w:strike w:val="0"/>
          <w:color w:val="auto"/>
          <w:sz w:val="24"/>
          <w:u w:val="none"/>
        </w:rPr>
        <w:t>ustala się miesięczną stawkę opłaty za gospodarowanie odpadami komunalnymi zbieranymi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odbieranymi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sposób selektywny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wysokości 24,00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zł za jednego mieszkańca.</w:t>
      </w:r>
    </w:p>
    <w:p w:rsidR="00A77B3E">
      <w:pPr>
        <w:keepNext w:val="0"/>
        <w:keepLines/>
        <w:spacing w:before="240" w:after="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 2. </w:t>
      </w:r>
      <w:r>
        <w:rPr>
          <w:rFonts w:ascii="Times New Roman" w:eastAsia="Times New Roman" w:hAnsi="Times New Roman" w:cs="Times New Roman"/>
          <w:b w:val="0"/>
          <w:caps w:val="0"/>
          <w:strike w:val="0"/>
          <w:color w:val="auto"/>
          <w:sz w:val="24"/>
          <w:u w:val="none"/>
        </w:rPr>
        <w:t>Ustala się stawkę opłaty za pojemnik przeznaczony do zbierania odpadów komunalnych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pojemności 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100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litrów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wysokości 54,17</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zł  oraz za worek przeznaczony do zbierania odpadów komunalnych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pojemności 120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litrów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wysokości 16,93</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zł. Za</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pojemniki lub worki przeznaczone do zbierania odpadów komunalnych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mniejszych lub większych pojemnościach stawki opłat ustala się według</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tabeli stanowiącej załącznik Nr</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uchwały.</w:t>
      </w:r>
    </w:p>
    <w:p w:rsidR="00A77B3E">
      <w:pPr>
        <w:keepNext w:val="0"/>
        <w:keepLines/>
        <w:spacing w:before="240" w:after="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 3. </w:t>
      </w:r>
      <w:r>
        <w:rPr>
          <w:rFonts w:ascii="Times New Roman" w:eastAsia="Times New Roman" w:hAnsi="Times New Roman" w:cs="Times New Roman"/>
          <w:b w:val="0"/>
          <w:caps w:val="0"/>
          <w:strike w:val="0"/>
          <w:color w:val="auto"/>
          <w:sz w:val="24"/>
          <w:u w:val="none"/>
        </w:rPr>
        <w:t>Jeżeli właściciel nieruchomości nie</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wypełnia obowiązku zbierania odpadów komunalnych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sposób selektywny stawka opłaty podwyższonej za gospodarowanie odpadami komunalnymi wynosi dwukrotność odpowiednio stawki,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której mowa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pkt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 albo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 2, to jest: 48,00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zł za jednego mieszkańca; 108,34</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zł za pojemnik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pojemności 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100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litrów oraz 33,86</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zł za worek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pojemności 120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litrów. Za</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pojemniki lub worki przeznaczone do zbierania odpadów komunalnych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mniejszych lub większych pojemnościach stawki opłat podwyższonych ustala się według</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tabeli stanowiącej załącznik Nr</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 do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uchwały.</w:t>
      </w:r>
    </w:p>
    <w:p w:rsidR="00A77B3E">
      <w:pPr>
        <w:keepNext w:val="0"/>
        <w:keepLines/>
        <w:spacing w:before="240" w:after="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 4. </w:t>
      </w:r>
      <w:r>
        <w:rPr>
          <w:rFonts w:ascii="Times New Roman" w:eastAsia="Times New Roman" w:hAnsi="Times New Roman" w:cs="Times New Roman"/>
          <w:b w:val="0"/>
          <w:caps w:val="0"/>
          <w:strike w:val="0"/>
          <w:color w:val="auto"/>
          <w:sz w:val="24"/>
          <w:u w:val="none"/>
        </w:rPr>
        <w:t>Wykonanie uchwały powierza się Prezydentowi Miasta Łodzi.</w:t>
      </w:r>
    </w:p>
    <w:p w:rsidR="00A77B3E">
      <w:pPr>
        <w:keepNext w:val="0"/>
        <w:keepLines/>
        <w:spacing w:before="240" w:after="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 5. </w:t>
      </w:r>
      <w:r>
        <w:rPr>
          <w:rFonts w:ascii="Times New Roman" w:eastAsia="Times New Roman" w:hAnsi="Times New Roman" w:cs="Times New Roman"/>
          <w:b w:val="0"/>
          <w:caps w:val="0"/>
          <w:strike w:val="0"/>
          <w:color w:val="auto"/>
          <w:sz w:val="24"/>
          <w:u w:val="none"/>
        </w:rPr>
        <w:t>Traci moc uchwała Nr XX/454/15 Rady Miejskiej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Łodzi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18</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listopada</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2015</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sprawie wyboru metody ustalenia opłaty za gospodarowanie odpadami komunalnymi, ustalenia stawki tej opłaty dla nieruchomości, na których zamieszkują mieszkańcy oraz ustalenia stawki opłaty za pojemnik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odpadami komunalnymi dla nieruchomości, na których nie</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zamieszkują mieszkańcy, a</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powstają odpady komunalne (Dz.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Urz. Woj. Łódzkiego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4530), zmieniona uchwałą Nr I/29/18 Rady Miejskiej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Łodzi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28</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listopada</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2018</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(Dz. Urz. Woj. Łódzkiego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6718).</w:t>
      </w:r>
    </w:p>
    <w:p w:rsidR="00A77B3E">
      <w:pPr>
        <w:keepNext/>
        <w:keepLines/>
        <w:spacing w:before="240" w:after="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sz w:val="24"/>
        </w:rPr>
        <w:t>§ 6. </w:t>
      </w:r>
      <w:r>
        <w:rPr>
          <w:rFonts w:ascii="Times New Roman" w:eastAsia="Times New Roman" w:hAnsi="Times New Roman" w:cs="Times New Roman"/>
          <w:b w:val="0"/>
          <w:caps w:val="0"/>
          <w:strike w:val="0"/>
          <w:color w:val="auto"/>
          <w:sz w:val="24"/>
          <w:u w:val="none"/>
        </w:rPr>
        <w:t>Uchwała wchodzi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życie pierwszego dnia miesiąca następującego po miesiącu ogłoszenia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Dzienniku Urzędowym Województwa Łódzkiego, jednak nie</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wcześniej niż po upływie 14</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 od dnia ogłoszenia.</w:t>
      </w:r>
    </w:p>
    <w:tbl>
      <w:tblPr>
        <w:tblW w:w="5000" w:type="pct"/>
        <w:tblCellMar>
          <w:top w:w="0" w:type="dxa"/>
          <w:left w:w="0" w:type="dxa"/>
          <w:bottom w:w="0" w:type="dxa"/>
          <w:right w:w="0" w:type="dxa"/>
        </w:tblCellMar>
      </w:tblPr>
      <w:tblGrid>
        <w:gridCol w:w="4536"/>
        <w:gridCol w:w="4536"/>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val="0"/>
              <w:keepLines/>
              <w:jc w:val="left"/>
              <w:rPr>
                <w:rFonts w:ascii="Times New Roman" w:eastAsia="Times New Roman" w:hAnsi="Times New Roman" w:cs="Times New Roman"/>
                <w:b w:val="0"/>
                <w:bCs w:val="0"/>
                <w:i w:val="0"/>
                <w:iCs w:val="0"/>
                <w:smallCaps w:val="0"/>
                <w:color w:val="000000"/>
                <w:sz w:val="24"/>
              </w:rPr>
            </w:pPr>
          </w:p>
        </w:tc>
        <w:tc>
          <w:tcPr>
            <w:tcW w:w="2500" w:type="pct"/>
            <w:noWrap w:val="0"/>
            <w:tcMar>
              <w:top w:w="0" w:type="dxa"/>
              <w:left w:w="0" w:type="dxa"/>
              <w:bottom w:w="0" w:type="dxa"/>
              <w:right w:w="0" w:type="dxa"/>
            </w:tcMar>
            <w:vAlign w:val="top"/>
          </w:tcPr>
          <w:p>
            <w:pPr>
              <w:keepNext w:val="0"/>
              <w:keepLines/>
              <w:spacing w:before="240" w:after="2600"/>
              <w:ind w:left="0" w:right="0" w:firstLine="0"/>
              <w:jc w:val="center"/>
              <w:rPr>
                <w:rFonts w:ascii="Times New Roman" w:eastAsia="Times New Roman" w:hAnsi="Times New Roman" w:cs="Times New Roman"/>
                <w:b w:val="0"/>
                <w:bCs w:val="0"/>
                <w:i w:val="0"/>
                <w:iCs w:val="0"/>
                <w:smallCaps w:val="0"/>
                <w:color w:val="000000"/>
                <w:sz w:val="24"/>
              </w:rPr>
            </w:pPr>
            <w:r>
              <w:rPr>
                <w:rFonts w:ascii="Times New Roman" w:eastAsia="Times New Roman" w:hAnsi="Times New Roman" w:cs="Times New Roman"/>
                <w:b/>
                <w:bCs w:val="0"/>
                <w:i w:val="0"/>
                <w:iCs w:val="0"/>
                <w:smallCaps w:val="0"/>
                <w:color w:val="000000"/>
                <w:sz w:val="24"/>
              </w:rPr>
              <w:t>Przewodniczący</w:t>
            </w:r>
            <w:r>
              <w:rPr>
                <w:rFonts w:ascii="Times New Roman" w:eastAsia="Times New Roman" w:hAnsi="Times New Roman" w:cs="Times New Roman"/>
                <w:b/>
                <w:bCs w:val="0"/>
                <w:i w:val="0"/>
                <w:iCs w:val="0"/>
                <w:smallCaps w:val="0"/>
                <w:color w:val="000000"/>
                <w:sz w:val="24"/>
              </w:rPr>
              <w:br/>
            </w:r>
            <w:r>
              <w:rPr>
                <w:rFonts w:ascii="Times New Roman" w:eastAsia="Times New Roman" w:hAnsi="Times New Roman" w:cs="Times New Roman"/>
                <w:b/>
                <w:bCs w:val="0"/>
                <w:i w:val="0"/>
                <w:iCs w:val="0"/>
                <w:smallCaps w:val="0"/>
                <w:color w:val="000000"/>
                <w:sz w:val="24"/>
              </w:rPr>
              <w:t>Rady Miejskiej w Łodzi</w:t>
            </w:r>
            <w:r>
              <w:rPr>
                <w:rFonts w:ascii="Times New Roman" w:eastAsia="Times New Roman" w:hAnsi="Times New Roman" w:cs="Times New Roman"/>
                <w:b w:val="0"/>
                <w:bCs w:val="0"/>
                <w:i w:val="0"/>
                <w:iCs w:val="0"/>
                <w:smallCaps w:val="0"/>
                <w:color w:val="000000"/>
                <w:sz w:val="24"/>
              </w:rPr>
              <w:br/>
            </w:r>
            <w:r>
              <w:rPr>
                <w:rFonts w:ascii="Times New Roman" w:eastAsia="Times New Roman" w:hAnsi="Times New Roman" w:cs="Times New Roman"/>
                <w:b w:val="0"/>
                <w:bCs w:val="0"/>
                <w:i w:val="0"/>
                <w:iCs w:val="0"/>
                <w:smallCaps w:val="0"/>
                <w:color w:val="000000"/>
                <w:sz w:val="24"/>
              </w:rPr>
              <w:br/>
            </w:r>
            <w:r>
              <w:rPr>
                <w:rFonts w:ascii="Times New Roman" w:eastAsia="Times New Roman" w:hAnsi="Times New Roman" w:cs="Times New Roman"/>
                <w:b w:val="0"/>
                <w:bCs w:val="0"/>
                <w:i w:val="0"/>
                <w:iCs w:val="0"/>
                <w:smallCaps w:val="0"/>
                <w:color w:val="000000"/>
                <w:sz w:val="24"/>
              </w:rPr>
              <w:br/>
            </w:r>
            <w:r>
              <w:rPr>
                <w:b/>
                <w:i w:val="0"/>
              </w:rPr>
              <w:t>Marcin GOŁASZEWSKI</w:t>
            </w:r>
          </w:p>
        </w:tc>
      </w:tr>
    </w:tbl>
    <w:p w:rsidR="00A77B3E">
      <w:pPr>
        <w:spacing w:before="0" w:after="0"/>
        <w:rPr>
          <w:rFonts w:ascii="Times New Roman" w:eastAsia="Times New Roman" w:hAnsi="Times New Roman" w:cs="Times New Roman"/>
          <w:b w:val="0"/>
          <w:i w:val="0"/>
          <w:caps w:val="0"/>
          <w:strike w:val="0"/>
          <w:color w:val="auto"/>
          <w:sz w:val="24"/>
          <w:u w:val="none"/>
          <w:vertAlign w:val="baseline"/>
        </w:rPr>
        <w:sectPr>
          <w:footerReference w:type="default" r:id="rId4"/>
          <w:endnotePr>
            <w:numFmt w:val="decimal"/>
          </w:endnotePr>
          <w:pgSz w:w="11906" w:h="16838"/>
          <w:pgMar w:top="1701" w:right="1417" w:bottom="850" w:left="1417" w:header="708" w:footer="708" w:gutter="0"/>
          <w:cols w:space="708"/>
          <w:docGrid w:linePitch="360"/>
        </w:sectPr>
      </w:pPr>
    </w:p>
    <w:p w:rsidR="00A77B3E">
      <w:pPr>
        <w:keepNext/>
        <w:spacing w:before="0" w:after="240" w:line="240" w:lineRule="auto"/>
        <w:ind w:left="5368" w:right="0" w:firstLine="0"/>
        <w:jc w:val="left"/>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val="0"/>
          <w:i w:val="0"/>
          <w:caps w:val="0"/>
          <w:strike w:val="0"/>
          <w:color w:val="auto"/>
          <w:sz w:val="24"/>
          <w:u w:val="none"/>
          <w:vertAlign w:val="baseline"/>
        </w:rPr>
        <w:fldChar w:fldCharType="begin"/>
      </w:r>
      <w:r>
        <w:rPr>
          <w:rFonts w:ascii="Times New Roman" w:eastAsia="Times New Roman" w:hAnsi="Times New Roman" w:cs="Times New Roman"/>
          <w:b w:val="0"/>
          <w:i w:val="0"/>
          <w:caps w:val="0"/>
          <w:strike w:val="0"/>
          <w:color w:val="auto"/>
          <w:sz w:val="24"/>
          <w:u w:val="none"/>
          <w:vertAlign w:val="baseline"/>
        </w:rPr>
        <w:fldChar w:fldCharType="separate"/>
      </w:r>
      <w:r>
        <w:rPr>
          <w:rFonts w:ascii="Times New Roman" w:eastAsia="Times New Roman" w:hAnsi="Times New Roman" w:cs="Times New Roman"/>
          <w:b w:val="0"/>
          <w:i w:val="0"/>
          <w:caps w:val="0"/>
          <w:strike w:val="0"/>
          <w:color w:val="auto"/>
          <w:sz w:val="24"/>
          <w:u w:val="none"/>
          <w:vertAlign w:val="baseline"/>
        </w:rPr>
        <w:fldChar w:fldCharType="end"/>
      </w:r>
      <w:r>
        <w:rPr>
          <w:rFonts w:ascii="Times New Roman" w:eastAsia="Times New Roman" w:hAnsi="Times New Roman" w:cs="Times New Roman"/>
          <w:b w:val="0"/>
          <w:i w:val="0"/>
          <w:caps w:val="0"/>
          <w:strike w:val="0"/>
          <w:color w:val="auto"/>
          <w:sz w:val="24"/>
          <w:u w:val="none"/>
          <w:vertAlign w:val="baseline"/>
        </w:rPr>
        <w:t>Załącznik Nr</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1</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do uchwały Nr XV/643/19</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Rady Miejskiej w</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Łodzi</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z dnia 16</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października 2019</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r.</w:t>
      </w:r>
    </w:p>
    <w:p w:rsidR="00A77B3E">
      <w:pPr>
        <w:keepNext/>
        <w:spacing w:before="120" w:after="480" w:line="240" w:lineRule="auto"/>
        <w:ind w:left="0" w:right="0" w:firstLine="0"/>
        <w:jc w:val="center"/>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i w:val="0"/>
          <w:caps w:val="0"/>
          <w:strike w:val="0"/>
          <w:color w:val="auto"/>
          <w:sz w:val="24"/>
          <w:u w:val="none"/>
          <w:vertAlign w:val="baseline"/>
        </w:rPr>
        <w:t>Stawki opłat dla pojemności pojemników lub worków przeznaczonych do zbierania odpadów komunalnych.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01"/>
        <w:gridCol w:w="1833"/>
        <w:gridCol w:w="3382"/>
        <w:gridCol w:w="3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4"/>
                <w:u w:val="none"/>
                <w:vertAlign w:val="baseline"/>
              </w:rPr>
            </w:pPr>
            <w:r>
              <w:t>Lp.</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4"/>
                <w:u w:val="none"/>
                <w:vertAlign w:val="baseline"/>
              </w:rPr>
            </w:pPr>
            <w:r>
              <w:t>Pojemność pojemnika lub worka w litrach</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4"/>
                <w:u w:val="none"/>
                <w:vertAlign w:val="baseline"/>
              </w:rPr>
            </w:pPr>
          </w:p>
          <w:p w:rsidR="00A77B3E">
            <w:pPr>
              <w:jc w:val="center"/>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val="0"/>
                <w:i w:val="0"/>
                <w:caps w:val="0"/>
                <w:strike w:val="0"/>
                <w:color w:val="auto"/>
                <w:sz w:val="24"/>
                <w:u w:val="none"/>
                <w:vertAlign w:val="baseline"/>
              </w:rPr>
              <w:t>Stawka opłaty za pojemnik</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w zł</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p>
          <w:p w:rsidR="00A77B3E">
            <w:pPr>
              <w:jc w:val="center"/>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val="0"/>
                <w:i w:val="0"/>
                <w:caps w:val="0"/>
                <w:strike w:val="0"/>
                <w:color w:val="auto"/>
                <w:sz w:val="24"/>
                <w:u w:val="none"/>
                <w:vertAlign w:val="baseline"/>
              </w:rPr>
              <w:t>Stawka opłaty za worek</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w zł</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4,23</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60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2,95</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8,47</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80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3,94</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11,29</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4.</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120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5,91</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16,93</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140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6,89</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19,75</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6.</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180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8,86</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25,40</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190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9,36</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26,81</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8.</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210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10,34</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29,63</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9.</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240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11,82</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33,86</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10.</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260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12,80</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36,68</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11.</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340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16,74</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47,97</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12.</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390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19,21</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55,02</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13.</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24,62</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70,54</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14.</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550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27,09</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77,60</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15.</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660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32,50</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93,12</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16.</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750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36,93</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105,81</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17.</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770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37,92</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108,63</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18.</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1000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49,25</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141,08</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19.</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1100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54,17</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155,19</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20.</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1200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59,09</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169,30</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21.</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1300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64,02</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183,41</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22.</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1400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68,94</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197,52</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23.</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1500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73,87</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211,63</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24.</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1600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78,79</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225,73</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25.</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1700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83,72</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239,84</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26.</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2500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123,11</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352,71</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27.</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5000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246,23</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705,42</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28.</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7000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344,72</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987,58</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29.</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10000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492,45</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1410,83</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30.</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12000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590,95</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1693,00</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31.</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15000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738,68</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2116,25</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32.</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20000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984,91</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2821,67</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33.</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24000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1181,89</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3386,00</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34.</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27000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1329,63</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3809,25</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35.</w:t>
            </w:r>
          </w:p>
        </w:tc>
        <w:tc>
          <w:tcPr>
            <w:tcW w:w="183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34000</w:t>
            </w:r>
          </w:p>
        </w:tc>
        <w:tc>
          <w:tcPr>
            <w:tcW w:w="337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1674,35</w:t>
            </w:r>
          </w:p>
        </w:tc>
        <w:tc>
          <w:tcPr>
            <w:tcW w:w="346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4796,83</w:t>
            </w:r>
          </w:p>
        </w:tc>
      </w:tr>
    </w:tbl>
    <w:p w:rsidR="00A77B3E">
      <w:pPr>
        <w:spacing w:before="0" w:after="0"/>
        <w:rPr>
          <w:rFonts w:ascii="Times New Roman" w:eastAsia="Times New Roman" w:hAnsi="Times New Roman" w:cs="Times New Roman"/>
          <w:b w:val="0"/>
          <w:i w:val="0"/>
          <w:caps w:val="0"/>
          <w:strike w:val="0"/>
          <w:color w:val="auto"/>
          <w:sz w:val="24"/>
          <w:u w:val="none"/>
          <w:vertAlign w:val="baseline"/>
        </w:rPr>
        <w:sectPr>
          <w:footerReference w:type="default" r:id="rId5"/>
          <w:endnotePr>
            <w:numFmt w:val="decimal"/>
          </w:endnotePr>
          <w:type w:val="nextPage"/>
          <w:pgSz w:w="11906" w:h="16838"/>
          <w:pgMar w:top="1701" w:right="1417" w:bottom="850" w:left="1417" w:header="708" w:footer="708" w:gutter="0"/>
          <w:pgNumType w:start="1"/>
          <w:cols w:space="708"/>
          <w:docGrid w:linePitch="360"/>
        </w:sectPr>
      </w:pPr>
    </w:p>
    <w:p w:rsidR="00A77B3E">
      <w:pPr>
        <w:keepNext/>
        <w:spacing w:before="0" w:after="240" w:line="240" w:lineRule="auto"/>
        <w:ind w:left="4209" w:right="0" w:firstLine="0"/>
        <w:jc w:val="left"/>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val="0"/>
          <w:i w:val="0"/>
          <w:caps w:val="0"/>
          <w:strike w:val="0"/>
          <w:color w:val="auto"/>
          <w:sz w:val="24"/>
          <w:u w:val="none"/>
          <w:vertAlign w:val="baseline"/>
        </w:rPr>
        <w:fldChar w:fldCharType="begin"/>
      </w:r>
      <w:r>
        <w:rPr>
          <w:rFonts w:ascii="Times New Roman" w:eastAsia="Times New Roman" w:hAnsi="Times New Roman" w:cs="Times New Roman"/>
          <w:b w:val="0"/>
          <w:i w:val="0"/>
          <w:caps w:val="0"/>
          <w:strike w:val="0"/>
          <w:color w:val="auto"/>
          <w:sz w:val="24"/>
          <w:u w:val="none"/>
          <w:vertAlign w:val="baseline"/>
        </w:rPr>
        <w:fldChar w:fldCharType="separate"/>
      </w:r>
      <w:r>
        <w:rPr>
          <w:rFonts w:ascii="Times New Roman" w:eastAsia="Times New Roman" w:hAnsi="Times New Roman" w:cs="Times New Roman"/>
          <w:b w:val="0"/>
          <w:i w:val="0"/>
          <w:caps w:val="0"/>
          <w:strike w:val="0"/>
          <w:color w:val="auto"/>
          <w:sz w:val="24"/>
          <w:u w:val="none"/>
          <w:vertAlign w:val="baseline"/>
        </w:rPr>
        <w:fldChar w:fldCharType="end"/>
      </w:r>
      <w:r>
        <w:rPr>
          <w:rFonts w:ascii="Times New Roman" w:eastAsia="Times New Roman" w:hAnsi="Times New Roman" w:cs="Times New Roman"/>
          <w:b w:val="0"/>
          <w:i w:val="0"/>
          <w:caps w:val="0"/>
          <w:strike w:val="0"/>
          <w:color w:val="auto"/>
          <w:sz w:val="24"/>
          <w:u w:val="none"/>
          <w:vertAlign w:val="baseline"/>
        </w:rPr>
        <w:t>Załącznik Nr 2</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do uchwały Nr XV/643/19</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Rady Miejskiej w</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Łodzi</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z dnia 16 października 2019 r.</w:t>
      </w:r>
    </w:p>
    <w:p w:rsidR="00A77B3E">
      <w:pPr>
        <w:keepNext/>
        <w:spacing w:before="120" w:after="480" w:line="240" w:lineRule="auto"/>
        <w:ind w:left="0" w:right="0" w:firstLine="0"/>
        <w:jc w:val="center"/>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i w:val="0"/>
          <w:caps w:val="0"/>
          <w:strike w:val="0"/>
          <w:color w:val="auto"/>
          <w:sz w:val="24"/>
          <w:u w:val="none"/>
          <w:vertAlign w:val="baseline"/>
        </w:rPr>
        <w:t>Stawki opłat podwyższonych dla pojemności pojemników lub worków przeznaczonych do zbierania odpadów komunalnych.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18"/>
        <w:gridCol w:w="1822"/>
        <w:gridCol w:w="3389"/>
        <w:gridCol w:w="3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4"/>
                <w:u w:val="none"/>
                <w:vertAlign w:val="baseline"/>
              </w:rPr>
            </w:pPr>
            <w:r>
              <w:t>Lp.</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4"/>
                <w:u w:val="none"/>
                <w:vertAlign w:val="baseline"/>
              </w:rPr>
            </w:pPr>
            <w:r>
              <w:t>Pojemność pojemnika lub worka w litrach</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4"/>
                <w:u w:val="none"/>
                <w:vertAlign w:val="baseline"/>
              </w:rPr>
            </w:pPr>
          </w:p>
          <w:p w:rsidR="00A77B3E">
            <w:pPr>
              <w:jc w:val="center"/>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val="0"/>
                <w:i w:val="0"/>
                <w:caps w:val="0"/>
                <w:strike w:val="0"/>
                <w:color w:val="auto"/>
                <w:sz w:val="24"/>
                <w:u w:val="none"/>
                <w:vertAlign w:val="baseline"/>
              </w:rPr>
              <w:t>Stawka opłaty za pojemnik</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w zł</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p>
          <w:p w:rsidR="00A77B3E">
            <w:pPr>
              <w:jc w:val="center"/>
              <w:rPr>
                <w:rFonts w:ascii="Times New Roman" w:eastAsia="Times New Roman" w:hAnsi="Times New Roman" w:cs="Times New Roman"/>
                <w:b w:val="0"/>
                <w:i w:val="0"/>
                <w:caps w:val="0"/>
                <w:strike w:val="0"/>
                <w:color w:val="auto"/>
                <w:sz w:val="24"/>
                <w:u w:val="none"/>
                <w:vertAlign w:val="baseline"/>
              </w:rPr>
            </w:pPr>
            <w:r>
              <w:rPr>
                <w:rFonts w:ascii="Times New Roman" w:eastAsia="Times New Roman" w:hAnsi="Times New Roman" w:cs="Times New Roman"/>
                <w:b w:val="0"/>
                <w:i w:val="0"/>
                <w:caps w:val="0"/>
                <w:strike w:val="0"/>
                <w:color w:val="auto"/>
                <w:sz w:val="24"/>
                <w:u w:val="none"/>
                <w:vertAlign w:val="baseline"/>
              </w:rPr>
              <w:t>Stawka opłaty za worek</w:t>
            </w:r>
            <w:r>
              <w:rPr>
                <w:rFonts w:ascii="Times New Roman" w:eastAsia="Times New Roman" w:hAnsi="Times New Roman" w:cs="Times New Roman"/>
                <w:b w:val="0"/>
                <w:i w:val="0"/>
                <w:caps w:val="0"/>
                <w:strike w:val="0"/>
                <w:color w:val="auto"/>
                <w:sz w:val="24"/>
                <w:u w:val="none"/>
                <w:vertAlign w:val="baseline"/>
              </w:rPr>
              <w:br/>
            </w:r>
            <w:r>
              <w:rPr>
                <w:rFonts w:ascii="Times New Roman" w:eastAsia="Times New Roman" w:hAnsi="Times New Roman" w:cs="Times New Roman"/>
                <w:b w:val="0"/>
                <w:i w:val="0"/>
                <w:caps w:val="0"/>
                <w:strike w:val="0"/>
                <w:color w:val="auto"/>
                <w:sz w:val="24"/>
                <w:u w:val="none"/>
                <w:vertAlign w:val="baseline"/>
              </w:rPr>
              <w:t>w zł</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8,47</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60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5,91</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16,93</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80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7,88</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22,57</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4.</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120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11,82</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33,86</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140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13,79</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39,50</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6.</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180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17,73</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50,79</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190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18,71</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53,61</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8.</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210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20,68</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59,26</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9.</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240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23,64</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67,72</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10.</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260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25,61</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73,36</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11.</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340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33,49</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95,94</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12.</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390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38,41</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110,05</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13.</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500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49,25</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141,08</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14.</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550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54,17</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155,19</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15.</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660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65,00</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186,23</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16.</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750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73,87</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211,63</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17.</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770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75,84</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217,27</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18.</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1000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98,49</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282,17</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19.</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1100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108,34</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310,38</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20.</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1200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118,19</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338,60</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21.</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1300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128,04</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366,82</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22.</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1400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137,89</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395,03</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23.</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1500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147,74</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423,25</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24.</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1600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157,59</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451,47</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25.</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1700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167,43</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479,68</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26.</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2500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246,23</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705,42</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27.</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5000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492,45</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1410,83</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28.</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7000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689,44</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1975,17</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29.</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10000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984,91</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2821,67</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30.</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12000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1181,89</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3386,00</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31.</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15000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1477,36</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4232,50</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32.</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20000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1969,82</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5643,33</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33.</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24000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2363,78</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6772,00</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34.</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27000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2659,25</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7618,50</w:t>
            </w:r>
          </w:p>
        </w:tc>
      </w:tr>
      <w:tr>
        <w:tblPrEx>
          <w:tblW w:w="5000" w:type="pct"/>
          <w:tblLayout w:type="fixed"/>
          <w:tblCellMar>
            <w:left w:w="108" w:type="dxa"/>
            <w:right w:w="108" w:type="dxa"/>
          </w:tblCellMar>
        </w:tblPrEx>
        <w:trPr>
          <w:trHeight w:hRule="auto" w:val="0"/>
        </w:trPr>
        <w:tc>
          <w:tcPr>
            <w:tcW w:w="64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35.</w:t>
            </w:r>
          </w:p>
        </w:tc>
        <w:tc>
          <w:tcPr>
            <w:tcW w:w="193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34000</w:t>
            </w:r>
          </w:p>
        </w:tc>
        <w:tc>
          <w:tcPr>
            <w:tcW w:w="3615"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3348,69</w:t>
            </w:r>
          </w:p>
        </w:tc>
        <w:tc>
          <w:tcPr>
            <w:tcW w:w="3690" w:type="dxa"/>
            <w:tcBorders>
              <w:top w:val="single" w:sz="2" w:space="0" w:color="auto"/>
              <w:left w:val="single" w:sz="2" w:space="0" w:color="auto"/>
              <w:bottom w:val="single" w:sz="2" w:space="0" w:color="auto"/>
              <w:right w:val="single" w:sz="2" w:space="0" w:color="auto"/>
            </w:tcBorders>
            <w:noWrap w:val="0"/>
            <w:tcMar>
              <w:top w:w="0" w:type="dxa"/>
              <w:left w:w="108" w:type="dxa"/>
              <w:bottom w:w="0" w:type="dxa"/>
              <w:right w:w="108" w:type="dxa"/>
            </w:tcMar>
            <w:textDirection w:val="lrTb"/>
            <w:vAlign w:val="top"/>
          </w:tcPr>
          <w:p w:rsidR="00A77B3E">
            <w:pPr>
              <w:jc w:val="center"/>
              <w:rPr>
                <w:rFonts w:ascii="Times New Roman" w:eastAsia="Times New Roman" w:hAnsi="Times New Roman" w:cs="Times New Roman"/>
                <w:b w:val="0"/>
                <w:i w:val="0"/>
                <w:caps w:val="0"/>
                <w:strike w:val="0"/>
                <w:color w:val="auto"/>
                <w:sz w:val="24"/>
                <w:u w:val="none"/>
                <w:vertAlign w:val="baseline"/>
              </w:rPr>
            </w:pPr>
            <w:r>
              <w:t>9593,67</w:t>
            </w:r>
          </w:p>
        </w:tc>
      </w:tr>
    </w:tbl>
    <w:p w:rsidR="00A77B3E">
      <w:pPr>
        <w:spacing w:before="0" w:after="0"/>
        <w:rPr>
          <w:rFonts w:ascii="Times New Roman" w:eastAsia="Times New Roman" w:hAnsi="Times New Roman" w:cs="Times New Roman"/>
          <w:b w:val="0"/>
          <w:i w:val="0"/>
          <w:caps w:val="0"/>
          <w:strike w:val="0"/>
          <w:color w:val="auto"/>
          <w:sz w:val="24"/>
          <w:u w:val="none"/>
          <w:vertAlign w:val="baseline"/>
        </w:rPr>
      </w:pPr>
    </w:p>
    <w:sectPr>
      <w:footerReference w:type="default" r:id="rId6"/>
      <w:endnotePr>
        <w:numFmt w:val="decimal"/>
      </w:endnotePr>
      <w:type w:val="nextPage"/>
      <w:pgSz w:w="11906" w:h="16838"/>
      <w:pgMar w:top="1701" w:right="1417" w:bottom="850" w:left="1417"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48"/>
      <w:gridCol w:w="30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48" w:type="dxa"/>
          <w:tcBorders>
            <w:top w:val="single" w:sz="2" w:space="0" w:color="auto"/>
            <w:left w:val="nil"/>
            <w:bottom w:val="nil"/>
            <w:right w:val="nil"/>
          </w:tcBorders>
          <w:noWrap w:val="0"/>
          <w:tcMar>
            <w:top w:w="100" w:type="dxa"/>
            <w:left w:w="108" w:type="dxa"/>
            <w:bottom w:w="0" w:type="dxa"/>
            <w:right w:w="108"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2ED4C938-4AD4-4C96-9078-1E5AB543B463. Podpisany</w:t>
          </w:r>
        </w:p>
      </w:tc>
      <w:tc>
        <w:tcPr>
          <w:tcW w:w="3024" w:type="dxa"/>
          <w:tcBorders>
            <w:top w:val="single" w:sz="2" w:space="0" w:color="auto"/>
            <w:left w:val="nil"/>
            <w:bottom w:val="nil"/>
            <w:right w:val="nil"/>
          </w:tcBorders>
          <w:noWrap w:val="0"/>
          <w:tcMar>
            <w:top w:w="100" w:type="dxa"/>
            <w:left w:w="108" w:type="dxa"/>
            <w:bottom w:w="0" w:type="dxa"/>
            <w:right w:w="108"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48"/>
      <w:gridCol w:w="30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48" w:type="dxa"/>
          <w:tcBorders>
            <w:top w:val="single" w:sz="2" w:space="0" w:color="auto"/>
            <w:left w:val="nil"/>
            <w:bottom w:val="nil"/>
            <w:right w:val="nil"/>
          </w:tcBorders>
          <w:noWrap w:val="0"/>
          <w:tcMar>
            <w:top w:w="100" w:type="dxa"/>
            <w:left w:w="108" w:type="dxa"/>
            <w:bottom w:w="0" w:type="dxa"/>
            <w:right w:w="108"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2ED4C938-4AD4-4C96-9078-1E5AB543B463. Podpisany</w:t>
          </w:r>
        </w:p>
      </w:tc>
      <w:tc>
        <w:tcPr>
          <w:tcW w:w="3024" w:type="dxa"/>
          <w:tcBorders>
            <w:top w:val="single" w:sz="2" w:space="0" w:color="auto"/>
            <w:left w:val="nil"/>
            <w:bottom w:val="nil"/>
            <w:right w:val="nil"/>
          </w:tcBorders>
          <w:noWrap w:val="0"/>
          <w:tcMar>
            <w:top w:w="100" w:type="dxa"/>
            <w:left w:w="108" w:type="dxa"/>
            <w:bottom w:w="0" w:type="dxa"/>
            <w:right w:w="108"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48"/>
      <w:gridCol w:w="30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48" w:type="dxa"/>
          <w:tcBorders>
            <w:top w:val="single" w:sz="2" w:space="0" w:color="auto"/>
            <w:left w:val="nil"/>
            <w:bottom w:val="nil"/>
            <w:right w:val="nil"/>
          </w:tcBorders>
          <w:noWrap w:val="0"/>
          <w:tcMar>
            <w:top w:w="100" w:type="dxa"/>
            <w:left w:w="108" w:type="dxa"/>
            <w:bottom w:w="0" w:type="dxa"/>
            <w:right w:w="108"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2ED4C938-4AD4-4C96-9078-1E5AB543B463. Podpisany</w:t>
          </w:r>
        </w:p>
      </w:tc>
      <w:tc>
        <w:tcPr>
          <w:tcW w:w="3024" w:type="dxa"/>
          <w:tcBorders>
            <w:top w:val="single" w:sz="2" w:space="0" w:color="auto"/>
            <w:left w:val="nil"/>
            <w:bottom w:val="nil"/>
            <w:right w:val="nil"/>
          </w:tcBorders>
          <w:noWrap w:val="0"/>
          <w:tcMar>
            <w:top w:w="100" w:type="dxa"/>
            <w:left w:w="108" w:type="dxa"/>
            <w:bottom w:w="0" w:type="dxa"/>
            <w:right w:w="108"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Łodzi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XV/643/19 z dnia 16 października 2019 r.</dc:title>
  <dc:subject>w sprawie wyboru metody ustalenia opłaty za gospodarowanie odpadami komunalnymi, ustalenia stawki tej opłaty dla nieruchomości, na których zamieszkują mieszkańcy
oraz ustalenia stawki opłaty za pojemnik lub worek przeznaczony do zbierania odpadów komunalnych.</dc:subject>
  <dc:creator>kkosciolek</dc:creator>
  <cp:lastModifiedBy>kkosciolek</cp:lastModifiedBy>
  <cp:revision>1</cp:revision>
  <dcterms:created xsi:type="dcterms:W3CDTF">2020-05-22T10:47:59Z</dcterms:created>
  <dcterms:modified xsi:type="dcterms:W3CDTF">2020-05-22T10:47:59Z</dcterms:modified>
  <cp:category>Akt prawny</cp:category>
</cp:coreProperties>
</file>