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XVI/684/19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20 listopada 2019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wysokości i warunków udzielania bonifikat od opłaty jednorazowej za przekształcenie prawa użytkowania wieczystego gruntu stanowiącego własność Miasta Łodzi zabudowanego na cele mieszkaniowe w prawo własności tego gruntu.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przekształceniu prawa użytkowania wieczystego gruntów zabudowanych na cele mieszkaniowe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prawo własności tych gruntów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LXXIX/2119/18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sprawie określenia wysokości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warunków udzielania bonifikat od opłaty jednorazowej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przekształcenie prawa użytkowania wieczystego gruntu stanowiącego własność Miasta Łodzi zabudowanego na cele mieszkaniowe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prawo własności tego gruntu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6359),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otrzymuje brzmienie:</w:t>
      </w:r>
    </w:p>
    <w:p w:rsidR="00A77B3E">
      <w:pPr>
        <w:keepNext w:val="0"/>
        <w:keepLines/>
        <w:spacing w:before="120" w:after="120" w:line="240" w:lineRule="auto"/>
        <w:ind w:left="283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Bonifikaty od opłaty jednorazowej za przekształcenie prawa użytkowania wieczystego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prawo własności gruntu ustala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roku,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nastąpiło przekształcenie;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drugim roku po przekształceniu;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trzecim roku po przekształceniu;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czwartym roku po przekształceniu;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piątym roku po przekształceniu;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szóstym roku po przekształceniu;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10% -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przypadku, gdy opłata jednorazowa zostanie wniesiona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siódmym roku po przekształceniu.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złożenie przez właściciela nieruchomości oświadczenia, iż nieruchomość, której dotyczy przekształcenie, jest wykorzystywana wyłącznie na zaspokojenie potrzeb mieszkaniowych.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98D1CEA5-B3F4-4AC5-AAAB-0938F0632B85.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XVI/684/19 z dnia 20 listopada 2019 r.</dc:title>
  <dc:subject>zmieniająca uchwałę w^sprawie określenia wysokości i^warunków udzielania bonifikat od opłaty jednorazowej za przekształcenie prawa użytkowania wieczystego gruntu stanowiącego własność Miasta Łodzi zabudowanego na cele mieszkaniowe w^prawo własności tego gruntu.</dc:subject>
  <dc:creator>kkosciolek</dc:creator>
  <cp:lastModifiedBy>kkosciolek</cp:lastModifiedBy>
  <cp:revision>1</cp:revision>
  <dcterms:created xsi:type="dcterms:W3CDTF">2020-05-21T10:50:23Z</dcterms:created>
  <dcterms:modified xsi:type="dcterms:W3CDTF">2020-05-21T10:50:23Z</dcterms:modified>
  <cp:category>Akt prawny</cp:category>
</cp:coreProperties>
</file>