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XXV/844/20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13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kryteriów branych pod uwagę na drugim etapie postępowania rekrutacyjnego do przedszkoli miejskich oraz przyznania im określonej liczby punktów.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131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1148, 1078, 1287, 1680, 1681, 1818, 2197, 2248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XLVII/1216/17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kryteriów branych pod uwagę na drugim etapie postępowania rekrutacyjnego do przedszkoli miejskich oraz przyznania im określonej liczby punktów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2360)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 otrzymuje brzmienie: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„6)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dziecko poddane obowiązkowym szczepieniom ochronnym określonym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rozporządzeniu Ministra Zdrowia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obowiązkowych szczepień ochronnych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2118) lub dziecko,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którego lekarskie badanie kwalifikacyjne daje podstawy do odroczenia obowiązkowego szczepienia ochronnego –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punktów.”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DEA4CAE9-0BD5-45C5-B564-8B2366DC0E5F.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XXV/844/20 z dnia 13 maja 2020 r.</dc:title>
  <dc:subject>zmieniająca uchwałę w^sprawie określenia kryteriów branych pod uwagę na drugim etapie postępowania rekrutacyjnego do przedszkoli miejskich oraz przyznania im określonej liczby punktów.</dc:subject>
  <dc:creator>eburda</dc:creator>
  <cp:lastModifiedBy>eburda</cp:lastModifiedBy>
  <cp:revision>1</cp:revision>
  <dcterms:created xsi:type="dcterms:W3CDTF">2020-05-20T11:01:01Z</dcterms:created>
  <dcterms:modified xsi:type="dcterms:W3CDTF">2020-05-20T11:01:01Z</dcterms:modified>
  <cp:category>Akt prawny</cp:category>
</cp:coreProperties>
</file>