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3.0.0 -->
  <w:body>
    <w:p w:rsidR="00A77B3E">
      <w:pPr>
        <w:ind w:left="0"/>
        <w:jc w:val="center"/>
        <w:rPr>
          <w:rFonts w:ascii="Times New Roman" w:eastAsia="Times New Roman" w:hAnsi="Times New Roman" w:cs="Times New Roman"/>
          <w:b/>
          <w:caps/>
          <w:sz w:val="24"/>
        </w:rPr>
      </w:pPr>
      <w:r>
        <w:rPr>
          <w:rFonts w:ascii="Times New Roman" w:eastAsia="Times New Roman" w:hAnsi="Times New Roman" w:cs="Times New Roman"/>
          <w:b/>
          <w:caps/>
          <w:sz w:val="24"/>
        </w:rPr>
        <w:t>Uchwała</w:t>
      </w:r>
      <w:r>
        <w:rPr>
          <w:rFonts w:ascii="Times New Roman" w:eastAsia="Times New Roman" w:hAnsi="Times New Roman" w:cs="Times New Roman"/>
          <w:b/>
          <w:caps/>
          <w:sz w:val="24"/>
        </w:rPr>
        <w:t xml:space="preserve"> Nr ^XXVII/904/20</w:t>
      </w:r>
      <w:r>
        <w:rPr>
          <w:rFonts w:ascii="Times New Roman" w:eastAsia="Times New Roman" w:hAnsi="Times New Roman" w:cs="Times New Roman"/>
          <w:b/>
          <w:caps/>
          <w:sz w:val="24"/>
        </w:rPr>
        <w:br/>
      </w:r>
      <w:r>
        <w:rPr>
          <w:rFonts w:ascii="Times New Roman" w:eastAsia="Times New Roman" w:hAnsi="Times New Roman" w:cs="Times New Roman"/>
          <w:b/>
          <w:caps/>
          <w:sz w:val="24"/>
        </w:rPr>
        <w:t>Rady Miejskiej w Łodzi</w:t>
      </w:r>
    </w:p>
    <w:p w:rsidR="00A77B3E">
      <w:pPr>
        <w:spacing w:before="120" w:after="360"/>
        <w:ind w:left="0"/>
        <w:jc w:val="center"/>
        <w:rPr>
          <w:rFonts w:ascii="Times New Roman" w:eastAsia="Times New Roman" w:hAnsi="Times New Roman" w:cs="Times New Roman"/>
          <w:b/>
          <w:caps/>
          <w:sz w:val="24"/>
        </w:rPr>
      </w:pPr>
      <w:r>
        <w:rPr>
          <w:rFonts w:ascii="Times New Roman" w:eastAsia="Times New Roman" w:hAnsi="Times New Roman" w:cs="Times New Roman"/>
          <w:b/>
          <w:caps w:val="0"/>
          <w:sz w:val="24"/>
        </w:rPr>
        <w:t>z dnia 24 czerwca 2020 r.</w:t>
      </w:r>
    </w:p>
    <w:p w:rsidR="00A77B3E">
      <w:pPr>
        <w:keepNext/>
        <w:spacing w:before="0" w:after="4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w sprawie uchwalenia miejscowego planu zagospodarowania przestrzennego</w:t>
      </w:r>
      <w:r>
        <w:rPr>
          <w:rFonts w:ascii="Times New Roman" w:eastAsia="Times New Roman" w:hAnsi="Times New Roman" w:cs="Times New Roman"/>
          <w:b/>
          <w:caps w:val="0"/>
          <w:sz w:val="24"/>
        </w:rPr>
        <w:br/>
      </w:r>
      <w:r>
        <w:rPr>
          <w:rFonts w:ascii="Times New Roman" w:eastAsia="Times New Roman" w:hAnsi="Times New Roman" w:cs="Times New Roman"/>
          <w:b/>
          <w:caps w:val="0"/>
          <w:sz w:val="24"/>
        </w:rPr>
        <w:t>dla części obszaru miasta Łodzi położonej w rejonie alei Tadeusza Kościuszki oraz ulic: Ludwika Zamenhofa i Piotrkowskiej.</w:t>
      </w:r>
    </w:p>
    <w:p w:rsidR="00A77B3E">
      <w:pPr>
        <w:keepNext w:val="0"/>
        <w:keepLines w:val="0"/>
        <w:spacing w:before="120" w:after="36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val="0"/>
          <w:caps w:val="0"/>
          <w:strike w:val="0"/>
          <w:color w:val="auto"/>
          <w:sz w:val="24"/>
          <w:u w:val="none"/>
        </w:rPr>
        <w:t>Na podstawie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18 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pkt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5</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40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1990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samorządzie gminnym (Dz.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2020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poz.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713) oraz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14</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8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 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27</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2003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planowaniu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zagospodarowaniu przestrzennym (Dz. 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2020 r. poz. 293,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471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782), Rada Miejska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w:t>
      </w:r>
    </w:p>
    <w:p w:rsidR="00A77B3E">
      <w:pPr>
        <w:keepNext w:val="0"/>
        <w:keepLines w:val="0"/>
        <w:spacing w:before="120" w:after="120" w:line="240" w:lineRule="auto"/>
        <w:ind w:left="0" w:right="0" w:firstLine="0"/>
        <w:jc w:val="center"/>
        <w:rPr>
          <w:rFonts w:ascii="Times New Roman" w:eastAsia="Times New Roman" w:hAnsi="Times New Roman" w:cs="Times New Roman"/>
          <w:b/>
          <w:caps w:val="0"/>
          <w:strike w:val="0"/>
          <w:color w:val="auto"/>
          <w:sz w:val="24"/>
          <w:u w:val="none"/>
        </w:rPr>
      </w:pPr>
      <w:r>
        <w:rPr>
          <w:rFonts w:ascii="Times New Roman" w:eastAsia="Times New Roman" w:hAnsi="Times New Roman" w:cs="Times New Roman"/>
          <w:b/>
          <w:caps w:val="0"/>
          <w:strike w:val="0"/>
          <w:color w:val="auto"/>
          <w:sz w:val="24"/>
          <w:u w:val="none"/>
        </w:rPr>
        <w:t>uchwala, co następuje:</w:t>
      </w:r>
    </w:p>
    <w:p w:rsidR="00A77B3E">
      <w:pPr>
        <w:keepNext/>
        <w:keepLines w:val="0"/>
        <w:spacing w:before="480" w:after="4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Rozdział 1</w:t>
      </w:r>
      <w:r>
        <w:rPr>
          <w:rFonts w:ascii="Times New Roman" w:eastAsia="Times New Roman" w:hAnsi="Times New Roman" w:cs="Times New Roman"/>
          <w:b/>
          <w:caps w:val="0"/>
          <w:strike w:val="0"/>
          <w:color w:val="auto"/>
          <w:sz w:val="24"/>
          <w:u w:val="none"/>
        </w:rPr>
        <w:br/>
      </w:r>
      <w:r>
        <w:rPr>
          <w:rFonts w:ascii="Times New Roman" w:eastAsia="Times New Roman" w:hAnsi="Times New Roman" w:cs="Times New Roman"/>
          <w:b/>
          <w:caps w:val="0"/>
          <w:strike w:val="0"/>
          <w:color w:val="auto"/>
          <w:sz w:val="24"/>
          <w:u w:val="none"/>
        </w:rPr>
        <w:t>Przepisy ogólne</w:t>
      </w:r>
    </w:p>
    <w:p w:rsidR="00A77B3E">
      <w:pPr>
        <w:keepNext w:val="0"/>
        <w:keepLines w:val="0"/>
        <w:spacing w:before="120" w:after="12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1.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Przedmiotem uchwały są ustalenia miejscowego planu zagospodarowania przestrzennego dla części obszaru miasta Łodzi położonej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rejonie alei Tadeusza Kościuszki oraz ulic: Ludwika Zamenhofa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Piotrkowskiej, zwanego dalej „planem”, wraz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integralnymi jej częściami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postaci:</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rysunku planu, wykonanego na mapie sytuacyjno-wysokościowej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skali 1:1000,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rozstrzygnięcia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sposobie rozpatrzenia uwag do projektu planu wniesionych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związku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wyłożeniem do publicznego wglądu,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rozstrzygnięcia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sposobie realizacji, zapisanych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planie, inwestycji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zakresu infrastruktury technicznej, które należą do zadań własnych gminy oraz zasadach ich finansowania, zgodnie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przepisami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finansach publicznych,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4) </w:t>
      </w:r>
      <w:r>
        <w:rPr>
          <w:rFonts w:ascii="Times New Roman" w:eastAsia="Times New Roman" w:hAnsi="Times New Roman" w:cs="Times New Roman"/>
          <w:b w:val="0"/>
          <w:caps w:val="0"/>
          <w:strike w:val="0"/>
          <w:color w:val="auto"/>
          <w:sz w:val="24"/>
          <w:u w:val="none"/>
        </w:rPr>
        <w:t>palety barw obowiązujących przy wykończaniu elewacji, stolarki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ślusarki zabytków wpisanych do gminnej ewidencji zabytków, stanowiącej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4.</w:t>
      </w:r>
    </w:p>
    <w:p w:rsidR="00A77B3E">
      <w:pPr>
        <w:keepNext w:val="0"/>
        <w:keepLines w:val="0"/>
        <w:spacing w:before="120" w:after="12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Granice obszaru objętego planem określono na rysunku planu,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którym mowa w 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pkt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p>
    <w:p w:rsidR="00A77B3E">
      <w:pPr>
        <w:keepNext w:val="0"/>
        <w:keepLines w:val="0"/>
        <w:spacing w:before="120" w:after="12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2. </w:t>
      </w:r>
      <w:r>
        <w:rPr>
          <w:rFonts w:ascii="Times New Roman" w:eastAsia="Times New Roman" w:hAnsi="Times New Roman" w:cs="Times New Roman"/>
          <w:b w:val="0"/>
          <w:caps w:val="0"/>
          <w:strike w:val="0"/>
          <w:color w:val="auto"/>
          <w:sz w:val="24"/>
          <w:u w:val="none"/>
        </w:rPr>
        <w:t>Stwierdza się, że plan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narusza ustaleń „Studium uwarunkowań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kierunków zagospodarowania przestrzennego miasta Łodzi” uchwalonego uchwałą Nr LXIX/1753/18 Rady Miejskiej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28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2018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zmienioną uchwałą Nr VI/215/19 Rady Miejskiej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6</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2019</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w:t>
      </w:r>
    </w:p>
    <w:p w:rsidR="00A77B3E">
      <w:pPr>
        <w:keepNext w:val="0"/>
        <w:keepLines w:val="0"/>
        <w:spacing w:before="120" w:after="12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3.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Ze względu na brak podstaw wynikających ze stanu faktycznego,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planie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określa się:</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granic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sposobów zagospodarowania terenów lub obiektów podlegających ochronie na podstawie odrębnych przepisów, terenów górniczych,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także obszarów szczególnego zagrożenia powodzią, obszarów osuwania się mas ziemnych, krajobrazów priorytetowych określonych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audycie krajobrazowym oraz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planach zagospodarowania przestrzennego województwa;</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sposobu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terminu tymczasowego zagospodarowania, urządzania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użytkowania terenów.</w:t>
      </w:r>
    </w:p>
    <w:p w:rsidR="00A77B3E">
      <w:pPr>
        <w:keepNext w:val="0"/>
        <w:keepLines w:val="0"/>
        <w:spacing w:before="120" w:after="12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Rysunek planu zawiera ustalenia obowiązujące oraz oznaczenia informacyjne, zgodnie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legendą zamieszczoną na rysunku planu.</w:t>
      </w:r>
    </w:p>
    <w:p w:rsidR="00A77B3E">
      <w:pPr>
        <w:keepNext w:val="0"/>
        <w:keepLines w:val="0"/>
        <w:spacing w:before="120" w:after="12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Zasady zabudowy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zagospodarowania oraz sposoby użytkowania poszczególnych terenów wyznaczonych liniami rozgraniczającymi określa się łącznie na podstawie:</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ustaleń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charakterze ogólnym zawartych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rozdziale 2</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uchwały;</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ustaleń szczegółowych zawartych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rozdziale 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uchwały;</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ustaleń obowiązujących zawartych na rysunku planu.</w:t>
      </w:r>
    </w:p>
    <w:p w:rsidR="00A77B3E">
      <w:pPr>
        <w:keepNext w:val="0"/>
        <w:keepLines w:val="0"/>
        <w:spacing w:before="120" w:after="12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4. </w:t>
      </w:r>
      <w:r>
        <w:rPr>
          <w:rFonts w:ascii="Times New Roman" w:eastAsia="Times New Roman" w:hAnsi="Times New Roman" w:cs="Times New Roman"/>
          <w:b w:val="0"/>
          <w:caps w:val="0"/>
          <w:strike w:val="0"/>
          <w:color w:val="auto"/>
          <w:sz w:val="24"/>
          <w:u w:val="none"/>
        </w:rPr>
        <w:t>Położenie linii rozgraniczających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linii zabudowy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miejscach, które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zostały zwymiarowane na rysunku planu, należy ustalać poprzez odczyt rysunku planu</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w oparciu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jego skalę.</w:t>
      </w:r>
    </w:p>
    <w:p w:rsidR="00A77B3E">
      <w:pPr>
        <w:keepNext w:val="0"/>
        <w:keepLines w:val="0"/>
        <w:spacing w:before="120" w:after="12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4.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Określenia stosowane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uchwale należy rozumieć jako:</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cechy historyczne zabytku – elementy zabytku stanowiące wartość historyczną, artystyczną lub naukową określone na podstawie akt archiwalnych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dokumentów ewidencyjnych;</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dach płaski – dach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spadkach połaci do 15°;</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elewacja frontowa – elewację budynku zlokalizowaną od strony przestrzeni publicznej;</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4) </w:t>
      </w:r>
      <w:r>
        <w:rPr>
          <w:rFonts w:ascii="Times New Roman" w:eastAsia="Times New Roman" w:hAnsi="Times New Roman" w:cs="Times New Roman"/>
          <w:b w:val="0"/>
          <w:caps w:val="0"/>
          <w:strike w:val="0"/>
          <w:color w:val="auto"/>
          <w:sz w:val="24"/>
          <w:u w:val="none"/>
        </w:rPr>
        <w:t>front działki – odcinek granicy działki budowlanej przylegającej do drogi publicznej, innego ciągu komunikacyjnego lub placu publicznego,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którego odbywa się główny wjazd lub wejście na tę działkę;</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5) </w:t>
      </w:r>
      <w:r>
        <w:rPr>
          <w:rFonts w:ascii="Times New Roman" w:eastAsia="Times New Roman" w:hAnsi="Times New Roman" w:cs="Times New Roman"/>
          <w:b w:val="0"/>
          <w:caps w:val="0"/>
          <w:strike w:val="0"/>
          <w:color w:val="auto"/>
          <w:sz w:val="24"/>
          <w:u w:val="none"/>
        </w:rPr>
        <w:t>infrastruktura techniczna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 wszelkie systemy, przewody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urządzenia oraz obiekty budowlane: wodociągowe, kanalizacyjne, ciepłownicze, elektryczne, gazowe</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i telekomunikacyjne;</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6) </w:t>
      </w:r>
      <w:r>
        <w:rPr>
          <w:rFonts w:ascii="Times New Roman" w:eastAsia="Times New Roman" w:hAnsi="Times New Roman" w:cs="Times New Roman"/>
          <w:b w:val="0"/>
          <w:caps w:val="0"/>
          <w:strike w:val="0"/>
          <w:color w:val="auto"/>
          <w:sz w:val="24"/>
          <w:u w:val="none"/>
        </w:rPr>
        <w:t>instalacja architektoniczna – obiekt budowlany niebędący budynkiem, posiadający walory artystyczne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przestrzenne;</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7) </w:t>
      </w:r>
      <w:r>
        <w:rPr>
          <w:rFonts w:ascii="Times New Roman" w:eastAsia="Times New Roman" w:hAnsi="Times New Roman" w:cs="Times New Roman"/>
          <w:b w:val="0"/>
          <w:caps w:val="0"/>
          <w:strike w:val="0"/>
          <w:color w:val="auto"/>
          <w:sz w:val="24"/>
          <w:u w:val="none"/>
        </w:rPr>
        <w:t>linia rozgraniczająca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 wyznaczoną na rysunku planu linię ciągłą, stanowiącą granicę między terenami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różnym przeznaczeniu lub różnych zasadach zagospodarowania;</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8) </w:t>
      </w:r>
      <w:r>
        <w:rPr>
          <w:rFonts w:ascii="Times New Roman" w:eastAsia="Times New Roman" w:hAnsi="Times New Roman" w:cs="Times New Roman"/>
          <w:b w:val="0"/>
          <w:caps w:val="0"/>
          <w:strike w:val="0"/>
          <w:color w:val="auto"/>
          <w:sz w:val="24"/>
          <w:u w:val="none"/>
        </w:rPr>
        <w:t>linia zabudowy nieprzekraczalna – wyznaczoną na rysunku planu linię określającą część działki budowlanej, na której możliwe jest lokalizowanie budynków,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zakazem jej przekraczania, który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dotyczy:</w:t>
      </w:r>
    </w:p>
    <w:p w:rsidR="00A77B3E">
      <w:pPr>
        <w:keepNext w:val="0"/>
        <w:keepLines w:val="0"/>
        <w:spacing w:before="120" w:after="120" w:line="240" w:lineRule="auto"/>
        <w:ind w:left="454"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a) </w:t>
      </w:r>
      <w:r>
        <w:rPr>
          <w:rFonts w:ascii="Times New Roman" w:eastAsia="Times New Roman" w:hAnsi="Times New Roman" w:cs="Times New Roman"/>
          <w:b w:val="0"/>
          <w:caps w:val="0"/>
          <w:strike w:val="0"/>
          <w:color w:val="auto"/>
          <w:sz w:val="24"/>
          <w:u w:val="none"/>
        </w:rPr>
        <w:t>elementów wejścia do budynku, takich jak: schody, pochylnia, podest, rampa, zadaszenie,</w:t>
      </w:r>
    </w:p>
    <w:p w:rsidR="00A77B3E">
      <w:pPr>
        <w:keepNext w:val="0"/>
        <w:keepLines w:val="0"/>
        <w:spacing w:before="120" w:after="120" w:line="240" w:lineRule="auto"/>
        <w:ind w:left="454"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b) </w:t>
      </w:r>
      <w:r>
        <w:rPr>
          <w:rFonts w:ascii="Times New Roman" w:eastAsia="Times New Roman" w:hAnsi="Times New Roman" w:cs="Times New Roman"/>
          <w:b w:val="0"/>
          <w:caps w:val="0"/>
          <w:strike w:val="0"/>
          <w:color w:val="auto"/>
          <w:sz w:val="24"/>
          <w:u w:val="none"/>
        </w:rPr>
        <w:t>elementów nadwieszeń, takich jak: łącznik, balkon, wykusz, gzyms, okap dachu,</w:t>
      </w:r>
    </w:p>
    <w:p w:rsidR="00A77B3E">
      <w:pPr>
        <w:keepNext w:val="0"/>
        <w:keepLines w:val="0"/>
        <w:spacing w:before="120" w:after="120" w:line="240" w:lineRule="auto"/>
        <w:ind w:left="454"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c) </w:t>
      </w:r>
      <w:r>
        <w:rPr>
          <w:rFonts w:ascii="Times New Roman" w:eastAsia="Times New Roman" w:hAnsi="Times New Roman" w:cs="Times New Roman"/>
          <w:b w:val="0"/>
          <w:caps w:val="0"/>
          <w:strike w:val="0"/>
          <w:color w:val="auto"/>
          <w:sz w:val="24"/>
          <w:u w:val="none"/>
        </w:rPr>
        <w:t>podziemnych części budynku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urządzeń budowlanych związanych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budynkiem,</w:t>
      </w:r>
    </w:p>
    <w:p w:rsidR="00A77B3E">
      <w:pPr>
        <w:keepNext w:val="0"/>
        <w:keepLines w:val="0"/>
        <w:spacing w:before="120" w:after="120" w:line="240" w:lineRule="auto"/>
        <w:ind w:left="454"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d) </w:t>
      </w:r>
      <w:r>
        <w:rPr>
          <w:rFonts w:ascii="Times New Roman" w:eastAsia="Times New Roman" w:hAnsi="Times New Roman" w:cs="Times New Roman"/>
          <w:b w:val="0"/>
          <w:caps w:val="0"/>
          <w:strike w:val="0"/>
          <w:color w:val="auto"/>
          <w:sz w:val="24"/>
          <w:u w:val="none"/>
        </w:rPr>
        <w:t>instalacji architektonicznych;</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9) </w:t>
      </w:r>
      <w:r>
        <w:rPr>
          <w:rFonts w:ascii="Times New Roman" w:eastAsia="Times New Roman" w:hAnsi="Times New Roman" w:cs="Times New Roman"/>
          <w:b w:val="0"/>
          <w:caps w:val="0"/>
          <w:strike w:val="0"/>
          <w:color w:val="auto"/>
          <w:sz w:val="24"/>
          <w:u w:val="none"/>
        </w:rPr>
        <w:t>linia zabudowy obowiązująca – rodzaj linii zabudowy nieprzekraczalnej, wzdłuż której obowiązuje sytuowanie minimum 70% powierzchni ściany frontowej budynku;</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10) </w:t>
      </w:r>
      <w:r>
        <w:rPr>
          <w:rFonts w:ascii="Times New Roman" w:eastAsia="Times New Roman" w:hAnsi="Times New Roman" w:cs="Times New Roman"/>
          <w:b w:val="0"/>
          <w:caps w:val="0"/>
          <w:strike w:val="0"/>
          <w:color w:val="auto"/>
          <w:sz w:val="24"/>
          <w:u w:val="none"/>
        </w:rPr>
        <w:t>linia zabudowy pierzejowej – rodzaj linii zabudowy nieprzekraczalnej, wzdłuż której obowiązuje sytuowanie ściany frontowej budynku na całej jej długości,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dopuszczeniem niewypełnienia całej długości linii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przypadku występowania otworów okiennych lub drzwiowych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ścianie budynku usytuowanego bezpośrednio przy granicy na działce sąsiedniej;</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11) </w:t>
      </w:r>
      <w:r>
        <w:rPr>
          <w:rFonts w:ascii="Times New Roman" w:eastAsia="Times New Roman" w:hAnsi="Times New Roman" w:cs="Times New Roman"/>
          <w:b w:val="0"/>
          <w:caps w:val="0"/>
          <w:strike w:val="0"/>
          <w:color w:val="auto"/>
          <w:sz w:val="24"/>
          <w:u w:val="none"/>
        </w:rPr>
        <w:t>miejsce zmiany lub końca linii zabudowy – wskazany na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rysunku planu punkt,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którym następuje zmiana rodzaju jednej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linii zabudowy lub jej zakończenie;</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12) </w:t>
      </w:r>
      <w:r>
        <w:rPr>
          <w:rFonts w:ascii="Times New Roman" w:eastAsia="Times New Roman" w:hAnsi="Times New Roman" w:cs="Times New Roman"/>
          <w:b w:val="0"/>
          <w:caps w:val="0"/>
          <w:strike w:val="0"/>
          <w:color w:val="auto"/>
          <w:sz w:val="24"/>
          <w:u w:val="none"/>
        </w:rPr>
        <w:t>nadzór archeologiczny – rodzaj badań archeologicznych polegających na obserwacji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analizie nawarstwień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wykopach budowlanych podczas realizacji robót ziemnych lub przy dokonywaniu zmiany charakteru dotychczasowej działalności wiążącej się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naruszeniem struktury gruntu;</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13) </w:t>
      </w:r>
      <w:r>
        <w:rPr>
          <w:rFonts w:ascii="Times New Roman" w:eastAsia="Times New Roman" w:hAnsi="Times New Roman" w:cs="Times New Roman"/>
          <w:b w:val="0"/>
          <w:caps w:val="0"/>
          <w:strike w:val="0"/>
          <w:color w:val="auto"/>
          <w:sz w:val="24"/>
          <w:u w:val="none"/>
        </w:rPr>
        <w:t>przepisy odrębne – przepisy prawa powszechnie obowiązującego,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szczególności ustawy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rozporządzenia,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także akty prawa miejscowego obowiązujące na obszarze miasta Łodzi;</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14) </w:t>
      </w:r>
      <w:r>
        <w:rPr>
          <w:rFonts w:ascii="Times New Roman" w:eastAsia="Times New Roman" w:hAnsi="Times New Roman" w:cs="Times New Roman"/>
          <w:b w:val="0"/>
          <w:caps w:val="0"/>
          <w:strike w:val="0"/>
          <w:color w:val="auto"/>
          <w:sz w:val="24"/>
          <w:u w:val="none"/>
        </w:rPr>
        <w:t>przeznaczenie terenu – obiekty budowlane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urządzenia budowlane oraz zagospodarowanie tworzące całość funkcjonalną, określone ustaleniami planu na danym terenie odpowiednio:</w:t>
      </w:r>
    </w:p>
    <w:p w:rsidR="00A77B3E">
      <w:pPr>
        <w:keepNext w:val="0"/>
        <w:keepLines w:val="0"/>
        <w:spacing w:before="120" w:after="120" w:line="240" w:lineRule="auto"/>
        <w:ind w:left="454"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a) </w:t>
      </w:r>
      <w:r>
        <w:rPr>
          <w:rFonts w:ascii="Times New Roman" w:eastAsia="Times New Roman" w:hAnsi="Times New Roman" w:cs="Times New Roman"/>
          <w:b w:val="0"/>
          <w:caps w:val="0"/>
          <w:strike w:val="0"/>
          <w:color w:val="auto"/>
          <w:sz w:val="24"/>
          <w:u w:val="none"/>
        </w:rPr>
        <w:t>przeznaczenie podstawowe – przeznaczenie, które  przeważa na danej działce,</w:t>
      </w:r>
    </w:p>
    <w:p w:rsidR="00A77B3E">
      <w:pPr>
        <w:keepNext w:val="0"/>
        <w:keepLines w:val="0"/>
        <w:spacing w:before="120" w:after="120" w:line="240" w:lineRule="auto"/>
        <w:ind w:left="454"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b) </w:t>
      </w:r>
      <w:r>
        <w:rPr>
          <w:rFonts w:ascii="Times New Roman" w:eastAsia="Times New Roman" w:hAnsi="Times New Roman" w:cs="Times New Roman"/>
          <w:b w:val="0"/>
          <w:caps w:val="0"/>
          <w:strike w:val="0"/>
          <w:color w:val="auto"/>
          <w:sz w:val="24"/>
          <w:u w:val="none"/>
        </w:rPr>
        <w:t>przeznaczenie uzupełniające – przeznaczenie, które uzupełnia przeznaczenie podstawowe,</w:t>
      </w:r>
    </w:p>
    <w:p w:rsidR="00A77B3E">
      <w:pPr>
        <w:keepNext w:val="0"/>
        <w:keepLines w:val="0"/>
        <w:spacing w:before="120" w:after="120" w:line="240" w:lineRule="auto"/>
        <w:ind w:left="454"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c) </w:t>
      </w:r>
      <w:r>
        <w:rPr>
          <w:rFonts w:ascii="Times New Roman" w:eastAsia="Times New Roman" w:hAnsi="Times New Roman" w:cs="Times New Roman"/>
          <w:b w:val="0"/>
          <w:caps w:val="0"/>
          <w:strike w:val="0"/>
          <w:color w:val="auto"/>
          <w:sz w:val="24"/>
          <w:u w:val="none"/>
        </w:rPr>
        <w:t>przeznaczenie dopuszczalne – przeznaczenie, które określa sposób wykorzystania działki do czasu realizacji przeznaczenia podstawowego, podnoszące przejściowo walory estetyczno-użytkowe przestrzeni;</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15) </w:t>
      </w:r>
      <w:r>
        <w:rPr>
          <w:rFonts w:ascii="Times New Roman" w:eastAsia="Times New Roman" w:hAnsi="Times New Roman" w:cs="Times New Roman"/>
          <w:b w:val="0"/>
          <w:caps w:val="0"/>
          <w:strike w:val="0"/>
          <w:color w:val="auto"/>
          <w:sz w:val="24"/>
          <w:u w:val="none"/>
        </w:rPr>
        <w:t>strefa ochrony archeologicznej – rodzaj strefy konserwatorskiej obejmującej obszar, na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którym zlokalizowane są zabytki archeologiczne lub istnieje uzasadnione podejrzenie, że mogą się one na nim znajdować;</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16) </w:t>
      </w:r>
      <w:r>
        <w:rPr>
          <w:rFonts w:ascii="Times New Roman" w:eastAsia="Times New Roman" w:hAnsi="Times New Roman" w:cs="Times New Roman"/>
          <w:b w:val="0"/>
          <w:caps w:val="0"/>
          <w:strike w:val="0"/>
          <w:color w:val="auto"/>
          <w:sz w:val="24"/>
          <w:u w:val="none"/>
        </w:rPr>
        <w:t>system NCS – system opisu barw publikowany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formie wzorników kolorów; oznaczenie koloru składa się z: napisu „NCS S”, czterech cyfr,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których pierwsze dwie oznaczają procentową zawartość czerni, kolejne dwie – poziom chromatyczności oraz po myślniku, symbolu koloru oznaczającego procentową zawartość kolorów  (żółtego – Y, czerwonego – R, niebieskiego – B, zielonego – G) lub kolor neutralny – N;</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17) </w:t>
      </w:r>
      <w:r>
        <w:rPr>
          <w:rFonts w:ascii="Times New Roman" w:eastAsia="Times New Roman" w:hAnsi="Times New Roman" w:cs="Times New Roman"/>
          <w:b w:val="0"/>
          <w:caps w:val="0"/>
          <w:strike w:val="0"/>
          <w:color w:val="auto"/>
          <w:sz w:val="24"/>
          <w:u w:val="none"/>
        </w:rPr>
        <w:t>system RAL – system opisu barw publikowany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formie wzorników kolorów; oznaczenie koloru składa się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napisu „RAL” oraz czterech cyfr,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których pierwsze dwie oznaczają przynależność koloru do umownie określonych grup odcieni (np. RAL10xx – grupa odcieni żółtych, RAL90xx – grupa odcieni białych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czarnych);</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18) </w:t>
      </w:r>
      <w:r>
        <w:rPr>
          <w:rFonts w:ascii="Times New Roman" w:eastAsia="Times New Roman" w:hAnsi="Times New Roman" w:cs="Times New Roman"/>
          <w:b w:val="0"/>
          <w:caps w:val="0"/>
          <w:strike w:val="0"/>
          <w:color w:val="auto"/>
          <w:sz w:val="24"/>
          <w:u w:val="none"/>
        </w:rPr>
        <w:t>tablica informacyjna – przedmiot materialny przeznaczony lub służący do ekspozycji treści informacyjnych niestanowiących reklamy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płaskiej powierzchni wraz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jego elementami konstrukcyjnymi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zamocowaniami;</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19) </w:t>
      </w:r>
      <w:r>
        <w:rPr>
          <w:rFonts w:ascii="Times New Roman" w:eastAsia="Times New Roman" w:hAnsi="Times New Roman" w:cs="Times New Roman"/>
          <w:b w:val="0"/>
          <w:caps w:val="0"/>
          <w:strike w:val="0"/>
          <w:color w:val="auto"/>
          <w:sz w:val="24"/>
          <w:u w:val="none"/>
        </w:rPr>
        <w:t>teren</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 wydzielone liniami rozgraniczającymi lub granicami obszaru objętego planem nieruchomości lub ich części, oznaczone symbolami liczbowymi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literowymi,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których liczby oznaczają numer porządkowy terenu,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litery podstawowe przeznaczenie terenu;</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20) </w:t>
      </w:r>
      <w:r>
        <w:rPr>
          <w:rFonts w:ascii="Times New Roman" w:eastAsia="Times New Roman" w:hAnsi="Times New Roman" w:cs="Times New Roman"/>
          <w:b w:val="0"/>
          <w:caps w:val="0"/>
          <w:strike w:val="0"/>
          <w:color w:val="auto"/>
          <w:sz w:val="24"/>
          <w:u w:val="none"/>
        </w:rPr>
        <w:t>uchwała – niniejszą uchwałę Rady Miejskiej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21) </w:t>
      </w:r>
      <w:r>
        <w:rPr>
          <w:rFonts w:ascii="Times New Roman" w:eastAsia="Times New Roman" w:hAnsi="Times New Roman" w:cs="Times New Roman"/>
          <w:b w:val="0"/>
          <w:caps w:val="0"/>
          <w:strike w:val="0"/>
          <w:color w:val="auto"/>
          <w:sz w:val="24"/>
          <w:u w:val="none"/>
        </w:rPr>
        <w:t>usługi uciążliwe – działalność usługową powodującą przekroczenie standardów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norm środowiskowych obowiązujących dla przeznaczenia podstawowego danego terenu;</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22) </w:t>
      </w:r>
      <w:r>
        <w:rPr>
          <w:rFonts w:ascii="Times New Roman" w:eastAsia="Times New Roman" w:hAnsi="Times New Roman" w:cs="Times New Roman"/>
          <w:b w:val="0"/>
          <w:caps w:val="0"/>
          <w:strike w:val="0"/>
          <w:color w:val="auto"/>
          <w:sz w:val="24"/>
          <w:u w:val="none"/>
        </w:rPr>
        <w:t>ustawa – ustawę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27</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2003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planowaniu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zagospodarowaniu przestrzennym,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ile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treści planu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wynika inaczej;</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23) </w:t>
      </w:r>
      <w:r>
        <w:rPr>
          <w:rFonts w:ascii="Times New Roman" w:eastAsia="Times New Roman" w:hAnsi="Times New Roman" w:cs="Times New Roman"/>
          <w:b w:val="0"/>
          <w:caps w:val="0"/>
          <w:strike w:val="0"/>
          <w:color w:val="auto"/>
          <w:sz w:val="24"/>
          <w:u w:val="none"/>
        </w:rPr>
        <w:t>wskaźnik powierzchni biologicznie czynnej – udział procentowy terenu biologicznie czynnego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powierzchni działki budowlanej;</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24) </w:t>
      </w:r>
      <w:r>
        <w:rPr>
          <w:rFonts w:ascii="Times New Roman" w:eastAsia="Times New Roman" w:hAnsi="Times New Roman" w:cs="Times New Roman"/>
          <w:b w:val="0"/>
          <w:caps w:val="0"/>
          <w:strike w:val="0"/>
          <w:color w:val="auto"/>
          <w:sz w:val="24"/>
          <w:u w:val="none"/>
        </w:rPr>
        <w:t>wskaźnik powierzchni zabudowy – udział procentowy powierzchni wyznaczonej przez rzuty pionowe części nadziemnych wszystkich budynków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ich obrysie zewnętrznym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powierzchni działki budowlanej;</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25) </w:t>
      </w:r>
      <w:r>
        <w:rPr>
          <w:rFonts w:ascii="Times New Roman" w:eastAsia="Times New Roman" w:hAnsi="Times New Roman" w:cs="Times New Roman"/>
          <w:b w:val="0"/>
          <w:caps w:val="0"/>
          <w:strike w:val="0"/>
          <w:color w:val="auto"/>
          <w:sz w:val="24"/>
          <w:u w:val="none"/>
        </w:rPr>
        <w:t>wysokość parteru budynku – określony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metrach wymiar pionowy fragmentu elewacji budynku, mierzony od poziomu terenu przy elewacji, do poziomu spodu elementu architektonicznego, oddzielającego pierwszą kondygnację nadziemną od kondygnacji wyższych, występującego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postaci np. gzymsu, podziału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wykończeniu elewacji, uskoku,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 przypadku, gdy taki element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występuje - do poziomu spodu stropu nad pierwszą kondygnacją nadziemną budynku;</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26) </w:t>
      </w:r>
      <w:r>
        <w:rPr>
          <w:rFonts w:ascii="Times New Roman" w:eastAsia="Times New Roman" w:hAnsi="Times New Roman" w:cs="Times New Roman"/>
          <w:b w:val="0"/>
          <w:caps w:val="0"/>
          <w:strike w:val="0"/>
          <w:color w:val="auto"/>
          <w:sz w:val="24"/>
          <w:u w:val="none"/>
        </w:rPr>
        <w:t>wysokość zabudowy – określoną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metrach wysokość obiektu budowlanego mierzoną od najniższego poziomu gruntu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miejscu jego lokalizacji do najwyższego punktu jego konstrukcji,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dla budynków - do najwyższego punktu dachu;</w:t>
      </w:r>
    </w:p>
    <w:p w:rsidR="00A77B3E">
      <w:pPr>
        <w:keepNext w:val="0"/>
        <w:keepLines w:val="0"/>
        <w:spacing w:before="120" w:after="120" w:line="240" w:lineRule="auto"/>
        <w:ind w:left="227" w:right="0" w:hanging="283"/>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27) </w:t>
      </w:r>
      <w:r>
        <w:rPr>
          <w:rFonts w:ascii="Times New Roman" w:eastAsia="Times New Roman" w:hAnsi="Times New Roman" w:cs="Times New Roman"/>
          <w:b w:val="0"/>
          <w:caps w:val="0"/>
          <w:strike w:val="0"/>
          <w:color w:val="auto"/>
          <w:sz w:val="24"/>
          <w:u w:val="none"/>
        </w:rPr>
        <w:t>zabudowa typu penthouse – część budynku zlokalizowaną na najwyższej kondygnacji,  której powierzchnia całkowita wynosi maksymalnie 50% powierzchni całkowitej kondygnacji znajdującej się poniżej, mierzonej na poziomie posadzki.</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auto"/>
          <w:sz w:val="24"/>
          <w:u w:val="none"/>
          <w:vertAlign w:val="baseline"/>
        </w:rPr>
        <w:t>Określenia użyte w</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planie, a</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niezdefiniowane w</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ust.</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1, dotyczące zagadnień przewidzianych ustawą lub przepisami odrębnymi przywołanymi w</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treści niniejszej uchwały, należy rozumieć w</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sposób określony w</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ustawie lub w</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tych przepisach, a</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 xml:space="preserve">w przypadku braku definicji </w:t>
      </w:r>
      <w:r>
        <w:rPr>
          <w:rFonts w:ascii="Times New Roman" w:eastAsia="Times New Roman" w:hAnsi="Times New Roman" w:cs="Times New Roman"/>
          <w:b/>
          <w:i w:val="0"/>
          <w:caps w:val="0"/>
          <w:strike w:val="0"/>
          <w:color w:val="000000"/>
          <w:sz w:val="24"/>
          <w:u w:val="none" w:color="000000"/>
          <w:vertAlign w:val="baseline"/>
        </w:rPr>
        <w:t xml:space="preserve">– </w:t>
      </w:r>
      <w:r>
        <w:rPr>
          <w:rFonts w:ascii="Times New Roman" w:eastAsia="Times New Roman" w:hAnsi="Times New Roman" w:cs="Times New Roman"/>
          <w:b w:val="0"/>
          <w:i w:val="0"/>
          <w:caps w:val="0"/>
          <w:strike w:val="0"/>
          <w:color w:val="000000"/>
          <w:sz w:val="24"/>
          <w:u w:val="none" w:color="000000"/>
          <w:vertAlign w:val="baseline"/>
        </w:rPr>
        <w:t>w rozumieniu powszechnym.</w:t>
      </w:r>
    </w:p>
    <w:p w:rsidR="00A77B3E">
      <w:pPr>
        <w:keepNext/>
        <w:keepLines w:val="0"/>
        <w:spacing w:before="48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2</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Ustalenia dla całego obszaru objętego planem</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5.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kształtowanie standardów zagospodarowania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użytkowania terenów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porządkowania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uzupełniania istniejących struktur zabudowy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poszanowaniem historycznych układów urbanistycznych, obiektów zabytkowych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dóbr kultury współczesnej;</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tereny przeznaczone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na cele zabudowy zalicza się do obszarów zabudowy śródmiejskiej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przeznaczenia terenów:</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lokalizacji:</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obiektów handlowych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powyżej 2000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szpitali,</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usług uciążliwych,</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usług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obsługi komunikacji to jest: warsztatów samochodowych, stacji obsługi samochodów, stacji paliw oraz myjni samochodowych,</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zakresie przeznaczenia dopuszczalnego możliwość realizacji:</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zieleni,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zieleni wysokiej,</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obiektów małej architektury,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przepisów odrębnych dotyczących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sytuowania obiektów małej architektury, tablic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reklamowych oraz ogrodzeń obowiązujących na terenie miasta Łodzi,</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urządzeń rekreacyjnych;</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lokalizacji zabudowy oraz parametrów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wskaźników zabudowy:</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zabudowy istniejącej, ukształtowanej niezgodnie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wyznaczonymi na rysunku planu liniami zabudowy lub niespełniającej wskaźników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parametrów sprecyzowanych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dopuszcza się wyłącznie:</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remont, przebudowę, rozbiórkę,</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prowadzenie innych robót budowlanych polegających na doprowadzeniu do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planu lub przepisami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budowę budynków posiadających cechy historyczne zabytków,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sytuowania budynku zwróconego ścianą bez okien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drzwi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stronę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bezpośrednio przy tej granicy,</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intensywność zabudowy określona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dotyczy kondygnacji nadziemnych; dla kondygnacji podziemnych dopuszczenie maksymalnej intensywności zabudowy 5,0;</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kształtowania zabudowy, zagospodarowania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dopuszczenie wycofania części elewacji frontowej budynku sytuowanego wzdłuż linii zabudowy pierzejowej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podcieni lub loggii,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miejscu ich usytuowania,</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kondygnacji powyżej gzymsu wieńczącego, attyki lub innego elementu kończącego ścianę,</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lokalizacji usług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parterach budynków usytuowanych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rozgraniczającej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terenami przestrzeni publicznej, pod warunkiem zapewnienia wejść do lokali usługowych bezpośrednio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tych terenów,</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zakaz lokalizacji:</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wolnostojących: masztów, jednokondygnacyjnych garaży nadziemnych, budynków gospodarczych, technicznych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stacji transformatorowych,</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mieszkań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kondygnacji parteru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częściach budynków, usytuowanych bezpośrednio przy liniach rozgraniczających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terenami przestrzeni publicznej,</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miejsc postojowych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parterach budynków,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mniejszej niż 6,0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rozgraniczających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terenami przestrzeni publicznej,</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kondygnacji podziemnej budynku wyniesionej powyżej poziomu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mniejszej niż 15,0 m od linii rozgraniczających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terenami przestrzeni publicznej,</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zakresie kształtowania elewacji budynków:</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nakaz ukształtowania elewacji frontowych,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wykorzystaniem zasad kompozycji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wyodrębnienia kondygnacji parteru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zwieńczenia elewacji,</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dopuszczenie stosowania przy realizacji elewacji szklanych oraz szklenia otworów wyłącznie szkła bezbarwnego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barwie szarej,</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zakaz stosowania na elewacji: okładzin winylowych,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gresu lub glazury, blach trapezowych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falistych, blachodachówki oraz materiałów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elementów  charakterystycznych dla architektury wernakularnej, takich jak: kamień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drewno niepoddane obróbce, wiklina, słoma, bielone ściany;</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lokalizacji urządzeń technicznych:</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lokalizacji na elewacjach frontowych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prześwitach bramowych, elementów technicznego wyposażenia budynków,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klimatyzatorów, anten, przewodów dymowych, wentylacyjnych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instalacji elektrycznych, za wyjątkiem skrzynek przyłączy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elementów służących iluminacji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zapewnieniu bezpieczeństwa budynków,</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budynków usytuowanych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rozgraniczającej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Piotrkowską – lokalizacji urządzeń technicznych służących wentylacji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klimatyzacji, masztów antenowych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anten na połaciach dachowych położonych od strony ul. Piotrkowskiej,</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pozostałych budynków – lokalizacji urządzeń technicznych służących wentylacji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klimatyzacji, masztów antenowych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anten:</w:t>
      </w:r>
    </w:p>
    <w:p w:rsidR="00A77B3E">
      <w:pPr>
        <w:keepNext w:val="0"/>
        <w:keepLines/>
        <w:spacing w:before="0" w:after="0" w:line="360" w:lineRule="auto"/>
        <w:ind w:left="1020" w:right="0" w:hanging="227"/>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na połaciach dachowych położonych od strony przestrzeni publicznych,</w:t>
      </w:r>
    </w:p>
    <w:p w:rsidR="00A77B3E">
      <w:pPr>
        <w:keepNext w:val="0"/>
        <w:keepLines/>
        <w:spacing w:before="0" w:after="0" w:line="360" w:lineRule="auto"/>
        <w:ind w:left="1020" w:right="0" w:hanging="227"/>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na pozostałych połaciach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mniejszej niż 5,0 m od linii rozgraniczającej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terenami przestrzeni publicznej,</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realizacji na połaciach dachowych, innych niż 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tiret drugie, urządzeń technicznych służących wentylacji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klimatyzacji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obudową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wysokości do 3,0 m oraz masztów antenowych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anten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do 8,0 m,</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realizacji skrzynek przyłączy infrastruktury technicznej na elewacjach,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skrzynek przyłączy gazowych również na ogrodzeniach, pod warunkiem wbudowania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ścianę lub ogrodzenie oraz wykonania części skrzynek widocznej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zewnątrz wyłącznie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żeliwa bądź stali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kolorze grafitowym odpowiadającym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RAL barwie 7016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barwie elewacji lub ogrodzenia,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 są wbudowane,</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zakładania na obiektach budowlanych elementów trakcji, znaków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sygnałów drogowych lub innych urządzeń bezpieczeństwa ruchu drogowego, urządzeń służących do zapewnienia bezpieczeństwa publicznego,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urządzeń niezbędnych do korzystania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gospodarki nieruchomościami.</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6. </w:t>
      </w:r>
      <w:r>
        <w:rPr>
          <w:rFonts w:ascii="Times New Roman" w:eastAsia="Times New Roman" w:hAnsi="Times New Roman" w:cs="Times New Roman"/>
          <w:b w:val="0"/>
          <w:i w:val="0"/>
          <w:caps w:val="0"/>
          <w:strike w:val="0"/>
          <w:color w:val="000000"/>
          <w:sz w:val="24"/>
          <w:u w:val="none" w:color="000000"/>
          <w:vertAlign w:val="baseline"/>
        </w:rPr>
        <w:t>Ustala się następujące wymagania wynikające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potrzeb kształtowania przestrzeni publicznych, do których na obszarze objętym planem należy teren placu publicznego oznaczonego symbolem 2PP:</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dopuszczenie sytuowania instalacji architektonicznych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niekolidujący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funkcjami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sposobem zagospodarowania terenu;</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zakaz nasadzeń drzew iglastych.</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7. </w:t>
      </w:r>
      <w:r>
        <w:rPr>
          <w:rFonts w:ascii="Times New Roman" w:eastAsia="Times New Roman" w:hAnsi="Times New Roman" w:cs="Times New Roman"/>
          <w:b w:val="0"/>
          <w:i w:val="0"/>
          <w:caps w:val="0"/>
          <w:strike w:val="0"/>
          <w:color w:val="000000"/>
          <w:sz w:val="24"/>
          <w:u w:val="none" w:color="000000"/>
          <w:vertAlign w:val="baseline"/>
        </w:rPr>
        <w:t>Ustala się następujące zasady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warunki sytuowania tablic informacyjnych - zakaz sytuowania tablic informacyjnych:</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 sposób powodujący zasłanianie lub przysłanianie: znaków systemu informacji miejskiej (SIM), elementów systemu monitoringu miejskiego, detali architektonicznych, otworów okiennych, drzwiowych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wentylacyjnych;</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utrudniających poruszanie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ograniczających przejścia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dojazdy.</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8.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środowiska, przyrody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krajobrazu oraz zasady kształtowania krajobrazu:</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zakaz lokalizacji przedsięwzięć mogących znacząco oddziaływać na środowisko, za wyjątkiem:</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zespołów zabudowy mieszkaniowej, usługowej, garaży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parkingów samochodowych oraz zespołów parkingów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towarzyszącą im infrastrukturą,</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przedsięwzięć dotyczących infrastruktury technicznej, dróg oraz linii tramwajowych;</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ochrony przed hałasem teren oznaczony symbolem 1MW/U zalicza się do terenów chronionych akustycznie określonych jako „tereny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śródmiejskiej miast powyżej 100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tys.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dotyczących dopuszczalnych poziomów hałasu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środowisku;</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ochrony powietrza - nakaz stosowania do celów grzewczych bezemisyjnych lub niskoemisyjnych źródeł ciepła, spełniających wymagania standardów jakości powietrza;</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ochrony wód:</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gromadzenia ścieków bytowych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zbiornikach bezodpływowych,</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stosowania urządzeń umożliwiających wykorzystanie na miejscu wód opadowych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roztopowych,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odprowadzenia ich do gruntu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na warunkach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dotyczących zbiorowego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zbiorowego odprowadzania ścieków oraz prawa wodnego,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a także budownictwa,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ograniczenia ich odpływu do sieci kanalizacji deszczowej lub ogólnospławnej,</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stosowania rozwiązań umożliwiających retencjonowanie nadmiaru wód opadowych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roztopowych, spływających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szczelnych dachów, ulic</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placów, przed ich odprowadzeniem do miejskiej sieci kanalizacji deszczowej lub ogólnospławnej,</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rozdzielania instalacji odbioru wód opadowych od instalacji kanalizacji sanitarnej przed ich podłączeniem do sieci kanalizacji ogólnospławnej:</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przypadku budowy nowego budynku,</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przypadku budynku istniejącego,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sytuacji prowadzenia robót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gospodarki wodno-ściekowej;</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ochrony ziemi – nakaz zapewnienia dla nieruchomości miejsca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służącego do czasowego gromadzenia odpadów stałych,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wymogów wynikających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przepisów odrębnych dotyczących budownictwa oraz dotyczących utrzymania czystości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porządku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gminach;</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ochrony przed polami elektromagnetycznymi:</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lokalizacji obiektów, urządzeń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infrastruktury technicznej, które powodują przekroczenie dopuszczalnych poziomów pól elektromagnetycznych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środowisku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dotyczących ochrony środowiska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budynków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pomieszczeniami przeznaczonymi na pobyt ludzi,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dotyczących budownictwa,</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lokalizacji obiektów infrastruktury telekomunikacyjnej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nieznacznym oddziaływaniu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dotyczących rozwoju usług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telekomunikacyjnych.</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9.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krajobrazów kulturowych oraz dóbr kultury współczesnej:</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zabytek chroniony przez uznanie go za pomnik historii na mocy rozporządzenia Prezydenta Rzeczypospolitej Polskiej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sprawie uznania za pomnik historii „Łódź – wielokulturowy krajobraz miasta przemysłowego” (Dz.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315), to jest układy urbanistyczne pl. Wolności, ul. Stanisława Moniuszki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ul. Piotrkowskiej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zespołem fabryczno-rezydencjonalnym Ludwika Geyera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granicach oznaczonych na rysunku planu;</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park kulturowy, obejmujący cały obszar planu, utworzony na mocy uchwały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XXI/483/15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sprawie utworzenia Parku Kulturowego ulicy Piotrkowskiej (Dz. Urz. Woj. Łódzkiego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poz.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174), zmienionej uchwałą Nr XXXIII/881/16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31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2016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(Dz. Urz. Woj. Łódzkiego poz.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4041);</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wskazuje się zabytek chroniony przez wpis do rejestru zabytków nr A/48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stycznia 1971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 układ urbanistyczny ulicy Piotrkowskiej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zabudowa ul. Piotrkowskiej na odcinku od pl. Wolności do alei: Piłsudskiego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Mickiewicza,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oznaczonych na rysunku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prowadzenie działań inwestycyjnych,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wycinki oraz sadzenia drzew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krzewów wymaga pozwolenia właściwego organu,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zabytków;</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wprowadza się strefę ochrony archeologicznej, obejmującą cały obszar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przy realizacji robót ziemnych lub dokonywaniu zmiany charakteru dotychczasowej działalności wiążącej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naruszeniem struktury gruntu nakazuje się prowadzenie nadzoru archeologicznego na zasadach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zabytków;</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wprowadza się na całym obszarze planu strefę ochrony konserwatorskiej wielokulturowego krajobrazu Miasta przemysłowego obejmującą fragment historycznego układu urbanistycznego oraz krajobrazu kulturowego, wpisanego do gminnej ewidencji zabytków pod nazwą „Osada Łódka”, dla której ustala się:</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ochronę historycznych cech rozplanowania poprzez zachowanie tradycyjnego układu podwórzy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zabudową oficynową,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możliwością łączenia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wspólnego zagospodarowywania podwórzy,</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zaznaczenia historycznych granic działek, wskazanych na rysunku planu,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kompozycji elewacji frontowej budynków nowo projektowanych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zróżnicowania każdej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 wydzielonych części elewacji,</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zaznaczenia historycznych granic działek, wskazanych na rysunku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nawierzchni działki budowlanej,</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zakaz realizacji monolitycznych nawierzchni betonowych lub asfaltowych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podwórzach;</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oznaczone na rysunku planu symbolem E oraz kolejną liczbą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których ustala się ochronę poprzez:</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prowadzenia na działce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miejscu zabytku, który uległ zniszczeniu, robót budowlanych innych niż budowa budynku posiadającego cechy historyczne zabytku,</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przy prowadzeniu robót budowlanych, uwzględnienia cech historycznych zabytku,</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prowadzenia robót budowlanych przy zabytkach,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zasadami określonymi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7-12;</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dopuszcza się nadbudowę wyłącznie wskazanych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zabytków wpisanych do gminnej ewidencji zabytków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warunków:</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wykonania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materiale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kolorystyce odróżniającej się</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zachowanych cech historycznych zabytku,</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wykonania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niezaburzający ekspozycji elementów wieńczących nadbudowywany zabytek, takich jak: attyki, szczyty, ryzality wyniesione ponad dach zabytku;</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dopuszcza się rozbudowę zabytków wpisanych do gminnej ewidencji zabytków wyłącznie poprzez:</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realizację jednego łącznika oficyn umieszczonego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niżej niż druga kondygnacja nadziemna,</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dobudowę zewnętrznych pionowych ciągów komunikacyjnych wyłącznie od strony podwórza,</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realizację nowych części kamienic frontowych lub oficyn:</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przylegających do ścian bocznych kamienic frontowych lub oficyn,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do ścian tylnych oficyn,</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pozostałych – wyłącznie parterowych,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ażurowej konstrukcji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łącznej powierzchni otworów, prześwitów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przeszkleń, stanowiącej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niż 65% powierzchni elewacji, na przykład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werand, ogrodów zimowych,</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realizację zadaszenia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pod warunkiem zachowania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ekspozycji elementów detalu architektonicznego elewacji budynków;</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9) </w:t>
      </w:r>
      <w:r>
        <w:rPr>
          <w:rFonts w:ascii="Times New Roman" w:eastAsia="Times New Roman" w:hAnsi="Times New Roman" w:cs="Times New Roman"/>
          <w:b w:val="0"/>
          <w:i w:val="0"/>
          <w:caps w:val="0"/>
          <w:strike w:val="0"/>
          <w:color w:val="000000"/>
          <w:sz w:val="24"/>
          <w:u w:val="none" w:color="000000"/>
          <w:vertAlign w:val="baseline"/>
        </w:rPr>
        <w:t>dopuszcza się przebudowę elewacji zabytku wpisanego do gminnej ewidencji zabytków wyłącznie poprzez:</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zmianę wysokości otworów:</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elewacjach od strony podwórzy – pod warunkiem zachowania położenia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kształtu ich nadproża lub jego przebudowy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cechami historycznymi,</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pozostałych elewacjach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kondygnacji parteru, pod warunkiem zachowania położenia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kształtu ich nadproża lub jego przebudowy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cechami historycznymi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zapewniający ujednolicenie położenia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kształtu nadproży,</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zmianę szerokości otworów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elewacjach od  strony  podwórzy – pod warunkiem jej dostosowania do szerokości okien położonych na tej samej osi,</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realizację balkonów:</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na elewacjach od strony podwórzy,</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na pozostałych elewacjach – wyłącznie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cechami historycznymi,</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zamurowanie otworów okiennych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kondygnacji piwnic,</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zmianę wystroju architektonicznego,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realizację otworów okiennych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drzwiowych:</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ścian tylnych oficyn usytuowanych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terenami przestrzeni publicznych,</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ścian od strony podwórzy;</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10) </w:t>
      </w:r>
      <w:r>
        <w:rPr>
          <w:rFonts w:ascii="Times New Roman" w:eastAsia="Times New Roman" w:hAnsi="Times New Roman" w:cs="Times New Roman"/>
          <w:b w:val="0"/>
          <w:i w:val="0"/>
          <w:caps w:val="0"/>
          <w:strike w:val="0"/>
          <w:color w:val="000000"/>
          <w:sz w:val="24"/>
          <w:u w:val="none" w:color="000000"/>
          <w:vertAlign w:val="baseline"/>
        </w:rPr>
        <w:t>dopuszcza się przy przebudowie zabytku wpisanego do gminnej ewidencji zabytków:</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stosowanie okien połaciowych,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połaci dachów od strony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Piotrkowskiej,</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realizację lukarn,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lukarn na połaci dachu od strony ul. Piotrkowskiej pod warunkiem:</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cofnięcia ściany lukarny – minimum 0,5 m od linii zabudowy pierzejowej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lub obowiązującej lub lica ściany kondygnacji niższej,</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umieszczenia osi pionowej lukarny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osi pionowej otworów niższej kondygnacji,</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wysokości kalenicy lukarny nieprzekraczającej wysokości kalenicy zabytku,</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rozbiórkę fragmentów dachu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realizację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miejscu tarasów,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połaci dachów od strony ul. Piotrkowskiej,</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zmianę geometrii dachu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zabytkach,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zabytków wskazanych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ustaleniach szczegółowych,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warunku zmiany geometrii dachów budynków kamienic usytuowanych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zabudowy pierzejowej lub obowiązującej wyłącznie na połaciach od strony podwórza;</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11) </w:t>
      </w:r>
      <w:r>
        <w:rPr>
          <w:rFonts w:ascii="Times New Roman" w:eastAsia="Times New Roman" w:hAnsi="Times New Roman" w:cs="Times New Roman"/>
          <w:b w:val="0"/>
          <w:i w:val="0"/>
          <w:caps w:val="0"/>
          <w:strike w:val="0"/>
          <w:color w:val="000000"/>
          <w:sz w:val="24"/>
          <w:u w:val="none" w:color="000000"/>
          <w:vertAlign w:val="baseline"/>
        </w:rPr>
        <w:t>dopuszcza się przy przebudowie lub remoncie elewacji zabytku wpisanego do gminnej ewidencji zabytków:</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wymianę wyłącznie zniszczonej stolarki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ślusarki lub jej odtworzenie pod warunkiem zastosowania formy (gabarytów, geometrii, podziałów) oraz materiałów zgodnych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cechami historycznymi,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stosowania współczesnych technologii,</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zastosowanie nowej kolorystyki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użyciem najwyżej trzech barw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tej samej grupy barw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załączniku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uchwały,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jednej dla powierzchni ścian, jednej (najjaśniejszej) dla detalu architektonicznego oraz jednej (najciemniejszej) dla partii cokołu,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użycia innych barw lub ich innej konfiguracji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następujących przypadkach:</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zastosowania naturalnej kolorystyki materiałów wykończeniowych, takich jak: ceramika budowlana, kamień naturalny, drewno, metal, szkło,</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zastosowania kolorystyki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cechami historycznymi zabytku,</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wykonania opracowania plastycznego, na przykład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muralu, ścian bocznych kamienic frontowych lub oficyn,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ścian tylnych oficyn, pozbawionych detalu architektonicznego</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zastosowanie nowej kolorystyki zewnętrznej stolarki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ślusarki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użyciem barwy określonej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załączniku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uchwały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stosowania dla stolarki naturalnego koloru drewna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odcieniach ciemnych lub kolorystyki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cechami historycznymi zabytku;</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12) </w:t>
      </w:r>
      <w:r>
        <w:rPr>
          <w:rFonts w:ascii="Times New Roman" w:eastAsia="Times New Roman" w:hAnsi="Times New Roman" w:cs="Times New Roman"/>
          <w:b w:val="0"/>
          <w:i w:val="0"/>
          <w:caps w:val="0"/>
          <w:strike w:val="0"/>
          <w:color w:val="000000"/>
          <w:sz w:val="24"/>
          <w:u w:val="none" w:color="000000"/>
          <w:vertAlign w:val="baseline"/>
        </w:rPr>
        <w:t>zakazuje się przy przebudowie lub remoncie elewacji zabytku wpisanego do gminnej ewidencji zabytków:</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wykonania zewnętrznego ocieplania,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ścian bocznych kamienic frontowych lub oficyn,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ścian tylnych oficyn oraz ścian nieusytuowanych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liniach rozgraniczających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terenami przestrzeni publicznych pozbawionych detalu architektonicznego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niewykończonych okładzinami kamiennymi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ceramicznymi,</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montażu parapetów, rynien, rur spustowych, balustrad balkonowych na elewacji frontowej wykonanych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PVC,</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użycia materiałów wykończeniowych (w tym gresów) kolidujących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cechami historycznymi budynku;</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13) </w:t>
      </w:r>
      <w:r>
        <w:rPr>
          <w:rFonts w:ascii="Times New Roman" w:eastAsia="Times New Roman" w:hAnsi="Times New Roman" w:cs="Times New Roman"/>
          <w:b w:val="0"/>
          <w:i w:val="0"/>
          <w:caps w:val="0"/>
          <w:strike w:val="0"/>
          <w:color w:val="000000"/>
          <w:sz w:val="24"/>
          <w:u w:val="none" w:color="000000"/>
          <w:vertAlign w:val="baseline"/>
        </w:rPr>
        <w:t>wskazuje się dobra kultury współczesnej oznaczone na rysunku planu symbolami: DK1 – budynek mieszkalno-usługowy usytuowany przy ul. Piotrkowskiej 115/119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DK2 – zespół budynków mieszkalno-usługowych „Bolek”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„Lolek” usytuowany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Zamenhofa 1/3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 dla których ustala się ochronę poprzez:</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rozbudowy,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strefy zabudowy parterowej oznaczonej na rysunku planu,</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nadbudowy,</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zmiany kąta nachylenia dachu,</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stosowania parapetów, rynien, rur spustowych na elewacji frontowej wykonanych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PVC,</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realizacji rolet, krat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okiennic na elewacjach frontowych,</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zachowania przy przebudowie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remoncie oryginalnych zasad kompozycji elewacji, które tworzą: podziały na elewacjach, kształt, wielkość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rozmieszczenie otworów okiennych, drzwiowych oraz balkonów,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wymiary, geometria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 stolarki okiennej,</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stosowania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trzech kolorów dla ścian, spośród:</w:t>
      </w:r>
    </w:p>
    <w:p w:rsidR="00A77B3E">
      <w:pPr>
        <w:keepNext w:val="0"/>
        <w:keepLines/>
        <w:spacing w:before="0" w:after="0" w:line="360" w:lineRule="auto"/>
        <w:ind w:left="1020" w:right="0" w:hanging="227"/>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naturalnej kolorystyki materiałów wykończeniowych takich jak: kamień naturalny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drewno,</w:t>
      </w:r>
    </w:p>
    <w:p w:rsidR="00A77B3E">
      <w:pPr>
        <w:keepNext w:val="0"/>
        <w:keepLines/>
        <w:spacing w:before="0" w:after="0" w:line="360" w:lineRule="auto"/>
        <w:ind w:left="1020" w:right="0" w:hanging="227"/>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powierzchni</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malowanych</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lub</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struktur barwionych odpowiadających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NCS barwom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oznaczeniu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podanego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70"/>
        <w:gridCol w:w="1875"/>
        <w:gridCol w:w="2290"/>
        <w:gridCol w:w="1988"/>
        <w:gridCol w:w="216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System i edycja</w:t>
            </w:r>
          </w:p>
        </w:tc>
        <w:tc>
          <w:tcPr>
            <w:tcW w:w="21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Zawartość czerni (dwie pierwsze cyfry)</w:t>
            </w:r>
          </w:p>
        </w:tc>
        <w:tc>
          <w:tcPr>
            <w:tcW w:w="26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Poziom chromatyczności (dwie kolejne cyfry)</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Symbol koloru (po myślniku)</w:t>
            </w:r>
          </w:p>
        </w:tc>
        <w:tc>
          <w:tcPr>
            <w:tcW w:w="25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t>Gamy barw</w:t>
            </w:r>
          </w:p>
        </w:tc>
      </w:tr>
      <w:tr>
        <w:tblPrEx>
          <w:tblW w:w="5000" w:type="pct"/>
          <w:tblLayout w:type="fixed"/>
          <w:tblCellMar>
            <w:left w:w="108" w:type="dxa"/>
            <w:right w:w="108" w:type="dxa"/>
          </w:tblCellMar>
        </w:tblPrEx>
        <w:trPr>
          <w:trHeight w:val="675"/>
        </w:trPr>
        <w:tc>
          <w:tcPr>
            <w:tcW w:w="111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t>NCS S</w:t>
            </w:r>
          </w:p>
        </w:tc>
        <w:tc>
          <w:tcPr>
            <w:tcW w:w="21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maks. 40</w:t>
            </w:r>
          </w:p>
        </w:tc>
        <w:tc>
          <w:tcPr>
            <w:tcW w:w="26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maks. 10</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od G80Y do G90Y, Y, od Y10R do Y20R</w:t>
            </w:r>
          </w:p>
        </w:tc>
        <w:tc>
          <w:tcPr>
            <w:tcW w:w="25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neutralne, biele, szarości, ugry</w:t>
            </w:r>
          </w:p>
        </w:tc>
      </w:tr>
      <w:tr>
        <w:tblPrEx>
          <w:tblW w:w="5000" w:type="pct"/>
          <w:tblLayout w:type="fixed"/>
          <w:tblCellMar>
            <w:left w:w="108" w:type="dxa"/>
            <w:right w:w="108" w:type="dxa"/>
          </w:tblCellMar>
        </w:tblPrEx>
        <w:trPr>
          <w:trHeight w:val="360"/>
        </w:trPr>
        <w:tc>
          <w:tcPr>
            <w:tcW w:w="111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21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maks. 75</w:t>
            </w:r>
          </w:p>
        </w:tc>
        <w:tc>
          <w:tcPr>
            <w:tcW w:w="26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maks. 02</w:t>
            </w:r>
          </w:p>
        </w:tc>
        <w:tc>
          <w:tcPr>
            <w:tcW w:w="23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pełny zakres</w:t>
            </w:r>
          </w:p>
        </w:tc>
        <w:tc>
          <w:tcPr>
            <w:tcW w:w="25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neutralne, biele, szarości, grafity</w:t>
            </w:r>
          </w:p>
        </w:tc>
      </w:tr>
    </w:tbl>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stosowania dla zewnętrznej stolarki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zewnętrznej ślusarki naturalnej kolorystyki drewna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metalu lub kolorystyki spośród barw: szarej, odpowiadającej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RAL barwom 7000-7047 oraz brązowej – 8000-8028,</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stosowania dla obróbek blacharskich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balustrad naturalnej kolorystyki metalu lub kolorystyki spośród barw: szarej, odpowiadającej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RAL barwom 7000-7047 oraz brązowej – 8000-8028.</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zasady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warunki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podziałów nieruchomości objętych planem:</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nie wyznacza się granic obszarów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wymagających obowiązkowego przeprowadzenia scaleń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podziałów nieruchomości;</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szczegółowe zasady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warunki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dokonywanego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na wniosek określono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rozdziału 3.</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dotyczące działek uzyskiwanych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terenów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 dla działek wydzielonych pod drogi, dojścia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dojazdy oraz pod urządzenia infrastruktury technicznej,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11. </w:t>
      </w:r>
      <w:r>
        <w:rPr>
          <w:rFonts w:ascii="Times New Roman" w:eastAsia="Times New Roman" w:hAnsi="Times New Roman" w:cs="Times New Roman"/>
          <w:b w:val="0"/>
          <w:i w:val="0"/>
          <w:caps w:val="0"/>
          <w:strike w:val="0"/>
          <w:color w:val="000000"/>
          <w:sz w:val="24"/>
          <w:u w:val="none" w:color="000000"/>
          <w:vertAlign w:val="baseline"/>
        </w:rPr>
        <w:t>Ustala się szczególne warunki zagospodarowania terenów oraz ograniczenia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ich użytkowaniu:</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zakaz lokalizacji budynków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strefach oddziaływania od sieci ciepłowniczej wynoszących:</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przewodów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średnicy  do  Dn  150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mm  –  do  2,0 m  od  zewnętrznej krawędzi przewodu,</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przewodów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średnicy od Dn 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Dn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mm – do 3,0 m od zewnętrznej krawędzi przewodu;</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przypadku   likwidacji   sieci   ciepłowniczej   zakaz   dotyczący   strefy   oddziaływania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obowiązuje;</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nakaz ograniczenia wysokości obiektów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poszczególnych terenów,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wyznaczonymi na rysunku planu powierzchniami ograniczającymi wysokości wokół lotniska Łódź – Lublinek; powyższe ograniczenia wysokości obejmują również wszystkie urządzenia umieszczane na obiektach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także inwestycje celu publicznego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łączności publicznej.</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12. </w:t>
      </w:r>
      <w:r>
        <w:rPr>
          <w:rFonts w:ascii="Times New Roman" w:eastAsia="Times New Roman" w:hAnsi="Times New Roman" w:cs="Times New Roman"/>
          <w:b w:val="0"/>
          <w:i w:val="0"/>
          <w:caps w:val="0"/>
          <w:strike w:val="0"/>
          <w:color w:val="000000"/>
          <w:sz w:val="24"/>
          <w:u w:val="none" w:color="000000"/>
          <w:vertAlign w:val="baseline"/>
        </w:rPr>
        <w:t>Ustala się następujące zasady modernizacji, rozbudowy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budowy systemów komunikacji oraz obsługi komunikacyjnej terenów przyległych:</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ulice zapewniające połączenie obszaru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zewnętrznym układem komunikacyjnym:</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istniejąca ulica zbiorcza - al. Tadeusza Kościuszki, położona poza granicami planu,</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istniejąca ulica lokalna - ul. Ludwika Zamenhofa, położona poza granicami planu;</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obsługę komunikacyjną terenów:</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 pomocą zjazdów indywidualnych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publicznych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położonych poza granicami planu: dróg publicznych - al. Tadeusza Kościuszki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Ludwika Zamenhofa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drogi wewnętrznej - ul. Piotrkowska,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 pomocą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 umożliwiających dostęp do drogi publicznej,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placu publicznego oznaczonego symbolem 2PP,</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 dróg wewnętrznych niewyznaczonych na rysunku planu.</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minimalną liczbę miejsc do parkowania dla samochodów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rowerów dotyczącą nowo projektowanych budynków lub ich części:</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samochodów osobowych:</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mieszkań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budynkach mieszkalnych lub mieszkalno-usługowych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stanowisko na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dwa mieszkania,</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hoteli, obiektów zamieszkania zbiorowego –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stanowiska na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m² powierzchni użytkowej,</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kin, teatrów, sal widowiskowych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budynków gastronomicznych –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 na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1 000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muzeów –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stanowiska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dla budynków handlowych, administracji publicznej, biur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pozostałych usług –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5 stanowisk na każde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rowerów:</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mieszkań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budynkach mieszkalnych lub mieszkalno-usługowych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stanowisko na każde mieszkanie,</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budynków handlowych –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 na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stanowiska,</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hoteli co najmniej dwugwiazdkowych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pensjonatów –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stanowiska na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stanowiska,</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pozostałych usług –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 na 1 000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stanowiska. </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Wymaganą liczbę miejsc do parkowania dla samochodów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rowerów należy określać:</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proporcjonalnie względem przyjętej jednostki przeliczeniowej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zaokrąglać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górę do kolejnej liczby całkowitej;</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poprzez sumowanie ilości miejsc parkingowych wymaganych dla poszczególnych części budynku.</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Nie ustala się liczby miejsc do parkowania dla samochodów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rowerów dotyczącej istniejących budynków.</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Na parkingach dla samochodów osobowych liczących więcej niż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przeznaczonych na postój pojazdów, minimum 4% ogólnej liczby miejsc, lecz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niż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miejsce postojowe, należy przeznaczyć na parkowanie pojazdów zaopatrzonych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kartę parkingową,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ruchu drogowym,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dróg publicznych, stref zamieszkania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 ruchu, dla których minimalną liczbę stanowisk postojowych dla pojazdów zaopatrzonych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kartę parkingową określają przepisy odrębne dotyczące dróg publicznych.</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Dopuszcza się zapewnienie minimalnej ilości miejsc parkingowych dla samochodów,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lub części, na nieruchomościach położonych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większej niż 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terenu inwestycji.</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Dopuszcza się realizację urządzeń technicznych służących nadziemnemu, piętrowemu parkowaniu samochodów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wskazanego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przeznaczenia uzupełniającego terenu – garaże wielostanowiskowe.</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Na obszarze planu ustala się maksymalną wielkość parkingu powierzchniowego –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postojowych dla samochodów.</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następujące zasady modernizacji, rozbudowy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budowy systemów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infrastruktury technicznej:</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wyposażanie terenów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urządzenia infrastruktury technicznej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istniejące systemy infrastruktury technicznej, ich przebudowę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rozbudowę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budowę nowych systemów;</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nakaz lokalizacji sieci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infrastruktury technicznej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placu publicznego;</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dopuszczenie lokalizacji sieci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infrastruktury technicznej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innym przeznaczeniu:</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bezpośrednią obsługą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tych terenów,</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niezwiązanych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bezpośrednią obsługą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tych terenów, 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przeznaczenia uzupełniającego,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niewykluczający realizacji zabudowy od strony przestrzeni publicznej,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planu;</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nakaz lokalizacji nowych oraz przebudowywanych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rozbudowywanych sieci infrastruktury technicznej jako podziemnych,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stacji transformatorowych zlokalizowanych poza przestrzeniami publicznymi oraz przewodów, które jedynie jako nadziemne umożliwiają korzystanie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określonych urządzeń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pojazdów.</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Określa się warunki powiązań sieci infrastruktury technicznej na obszarze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układem zewnętrznym:</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podstawowe źródło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 przewody magistrali wodociągowej zlokalizowane wzdłuż al. Adama Mickiewicza;</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podstawowy odbiornik ścieków komunalnych – Kolektor IIb biegnący wzdłuż ul. Ludwika Zamenhofa na odcinku od al. Tadeusza Kościuszki do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Piotrkowskiej;</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podstawowe źródło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gaz – gazociąg niskiego ciśnienia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Dn 160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zlokalizowany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Piotrkowskiej;</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podstawowe źródło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ciepło – rurociągi wody gorącej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2xDn 350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zlokalizowane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al. Tadeusza Kościuszki;</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podstawowe źródło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energię elektryczną – Rejonowe Punkty Zasilania: Śródmieście 110/15 kV oraz Łąkowa 110/15 kV.</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15. </w:t>
      </w:r>
      <w:r>
        <w:rPr>
          <w:rFonts w:ascii="Times New Roman" w:eastAsia="Times New Roman" w:hAnsi="Times New Roman" w:cs="Times New Roman"/>
          <w:b w:val="0"/>
          <w:i w:val="0"/>
          <w:caps w:val="0"/>
          <w:strike w:val="0"/>
          <w:color w:val="000000"/>
          <w:sz w:val="24"/>
          <w:u w:val="none" w:color="000000"/>
          <w:vertAlign w:val="baseline"/>
        </w:rPr>
        <w:t>Ustala się wysokość stawki procentowej służącej określeniu opłaty,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dla wszystkich terenów - 30%.</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16.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granice terenu rozmieszczenia inwestycji celu publicznego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znaczeniu lokalnym, które stanowią wskazane na rysunku planu linie rozgraniczające terenu placu publicznego oznaczonego symbolem 2PP.</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Dopuszcza  się  lokalizację   inwestycji   celu   publicznego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znaczeniu   lokalnym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terenów    niewymienionych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    warunkiem    ich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terenów.</w:t>
      </w:r>
    </w:p>
    <w:p w:rsidR="00A77B3E">
      <w:pPr>
        <w:keepNext/>
        <w:keepLines w:val="0"/>
        <w:spacing w:before="48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Ustalenia szczegółowe dla terenów</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17.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 xml:space="preserve">Dla terenu oznaczonego na rysunku planu symbolem </w:t>
      </w:r>
      <w:r>
        <w:rPr>
          <w:rFonts w:ascii="Times New Roman" w:eastAsia="Times New Roman" w:hAnsi="Times New Roman" w:cs="Times New Roman"/>
          <w:b/>
          <w:i w:val="0"/>
          <w:caps w:val="0"/>
          <w:strike w:val="0"/>
          <w:color w:val="000000"/>
          <w:sz w:val="24"/>
          <w:u w:val="none" w:color="000000"/>
          <w:vertAlign w:val="baseline"/>
        </w:rPr>
        <w:t xml:space="preserve">1MW/U </w:t>
      </w:r>
      <w:r>
        <w:rPr>
          <w:rFonts w:ascii="Times New Roman" w:eastAsia="Times New Roman" w:hAnsi="Times New Roman" w:cs="Times New Roman"/>
          <w:b w:val="0"/>
          <w:i w:val="0"/>
          <w:caps w:val="0"/>
          <w:strike w:val="0"/>
          <w:color w:val="000000"/>
          <w:sz w:val="24"/>
          <w:u w:val="none" w:color="000000"/>
          <w:vertAlign w:val="baseline"/>
        </w:rPr>
        <w:t>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garaże wielostanowiskowe,</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wskazuje się zabytki wpisane do gminnej ewidencji zabytków wraz ze szczególnym zakresem działań: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52"/>
        <w:gridCol w:w="4133"/>
        <w:gridCol w:w="410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1107"/>
        </w:trPr>
        <w:tc>
          <w:tcPr>
            <w:tcW w:w="10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Symbol na rysunku planu</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Adres i</w:t>
            </w:r>
            <w:r>
              <w:t> </w:t>
            </w:r>
            <w:r>
              <w:t>nazwa zabytku</w:t>
            </w:r>
          </w:p>
        </w:tc>
        <w:tc>
          <w:tcPr>
            <w:tcW w:w="40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Szczególny zakres działań</w:t>
            </w:r>
          </w:p>
        </w:tc>
      </w:tr>
      <w:tr>
        <w:tblPrEx>
          <w:tblW w:w="5000" w:type="pct"/>
          <w:tblLayout w:type="fixed"/>
          <w:tblCellMar>
            <w:left w:w="108" w:type="dxa"/>
            <w:right w:w="108" w:type="dxa"/>
          </w:tblCellMar>
        </w:tblPrEx>
        <w:trPr>
          <w:trHeight w:val="125"/>
        </w:trPr>
        <w:tc>
          <w:tcPr>
            <w:tcW w:w="10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E1</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ul. Piotrkowska 121</w:t>
            </w:r>
            <w:r>
              <w:t> </w:t>
            </w:r>
            <w:r>
              <w:t>– dawniej kamienica Pawła Ramischa (budynek frontowy, oficyny boczne, oficyna poprzeczna, budynek mieszkalny przylegający do oficyny poprzecznej)</w:t>
            </w:r>
          </w:p>
        </w:tc>
        <w:tc>
          <w:tcPr>
            <w:tcW w:w="40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dopuszczenie nadbudowy oficyny południowej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jedną kondygnację</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4,0 m,</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-zakaz zmiany kątów połaci dachowych oficyny poprzecznej i budynku mieszkalnego przylegającego do oficyny poprzecznej</w:t>
            </w:r>
          </w:p>
        </w:tc>
      </w:tr>
      <w:tr>
        <w:tblPrEx>
          <w:tblW w:w="5000" w:type="pct"/>
          <w:tblLayout w:type="fixed"/>
          <w:tblCellMar>
            <w:left w:w="108" w:type="dxa"/>
            <w:right w:w="108" w:type="dxa"/>
          </w:tblCellMar>
        </w:tblPrEx>
        <w:trPr>
          <w:trHeight w:val="125"/>
        </w:trPr>
        <w:tc>
          <w:tcPr>
            <w:tcW w:w="10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E2</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t>ul. Piotrkowska 123</w:t>
            </w:r>
            <w:r>
              <w:t> </w:t>
            </w:r>
            <w:r>
              <w:t>– dawniej kamienica Jakuba Wojdysławskiego (budynek frontowy, oficyny boczne)</w:t>
            </w:r>
          </w:p>
        </w:tc>
        <w:tc>
          <w:tcPr>
            <w:tcW w:w="40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125"/>
        </w:trPr>
        <w:tc>
          <w:tcPr>
            <w:tcW w:w="10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E3</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t>ul. Piotrkowska 125</w:t>
            </w:r>
            <w:r>
              <w:t> </w:t>
            </w:r>
            <w:r>
              <w:t>– dawniej kamienica Edwarda Heimana (budynek frontowy, oficyny boczne)</w:t>
            </w:r>
          </w:p>
        </w:tc>
        <w:tc>
          <w:tcPr>
            <w:tcW w:w="40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125"/>
        </w:trPr>
        <w:tc>
          <w:tcPr>
            <w:tcW w:w="10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t>E4</w:t>
            </w:r>
          </w:p>
        </w:tc>
        <w:tc>
          <w:tcPr>
            <w:tcW w:w="4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t>al. Kościuszki 60</w:t>
            </w:r>
            <w:r>
              <w:t> </w:t>
            </w:r>
            <w:r>
              <w:t>– budynek mieszkalny</w:t>
            </w:r>
          </w:p>
        </w:tc>
        <w:tc>
          <w:tcPr>
            <w:tcW w:w="40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dopuszczenie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zabudowy typu penthouse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jedną kondygnację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więcej niż</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4,0 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warunku  odsunięcia nadbudowanej części budynku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odległość minimum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1,5 m od zewnętrznej ściany zlokalizowanej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zabudowy pierzejowej</w:t>
            </w:r>
          </w:p>
        </w:tc>
      </w:tr>
    </w:tbl>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kształtowania ładu przestrzennego ustala się:</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powierzchni zabudowy: maksimum 80%,</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minimum 1,0, maksimum 4,0,</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działek, na których przedmiotem inwestycji jest realizacja budynku,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funkcja parkingowa realizowana będzie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pierwszej kondygnacji nadziemnej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powierzchni zabudowy stanowiącej co najmniej połowę powierzchni działki,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będzie realizowane przekrycie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zadaszeniami dopuszcza się zwiększenie maksymalnych wskaźników:</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do 100%,</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intensywność zabudowy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0,4,</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powierzchni biologicznie czynnej: minimum 5%;</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strefie zabudowy parterowej oznaczonej na rysunku planu – maksimum 6,0 m,</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pasie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szerokości 15,0 m od linii rozgraniczającej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terenem placu publicznego oznaczonego na rysunku planu symbolem 2PP oraz od linii rozgraniczających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ulicami Ludwika Zamenhofa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Piotrkowską – minimum 10,0 m, maksimum 20,0 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tiret pierwsze,</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pasie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szerokości 5,0 m od linii rozgraniczającej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al. Tadeusza Kościuszki – minimum 10,0 m, maksimum 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zwiększenia maksymalnej wysokości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wartość równą odległości zabudowy od linii rozgraniczającej,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jednak niż do 25,0 m,</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pasie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od 5,0 m do 65,0 m od linii rozgraniczającej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al. Tadeusza Kościuszki – maksimum 25,0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120" w:after="12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pozostałej zabudowy – maksimum 22,0 m,</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łączników między oficynami – maksimum równa wysokości oficyn, które łączy, lecz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ustalona maksymalna wysokość zabudowy,</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minimalna wysokość parteru budynku sytuowanego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zabudowy pierzejowej lub linii rozgraniczającej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terenem przestrzeni publicznej - 4,0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 płaskie.</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 ten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wydzielonych pod nowe drogi, dojścia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dojazdy oraz pod urządzenia infrastruktury technicznej,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 minimum 2 500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minimum 65,0 m;</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90º</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 tolerancją 2º.</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 xml:space="preserve">Dla terenu oznaczonego na rysunku planu symbolem </w:t>
      </w:r>
      <w:r>
        <w:rPr>
          <w:rFonts w:ascii="Times New Roman" w:eastAsia="Times New Roman" w:hAnsi="Times New Roman" w:cs="Times New Roman"/>
          <w:b/>
          <w:i w:val="0"/>
          <w:caps w:val="0"/>
          <w:strike w:val="0"/>
          <w:color w:val="000000"/>
          <w:sz w:val="24"/>
          <w:u w:val="none" w:color="000000"/>
          <w:vertAlign w:val="baseline"/>
        </w:rPr>
        <w:t>2PP</w:t>
      </w:r>
      <w:r>
        <w:rPr>
          <w:rFonts w:ascii="Times New Roman" w:eastAsia="Times New Roman" w:hAnsi="Times New Roman" w:cs="Times New Roman"/>
          <w:b w:val="0"/>
          <w:i w:val="0"/>
          <w:caps w:val="0"/>
          <w:strike w:val="0"/>
          <w:color w:val="000000"/>
          <w:sz w:val="24"/>
          <w:u w:val="none" w:color="000000"/>
          <w:vertAlign w:val="baseline"/>
        </w:rPr>
        <w:t xml:space="preserve">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placów publicznych;</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drogi, dojścia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dojazdy,</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miejsca postojowe dla rowerów,</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kształtowania ładu przestrzennego ustala się:</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minimum 20%;</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zasady kształtowania zagospodarowania,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zagospodarowania przestrzeni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val="0"/>
        <w:spacing w:before="120" w:after="12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zakaz wykonania nawierzchni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następujących materiałów: asfaltu, płyt betonowych pełnych lub ażurowych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wymiarach powyżej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x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cm.</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 minimum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minimum 20,0 m;</w:t>
      </w:r>
    </w:p>
    <w:p w:rsidR="00A77B3E">
      <w:pPr>
        <w:keepNext w:val="0"/>
        <w:keepLines w:val="0"/>
        <w:spacing w:before="120" w:after="120" w:line="240" w:lineRule="auto"/>
        <w:ind w:left="227" w:right="0" w:hanging="28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90º.</w:t>
      </w:r>
    </w:p>
    <w:p w:rsidR="00A77B3E">
      <w:pPr>
        <w:keepNext/>
        <w:keepLines w:val="0"/>
        <w:spacing w:before="48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4</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Przepisy końcowe</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19. </w:t>
      </w:r>
      <w:r>
        <w:rPr>
          <w:rFonts w:ascii="Times New Roman" w:eastAsia="Times New Roman" w:hAnsi="Times New Roman" w:cs="Times New Roman"/>
          <w:b w:val="0"/>
          <w:i w:val="0"/>
          <w:caps w:val="0"/>
          <w:strike w:val="0"/>
          <w:color w:val="000000"/>
          <w:sz w:val="24"/>
          <w:u w:val="none" w:color="000000"/>
          <w:vertAlign w:val="baseline"/>
        </w:rPr>
        <w:t>Wykonanie uchwały powierza się Prezydentowi Miasta Łodzi.</w:t>
      </w:r>
    </w:p>
    <w:p w:rsidR="00A77B3E">
      <w:pPr>
        <w:keepNext w:val="0"/>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20. </w:t>
      </w:r>
      <w:r>
        <w:rPr>
          <w:rFonts w:ascii="Times New Roman" w:eastAsia="Times New Roman" w:hAnsi="Times New Roman" w:cs="Times New Roman"/>
          <w:b w:val="0"/>
          <w:i w:val="0"/>
          <w:caps w:val="0"/>
          <w:strike w:val="0"/>
          <w:color w:val="000000"/>
          <w:sz w:val="24"/>
          <w:u w:val="none" w:color="000000"/>
          <w:vertAlign w:val="baseline"/>
        </w:rPr>
        <w:t>Tracą moc ustalenia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alei: Tadeusza Kościuszki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Adama Mickiewicza oraz ulic: Andrzeja Struga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Piotrkowskiej, zatwierdzonego uchwałą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XLVIII/1228/17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2017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(Dz. Urz. Woj. Łódzkiego poz.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2693)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części odnoszącej się do obszaru objętego ustaleniami niniejszej uchwały.</w:t>
      </w:r>
    </w:p>
    <w:p w:rsidR="00A77B3E">
      <w:pPr>
        <w:keepNext/>
        <w:keepLines w:val="0"/>
        <w:spacing w:before="120" w:after="12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21. </w:t>
      </w:r>
      <w:r>
        <w:rPr>
          <w:rFonts w:ascii="Times New Roman" w:eastAsia="Times New Roman" w:hAnsi="Times New Roman" w:cs="Times New Roman"/>
          <w:b w:val="0"/>
          <w:i w:val="0"/>
          <w:caps w:val="0"/>
          <w:strike w:val="0"/>
          <w:color w:val="000000"/>
          <w:sz w:val="24"/>
          <w:u w:val="none" w:color="000000"/>
          <w:vertAlign w:val="baseline"/>
        </w:rPr>
        <w:t>Uchwała wchodzi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życie po upływie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 od dnia jej ogłoszenia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Dzienniku Urzędowym Województwa Łódzkiego.</w:t>
      </w:r>
    </w:p>
    <w:tbl>
      <w:tblPr>
        <w:tblW w:w="5000" w:type="pct"/>
        <w:tblCellMar>
          <w:top w:w="0" w:type="dxa"/>
          <w:left w:w="0" w:type="dxa"/>
          <w:bottom w:w="0" w:type="dxa"/>
          <w:right w:w="0" w:type="dxa"/>
        </w:tblCellMar>
      </w:tblPr>
      <w:tblGrid>
        <w:gridCol w:w="4536"/>
        <w:gridCol w:w="4536"/>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tcPr>
          <w:p>
            <w:pPr>
              <w:keepNext w:val="0"/>
              <w:keepLines/>
              <w:spacing w:before="200" w:after="200"/>
              <w:ind w:left="0" w:right="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Marcin GOŁASZEWSKI</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pPr>
    </w:p>
    <w:p w:rsidR="00A77B3E">
      <w:pPr>
        <w:spacing w:before="0" w:after="0" w:line="240" w:lineRule="auto"/>
        <w:ind w:left="5373"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XXVII/904/20</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czerwca 2020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00" w:after="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ARKUSZ ZBIORCZY</w:t>
      </w:r>
    </w:p>
    <w:p w:rsidR="00A77B3E">
      <w:pPr>
        <w:keepNext w:val="0"/>
        <w:keepLines w:val="0"/>
        <w:spacing w:before="100" w:after="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4552492" cy="7616119"/>
            <wp:docPr id="100001" name=""/>
            <wp:cNvGraphicFramePr/>
            <a:graphic xmlns:a="http://schemas.openxmlformats.org/drawingml/2006/main">
              <a:graphicData uri="http://schemas.openxmlformats.org/drawingml/2006/picture">
                <pic:pic xmlns:pic="http://schemas.openxmlformats.org/drawingml/2006/picture">
                  <pic:nvPicPr>
                    <pic:cNvPr id="735074646" name=""/>
                    <pic:cNvPicPr/>
                  </pic:nvPicPr>
                  <pic:blipFill>
                    <a:blip xmlns:r="http://schemas.openxmlformats.org/officeDocument/2006/relationships" r:embed="rId4" r:link="rId5"/>
                    <a:stretch>
                      <a:fillRect/>
                    </a:stretch>
                  </pic:blipFill>
                  <pic:spPr>
                    <a:xfrm>
                      <a:off x="0" y="0"/>
                      <a:ext cx="4552492" cy="7616119"/>
                    </a:xfrm>
                    <a:prstGeom prst="rect">
                      <a:avLst/>
                    </a:prstGeom>
                  </pic:spPr>
                </pic:pic>
              </a:graphicData>
            </a:graphic>
          </wp:inline>
        </w:drawing>
      </w:r>
    </w:p>
    <w:p w:rsidR="00A77B3E">
      <w:pPr>
        <w:keepNext w:val="0"/>
        <w:keepLines w:val="0"/>
        <w:spacing w:before="100" w:after="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1</w:t>
      </w:r>
    </w:p>
    <w:p w:rsidR="00A77B3E">
      <w:pPr>
        <w:keepNext w:val="0"/>
        <w:keepLines w:val="0"/>
        <w:spacing w:before="100" w:after="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55037" cy="8141039"/>
            <wp:docPr id="100002" name=""/>
            <wp:cNvGraphicFramePr/>
            <a:graphic xmlns:a="http://schemas.openxmlformats.org/drawingml/2006/main">
              <a:graphicData uri="http://schemas.openxmlformats.org/drawingml/2006/picture">
                <pic:pic xmlns:pic="http://schemas.openxmlformats.org/drawingml/2006/picture">
                  <pic:nvPicPr>
                    <pic:cNvPr id="2067764088" name=""/>
                    <pic:cNvPicPr/>
                  </pic:nvPicPr>
                  <pic:blipFill>
                    <a:blip xmlns:r="http://schemas.openxmlformats.org/officeDocument/2006/relationships" r:embed="rId6" r:link="rId7"/>
                    <a:stretch>
                      <a:fillRect/>
                    </a:stretch>
                  </pic:blipFill>
                  <pic:spPr>
                    <a:xfrm>
                      <a:off x="0" y="0"/>
                      <a:ext cx="5755037" cy="8141039"/>
                    </a:xfrm>
                    <a:prstGeom prst="rect">
                      <a:avLst/>
                    </a:prstGeom>
                  </pic:spPr>
                </pic:pic>
              </a:graphicData>
            </a:graphic>
          </wp:inline>
        </w:drawing>
      </w:r>
    </w:p>
    <w:p w:rsidR="00A77B3E">
      <w:pPr>
        <w:keepNext w:val="0"/>
        <w:keepLines w:val="0"/>
        <w:spacing w:before="100" w:after="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2</w:t>
      </w:r>
    </w:p>
    <w:p w:rsidR="00A77B3E">
      <w:pPr>
        <w:keepNext w:val="0"/>
        <w:keepLines w:val="0"/>
        <w:spacing w:before="100" w:after="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55037" cy="8141039"/>
            <wp:docPr id="100003" name=""/>
            <wp:cNvGraphicFramePr/>
            <a:graphic xmlns:a="http://schemas.openxmlformats.org/drawingml/2006/main">
              <a:graphicData uri="http://schemas.openxmlformats.org/drawingml/2006/picture">
                <pic:pic xmlns:pic="http://schemas.openxmlformats.org/drawingml/2006/picture">
                  <pic:nvPicPr>
                    <pic:cNvPr id="749186433" name=""/>
                    <pic:cNvPicPr/>
                  </pic:nvPicPr>
                  <pic:blipFill>
                    <a:blip xmlns:r="http://schemas.openxmlformats.org/officeDocument/2006/relationships" r:embed="rId8" r:link="rId9"/>
                    <a:stretch>
                      <a:fillRect/>
                    </a:stretch>
                  </pic:blipFill>
                  <pic:spPr>
                    <a:xfrm>
                      <a:off x="0" y="0"/>
                      <a:ext cx="5755037" cy="8141039"/>
                    </a:xfrm>
                    <a:prstGeom prst="rect">
                      <a:avLst/>
                    </a:prstGeom>
                  </pic:spPr>
                </pic:pic>
              </a:graphicData>
            </a:graphic>
          </wp:inline>
        </w:drawing>
      </w:r>
    </w:p>
    <w:p w:rsidR="00A77B3E">
      <w:pPr>
        <w:keepNext w:val="0"/>
        <w:keepLines w:val="0"/>
        <w:spacing w:before="100" w:after="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3</w:t>
      </w:r>
    </w:p>
    <w:p w:rsidR="00A77B3E">
      <w:pPr>
        <w:keepNext w:val="0"/>
        <w:keepLines w:val="0"/>
        <w:spacing w:before="100" w:after="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55037" cy="8141039"/>
            <wp:docPr id="100004" name=""/>
            <wp:cNvGraphicFramePr/>
            <a:graphic xmlns:a="http://schemas.openxmlformats.org/drawingml/2006/main">
              <a:graphicData uri="http://schemas.openxmlformats.org/drawingml/2006/picture">
                <pic:pic xmlns:pic="http://schemas.openxmlformats.org/drawingml/2006/picture">
                  <pic:nvPicPr>
                    <pic:cNvPr id="671437551" name=""/>
                    <pic:cNvPicPr/>
                  </pic:nvPicPr>
                  <pic:blipFill>
                    <a:blip xmlns:r="http://schemas.openxmlformats.org/officeDocument/2006/relationships" r:embed="rId10" r:link="rId11"/>
                    <a:stretch>
                      <a:fillRect/>
                    </a:stretch>
                  </pic:blipFill>
                  <pic:spPr>
                    <a:xfrm>
                      <a:off x="0" y="0"/>
                      <a:ext cx="5755037" cy="8141039"/>
                    </a:xfrm>
                    <a:prstGeom prst="rect">
                      <a:avLst/>
                    </a:prstGeom>
                  </pic:spPr>
                </pic:pic>
              </a:graphicData>
            </a:graphic>
          </wp:inline>
        </w:drawing>
      </w:r>
    </w:p>
    <w:p w:rsidR="00A77B3E">
      <w:pPr>
        <w:keepNext w:val="0"/>
        <w:keepLines w:val="0"/>
        <w:spacing w:before="100" w:after="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4</w:t>
      </w:r>
    </w:p>
    <w:p w:rsidR="00A77B3E">
      <w:pPr>
        <w:keepNext w:val="0"/>
        <w:keepLines w:val="0"/>
        <w:spacing w:before="100" w:after="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55037" cy="8141039"/>
            <wp:docPr id="100005" name=""/>
            <wp:cNvGraphicFramePr/>
            <a:graphic xmlns:a="http://schemas.openxmlformats.org/drawingml/2006/main">
              <a:graphicData uri="http://schemas.openxmlformats.org/drawingml/2006/picture">
                <pic:pic xmlns:pic="http://schemas.openxmlformats.org/drawingml/2006/picture">
                  <pic:nvPicPr>
                    <pic:cNvPr id="141730097" name=""/>
                    <pic:cNvPicPr/>
                  </pic:nvPicPr>
                  <pic:blipFill>
                    <a:blip xmlns:r="http://schemas.openxmlformats.org/officeDocument/2006/relationships" r:embed="rId12" r:link="rId13"/>
                    <a:stretch>
                      <a:fillRect/>
                    </a:stretch>
                  </pic:blipFill>
                  <pic:spPr>
                    <a:xfrm>
                      <a:off x="0" y="0"/>
                      <a:ext cx="5755037" cy="8141039"/>
                    </a:xfrm>
                    <a:prstGeom prst="rect">
                      <a:avLst/>
                    </a:prstGeom>
                  </pic:spPr>
                </pic:pic>
              </a:graphicData>
            </a:graphic>
          </wp:inline>
        </w:drawing>
      </w:r>
    </w:p>
    <w:p w:rsidR="00A77B3E">
      <w:pPr>
        <w:keepNext w:val="0"/>
        <w:keepLines w:val="0"/>
        <w:spacing w:before="100" w:after="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p>
    <w:p w:rsidR="00A77B3E">
      <w:pPr>
        <w:spacing w:before="0" w:after="0" w:line="240" w:lineRule="auto"/>
        <w:ind w:left="5313"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XXVII/904/20</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czerwca 2020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00" w:after="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Rozstrzygnięcie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sposobie rozpatrzenia uwag do projektu miejscowego planu zagospodarowania przestrzennego dla części obszaru miasta Łodzi położonej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rejonie alei Tadeusza Kościuszki oraz ulic: Ludwika Zamenhofa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Piotrkowskiej.</w:t>
      </w:r>
    </w:p>
    <w:p w:rsidR="00A77B3E">
      <w:pPr>
        <w:keepNext w:val="0"/>
        <w:keepLines w:val="0"/>
        <w:spacing w:before="100" w:after="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alei Tadeusza Kościuszki oraz ulic: Ludwika Zamenhofa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Piotrkowskiej został wyłożony do publicznego wglądu w okresie od 15 stycznia 2020 r. do 14 lutego 2020 r.</w:t>
      </w:r>
    </w:p>
    <w:p w:rsidR="00A77B3E">
      <w:pPr>
        <w:keepNext/>
        <w:keepLines w:val="0"/>
        <w:spacing w:before="100" w:after="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terminie wyznaczonym do wnoszenia uwag dotyczących projektu planu tj. do dnia 28 lutego 2020 r. nie wpłynęły uwagi.</w:t>
      </w:r>
    </w:p>
    <w:tbl>
      <w:tblPr>
        <w:tblW w:w="5000" w:type="pct"/>
        <w:tblCellMar>
          <w:top w:w="0" w:type="dxa"/>
          <w:left w:w="0" w:type="dxa"/>
          <w:bottom w:w="0" w:type="dxa"/>
          <w:right w:w="0" w:type="dxa"/>
        </w:tblCellMar>
      </w:tblPr>
      <w:tblGrid>
        <w:gridCol w:w="4536"/>
        <w:gridCol w:w="4536"/>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tcPr>
          <w:p>
            <w:pPr>
              <w:keepNext w:val="0"/>
              <w:keepLines/>
              <w:spacing w:before="200" w:after="200"/>
              <w:ind w:left="0" w:right="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Marcin GOŁASZEWSKI</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pPr>
    </w:p>
    <w:p w:rsidR="00A77B3E">
      <w:pPr>
        <w:spacing w:before="0" w:after="0" w:line="240" w:lineRule="auto"/>
        <w:ind w:left="5313"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XXVII/904/20</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czerwca 2020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00" w:after="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Rozstrzygnięcie o sposobie realizacji, zapisanych w planie, inwestycji z zakresu infrastruktury technicznej, które należą do zadań własnych gminy oraz zasadach </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ich finansowania, zgodnie z przepisami o finansach publicznych</w:t>
      </w:r>
    </w:p>
    <w:p w:rsidR="00A77B3E">
      <w:pPr>
        <w:keepNext w:val="0"/>
        <w:keepLines w:val="0"/>
        <w:spacing w:before="100" w:after="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zadań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infrastruktury technicznej będących zadaniami własnymi gminy należy przebudowa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budowa sieci infrastruktury technicznej.</w:t>
      </w:r>
    </w:p>
    <w:p w:rsidR="00A77B3E">
      <w:pPr>
        <w:keepNext w:val="0"/>
        <w:keepLines w:val="0"/>
        <w:spacing w:before="100" w:after="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Powyższe zadanie będzie umieszczone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programach rozwoju poszczególnych elementów zagospodarowania,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zadaniach rzeczowych budżetu gminy objętych wieloletnią prognozą finansową.</w:t>
      </w:r>
    </w:p>
    <w:p w:rsidR="00A77B3E">
      <w:pPr>
        <w:keepNext w:val="0"/>
        <w:keepLines w:val="0"/>
        <w:spacing w:before="100" w:after="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Finansowanie będzie odbywało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budżet gminy,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wykorzystaniem funduszy strukturalnych Unii Europejskiej oraz środków Funduszu Ochrony Środowiska.</w:t>
      </w:r>
    </w:p>
    <w:p w:rsidR="00A77B3E">
      <w:pPr>
        <w:keepNext/>
        <w:keepLines w:val="0"/>
        <w:spacing w:before="100" w:after="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Niniejszy załącznik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zawiera obciążeń Miasta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tytułu odszkodowań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trybie 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w:t>
      </w:r>
    </w:p>
    <w:tbl>
      <w:tblPr>
        <w:tblW w:w="5000" w:type="pct"/>
        <w:tblCellMar>
          <w:top w:w="0" w:type="dxa"/>
          <w:left w:w="0" w:type="dxa"/>
          <w:bottom w:w="0" w:type="dxa"/>
          <w:right w:w="0" w:type="dxa"/>
        </w:tblCellMar>
      </w:tblPr>
      <w:tblGrid>
        <w:gridCol w:w="4536"/>
        <w:gridCol w:w="4536"/>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tcPr>
          <w:p>
            <w:pPr>
              <w:keepNext w:val="0"/>
              <w:keepLines/>
              <w:spacing w:before="200" w:after="200"/>
              <w:ind w:left="0" w:right="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Marcin GOŁASZEWSKI</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pPr>
    </w:p>
    <w:p w:rsidR="00A77B3E">
      <w:pPr>
        <w:spacing w:before="0" w:after="0" w:line="240" w:lineRule="auto"/>
        <w:ind w:left="5313"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XXVII/904/20</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czerwca 2020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00" w:after="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Paleta barw obowiązujących przy wykończaniu elewacji, stolarki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ślusarki zabytków wpisanych do gminnej ewidencji zabytków</w:t>
      </w:r>
    </w:p>
    <w:p w:rsidR="00A77B3E">
      <w:pPr>
        <w:keepNext w:val="0"/>
        <w:keepLines w:val="0"/>
        <w:spacing w:before="100" w:after="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5465483"/>
            <wp:docPr id="100006" name=""/>
            <wp:cNvGraphicFramePr/>
            <a:graphic xmlns:a="http://schemas.openxmlformats.org/drawingml/2006/main">
              <a:graphicData uri="http://schemas.openxmlformats.org/drawingml/2006/picture">
                <pic:pic xmlns:pic="http://schemas.openxmlformats.org/drawingml/2006/picture">
                  <pic:nvPicPr>
                    <pic:cNvPr id="1580270624" name=""/>
                    <pic:cNvPicPr/>
                  </pic:nvPicPr>
                  <pic:blipFill>
                    <a:blip xmlns:r="http://schemas.openxmlformats.org/officeDocument/2006/relationships" r:embed="rId14" r:link="rId15"/>
                    <a:stretch>
                      <a:fillRect/>
                    </a:stretch>
                  </pic:blipFill>
                  <pic:spPr>
                    <a:xfrm>
                      <a:off x="0" y="0"/>
                      <a:ext cx="5760720" cy="5465483"/>
                    </a:xfrm>
                    <a:prstGeom prst="rect">
                      <a:avLst/>
                    </a:prstGeom>
                  </pic:spPr>
                </pic:pic>
              </a:graphicData>
            </a:graphic>
          </wp:inline>
        </w:drawing>
      </w:r>
    </w:p>
    <w:p w:rsidR="00A77B3E">
      <w:pPr>
        <w:keepNext w:val="0"/>
        <w:keepLines w:val="0"/>
        <w:spacing w:before="100" w:after="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p>
    <w:sectPr>
      <w:footerReference w:type="default" r:id="rId16"/>
      <w:endnotePr>
        <w:numFmt w:val="decimal"/>
      </w:endnotePr>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01F51BEE-242F-497C-9C2B-421932D323F1. Podpisany</w:t>
          </w:r>
        </w:p>
      </w:tc>
      <w:tc>
        <w:tcPr>
          <w:tcW w:w="3024"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noPunctuationKerning/>
  <w:characterSpacingControl w:val="doNotCompress"/>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Zalacznik09E7EAD7-58DA-46EA-890C-DBC89C2E4871.png" TargetMode="External" /><Relationship Id="rId12" Type="http://schemas.openxmlformats.org/officeDocument/2006/relationships/image" Target="media/image5.png" /><Relationship Id="rId13" Type="http://schemas.openxmlformats.org/officeDocument/2006/relationships/image" Target="Zalacznik73B497B7-3AAC-4E88-BBCC-E7EFFE9A0F37.png" TargetMode="External" /><Relationship Id="rId14" Type="http://schemas.openxmlformats.org/officeDocument/2006/relationships/image" Target="media/image6.png" /><Relationship Id="rId15" Type="http://schemas.openxmlformats.org/officeDocument/2006/relationships/image" Target="ZalacznikD10A235A-E309-4C93-8A63-9706748E5DBD.jpg" TargetMode="External" /><Relationship Id="rId16" Type="http://schemas.openxmlformats.org/officeDocument/2006/relationships/footer" Target="footer1.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Zalacznik818377E4-F058-4DDA-B92D-2723D1D9D735.png" TargetMode="External" /><Relationship Id="rId6" Type="http://schemas.openxmlformats.org/officeDocument/2006/relationships/image" Target="media/image2.png" /><Relationship Id="rId7" Type="http://schemas.openxmlformats.org/officeDocument/2006/relationships/image" Target="Zalacznik5694ADE3-C5AB-4F65-BF5A-95315773BC77.png" TargetMode="External" /><Relationship Id="rId8" Type="http://schemas.openxmlformats.org/officeDocument/2006/relationships/image" Target="media/image3.png" /><Relationship Id="rId9" Type="http://schemas.openxmlformats.org/officeDocument/2006/relationships/image" Target="Zalacznik962DAEBB-7892-4C90-A3AC-021DC5F3C7FA.png"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^XXVII/904/20 z dnia 24 czerwca 2020 r.</dc:title>
  <dc:subject>w sprawie uchwalenia miejscowego planu zagospodarowania przestrzennego
dla części obszaru miasta Łodzi położonej w^rejonie alei Tadeusza Kościuszki oraz ulic: Ludwika Zamenhofa i^Piotrkowskiej.</dc:subject>
  <dc:creator>kkosciolek</dc:creator>
  <cp:lastModifiedBy>kkosciolek</cp:lastModifiedBy>
  <cp:revision>1</cp:revision>
  <dcterms:created xsi:type="dcterms:W3CDTF">2020-07-02T11:43:06Z</dcterms:created>
  <dcterms:modified xsi:type="dcterms:W3CDTF">2020-07-02T11:43:06Z</dcterms:modified>
  <cp:category>Akt prawny</cp:category>
</cp:coreProperties>
</file>