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XXIX/982/20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12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nadania statutu Domowi Dziecka Nr 3 „Słoneczna Polana” w 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„Słoneczna Polana”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do uchwały Nr XLVII/923/12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statutu Domowi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„Słoneczna Polana”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2958),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dodaje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3a.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kadrowo-płacową Domu zapewnia Centrum Administracyjne Pieczy Zastępczej, zwane dalej CAPZ.”;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1. Domem kieruje Dyrektor CAPZ przy pomocy wyznaczonego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Domu wychowawcy.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ponosi odpowiedzialność za całokształt funkcjonowania Domu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reprezentuje go na zewnątrz, działając na podstawie udzielonych mu upoważnień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wykonuje czynności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prawa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stosunku do pracowników Domu.”;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gospodarkę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dyscypliny budżetowej Domu odpowiada Dyrektor CPZ.”.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42746DA7-FE72-424E-8549-ABA6B1ECABAC.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XXIX/982/20 z dnia 26 sierpnia 2020 r.</dc:title>
  <dc:subject>zmieniająca uchwałę w^sprawie nadania statutu Domowi Dziecka Nr^3^„Słoneczna Polana” w^Łodzi.</dc:subject>
  <dc:creator>kkosciolek</dc:creator>
  <cp:lastModifiedBy>kkosciolek</cp:lastModifiedBy>
  <cp:revision>1</cp:revision>
  <dcterms:created xsi:type="dcterms:W3CDTF">2020-09-03T08:55:05Z</dcterms:created>
  <dcterms:modified xsi:type="dcterms:W3CDTF">2020-09-03T08:55:05Z</dcterms:modified>
  <cp:category>Akt prawny</cp:category>
</cp:coreProperties>
</file>