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93320E">
      <w:p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>Uchwała Nr LXXIV/2229/23</w:t>
      </w:r>
      <w:r>
        <w:rPr>
          <w:b/>
          <w:caps/>
        </w:rPr>
        <w:br/>
        <w:t>Rady Miejskiej w Łodzi</w:t>
      </w:r>
    </w:p>
    <w:p w:rsidR="00A77B3E" w:rsidRDefault="0093320E">
      <w:pPr>
        <w:spacing w:after="280"/>
        <w:jc w:val="center"/>
        <w:rPr>
          <w:b/>
          <w:caps/>
        </w:rPr>
      </w:pPr>
      <w:r>
        <w:rPr>
          <w:b/>
        </w:rPr>
        <w:t>z dnia 12 kwietnia 2023 r.</w:t>
      </w:r>
    </w:p>
    <w:p w:rsidR="00A77B3E" w:rsidRDefault="0093320E">
      <w:pPr>
        <w:keepNext/>
        <w:spacing w:after="280"/>
        <w:jc w:val="center"/>
      </w:pPr>
      <w:r>
        <w:rPr>
          <w:b/>
        </w:rPr>
        <w:t>w sprawie uchwalenia miejscowego planu zagospodarowania przestrzennego dla części obszaru miasta Łodzi położonej w rejonie ulic Grabińskiej i Jana Kasprowicza.</w:t>
      </w:r>
    </w:p>
    <w:p w:rsidR="00A77B3E" w:rsidRDefault="0093320E">
      <w:pPr>
        <w:keepLines/>
        <w:spacing w:before="120" w:after="120"/>
        <w:ind w:firstLine="567"/>
      </w:pPr>
      <w:r>
        <w:t>Na podstawie art. 18</w:t>
      </w:r>
      <w:r>
        <w:t> ust. 2 pkt 5 i art. 40 ust. 1 ustawy z dnia 8 marca 1990 r. o samorządzie gminnym (Dz. U. z 2023 r. poz. 40 i 572) oraz art. 14 ust. 8 i art. 20 ust. 1 ustawy z dnia 27 marca 2003 r. o planowaniu i zagospodarowaniu przestrzennym (Dz. U. z 2022 r. poz. 503</w:t>
      </w:r>
      <w:r>
        <w:t>, 1846, 2185 i 2747), Rada Miejska w Łodzi</w:t>
      </w:r>
    </w:p>
    <w:p w:rsidR="00A77B3E" w:rsidRDefault="0093320E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:rsidR="00A77B3E" w:rsidRDefault="0093320E">
      <w:pPr>
        <w:keepNext/>
        <w:spacing w:before="24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1. 1. </w:t>
      </w:r>
      <w:r>
        <w:t>Przedmiotem uchwały są ustalenia miejscowego planu zagospodarowania przestrzennego dla części obszaru miasta Łodzi położonej w rejonie ulic Grabińskiej i J</w:t>
      </w:r>
      <w:r>
        <w:t>ana Kasprowicza, wraz z jej integralnymi częściami w postaci: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na mapie sytuacyjno-wysokościowej w skali 1:1 000, stanowiącego załącznik Nr 1 do uchwały;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 wniesiony</w:t>
      </w:r>
      <w:r>
        <w:rPr>
          <w:color w:val="000000"/>
          <w:u w:color="000000"/>
        </w:rPr>
        <w:t>ch w związku z wyłożeniem do publicznego wglądu, stanowiącego załącznik Nr 2 do uchwały;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rozstrzygnięcia o sposobie realizacji, zapisanych w planie, inwestycji z zakresu infrastruktury technicznej, które należą do zadań własnych gminy oraz zasadach ich </w:t>
      </w:r>
      <w:r>
        <w:rPr>
          <w:color w:val="000000"/>
          <w:u w:color="000000"/>
        </w:rPr>
        <w:t>finansowania, zgodnie z przepisami o finansach publicznych, stanowiącego załącznik Nr 3 do uchwały.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 pkt 1.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2. </w:t>
      </w:r>
      <w:r>
        <w:rPr>
          <w:color w:val="000000"/>
          <w:u w:color="000000"/>
        </w:rPr>
        <w:t>Stwierdza się, że plan nie narusza ustaleń „Studium uwarun</w:t>
      </w:r>
      <w:r>
        <w:rPr>
          <w:color w:val="000000"/>
          <w:u w:color="000000"/>
        </w:rPr>
        <w:t>kowań i kierunków zagospodarowania przestrzennego miasta Łodzi”, uchwalonego uchwałą Nr LXIX/1753/18 Rady Miejskiej w Łodzi z dnia 28 marca 2018 r., zmienioną uchwałami Rady Miejskiej w Łodzi                           Nr VI/215/19 z dnia 6 marca 2019 r. i </w:t>
      </w:r>
      <w:r>
        <w:rPr>
          <w:color w:val="000000"/>
          <w:u w:color="000000"/>
        </w:rPr>
        <w:t>Nr LII/1605/21 z dnia 22 grudnia 2021 r.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3. 1. </w:t>
      </w:r>
      <w:r>
        <w:rPr>
          <w:color w:val="000000"/>
          <w:u w:color="000000"/>
        </w:rPr>
        <w:t>Ze względu na brak podstaw wynikających ze stanu faktycznego, w planie nie określa się: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dziedzictwa kulturowego i zabytków, w tym krajobrazów kulturowych, oraz dóbr kultury współczesnej;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granic i sposobów zagospodarowania terenów górniczych, a także obszarów szczególnego zagrożenia powodzią, obszarów osuwania się mas ziemnych, krajobrazów priorytetowych określonych w audycie krajobrazowym oraz w planach zagospodarowania przestrzennego woje</w:t>
      </w:r>
      <w:r>
        <w:rPr>
          <w:color w:val="000000"/>
          <w:u w:color="000000"/>
        </w:rPr>
        <w:t>wództwa;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sposobu i terminu tymczasowego zagospodarowania, urządzania i użytkowania terenów.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Rysunek planu zawiera ustalenia obowiązujące oraz oznaczenia informacyjne, zgodnie z zamieszczoną na nim legendą.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zagospodarowania oraz sposoby użyt</w:t>
      </w:r>
      <w:r>
        <w:rPr>
          <w:color w:val="000000"/>
          <w:u w:color="000000"/>
        </w:rPr>
        <w:t>kowania poszczególnych terenów wyznaczonych liniami rozgraniczającymi określa się łącznie na podstawie: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ustaleń dla całego obszaru objętego planem, zawartych w rozdziale 2;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ustaleń szczegółowych dla terenów, zawartych w rozdziale 3;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ustaleń obowią</w:t>
      </w:r>
      <w:r>
        <w:rPr>
          <w:color w:val="000000"/>
          <w:u w:color="000000"/>
        </w:rPr>
        <w:t>zujących, zawartych na rysunku planu.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linii rozgraniczających należy ustalić poprzez odczyt rysunku planu w oparciu o jego skalę.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4. 1. </w:t>
      </w:r>
      <w:r>
        <w:rPr>
          <w:color w:val="000000"/>
          <w:u w:color="000000"/>
        </w:rPr>
        <w:t>Określenia stosowane w uchwale należy rozumieć jako: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- dach o spadkach połaci do 15º;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elewacja frontowa - elewację budynku znajdującą się od strony przestrzeni publicznej;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front działki - odcinek granicy działki budowlanej przylegający do drogi publicznej lub innego ciągu komunikacyjnego, z którego odbywa się główny wjazd lub wejście na </w:t>
      </w:r>
      <w:r>
        <w:rPr>
          <w:color w:val="000000"/>
          <w:u w:color="000000"/>
        </w:rPr>
        <w:t>tę działkę;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infrastruktura techniczna - przewody i urządzenia oraz obiekty budowlane: wodociągowe, kanalizacyjne, ciepłownicze, elektryczne, gazowe i telekomunikacyjne;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linia rozgraniczająca - wyznaczoną na rysunku planu linię ciągłą, stanowiącą gran</w:t>
      </w:r>
      <w:r>
        <w:rPr>
          <w:color w:val="000000"/>
          <w:u w:color="000000"/>
        </w:rPr>
        <w:t>icę między terenami o różnym przeznaczeniu lub różnych zasadach zagospodarowania;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linia zabudowy nieprzekraczalna - wyznaczoną na rysunku planu linię określającą część działki budowlanej, na której możliwe jest lokalizowanie budynków, z zakazem jej prze</w:t>
      </w:r>
      <w:r>
        <w:rPr>
          <w:color w:val="000000"/>
          <w:u w:color="000000"/>
        </w:rPr>
        <w:t>kraczania, który to zakaz nie dotyczy: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wejścia do budynku, takich jak: schody, pochylnia, podest, rampa, zadaszenie,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elementów nadwieszeń, takich jak: łącznik, balkon, wykusz, gzyms, okap dachu,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ogniomuru, podpory konstrukcyjnej,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tara</w:t>
      </w:r>
      <w:r>
        <w:rPr>
          <w:color w:val="000000"/>
          <w:u w:color="000000"/>
        </w:rPr>
        <w:t>sów, werand i ogrodów zimowych,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podziemnych części budynku i urządzeń budowlanych związanych z budynkiem,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zewnętrznych warstw izolacji termicznej, okładzin oraz zewnętrznych elementów komunikacji pionowej, takich jak klatki schodowe i szyby windowe -</w:t>
      </w:r>
      <w:r>
        <w:rPr>
          <w:color w:val="000000"/>
          <w:u w:color="000000"/>
        </w:rPr>
        <w:t xml:space="preserve"> wyłącznie w przypadku zabudowy istniejącej,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obiektów infrastruktury technicznej;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linia zabudowy obowiązująca - rodzaj linii zabudowy nieprzekraczalnej, wzdłuż której obowiązuje nakaz sytuowania minimum 70% powierzchni ściany frontowej budynku innego</w:t>
      </w:r>
      <w:r>
        <w:rPr>
          <w:color w:val="000000"/>
          <w:u w:color="000000"/>
        </w:rPr>
        <w:t xml:space="preserve"> niż obiekt pomocniczy, gospodarczy lub techniczny;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miejsce zmiany linii zabudowy - wskazany na rysunku planu punkt, w którym następuje zmiana rodzaju linii zabudowy;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podniesienie standardów jakości użytkowania - działania budowlane przy zabudowie is</w:t>
      </w:r>
      <w:r>
        <w:rPr>
          <w:color w:val="000000"/>
          <w:u w:color="000000"/>
        </w:rPr>
        <w:t>tniejącej obejmujące działania, takie jak dobudowa: ciągów komunikacji pionowej, łączników między budynkami, tarasów, werand, ogrodów zimowych;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przepisy odrębne - przepisy prawa powszechnie obowiązującego, w szczególności ustawy i rozporządzenia, a tak</w:t>
      </w:r>
      <w:r>
        <w:rPr>
          <w:color w:val="000000"/>
          <w:u w:color="000000"/>
        </w:rPr>
        <w:t>że akty prawa miejscowego obowiązujące na obszarze miasta Łodzi;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przeznaczenie terenu - obiekty budowlane i urządzenia budowlane oraz zagospodarowanie tworzące całość funkcjonalną, określone ustaleniami planu na danym terenie odpowiednio: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</w:t>
      </w:r>
      <w:r>
        <w:rPr>
          <w:color w:val="000000"/>
          <w:u w:color="000000"/>
        </w:rPr>
        <w:t>nie podstawowe - przeznaczenie, które przeważa na danym terenie,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- przeznaczenie, które uzupełnia przeznaczenie podstawowe;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 xml:space="preserve">system NCS - system opisu barw publikowany w formie wzorników kolorów; oznaczenie koloru składa </w:t>
      </w:r>
      <w:r>
        <w:rPr>
          <w:color w:val="000000"/>
          <w:u w:color="000000"/>
        </w:rPr>
        <w:t xml:space="preserve">się z: napisu „NCS S”, czterech cyfr, z których pierwsze dwie oznaczają procentową </w:t>
      </w:r>
      <w:r>
        <w:rPr>
          <w:color w:val="000000"/>
          <w:u w:color="000000"/>
        </w:rPr>
        <w:lastRenderedPageBreak/>
        <w:t>zawartość czerni, kolejne dwie - poziom chromatyczności oraz, po myślniku, symbolu koloru oznaczającego procentową zawartość kolorów (żółtego - Y, czerwonego - R, niebieskie</w:t>
      </w:r>
      <w:r>
        <w:rPr>
          <w:color w:val="000000"/>
          <w:u w:color="000000"/>
        </w:rPr>
        <w:t>go - B, zielonego - G) lub kolor neutralny - N;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 xml:space="preserve">system RAL - system opisu barw publikowany w formie wzorników kolorów; oznaczenie koloru składa się z napisu „RAL” oraz czterech cyfr, z których pierwsze dwie oznaczają przynależność koloru do umownie </w:t>
      </w:r>
      <w:r>
        <w:rPr>
          <w:color w:val="000000"/>
          <w:u w:color="000000"/>
        </w:rPr>
        <w:t>określonych grup odcieni (RAL10xx - grupa odcieni żółtych, RAL90xx - grupa odcieni białych i czarnych);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teren - wydzielone liniami rozgraniczającymi nieruchomości lub ich części, oznaczone symbolami liczbowymi i literowymi, z których liczby oznaczają n</w:t>
      </w:r>
      <w:r>
        <w:rPr>
          <w:color w:val="000000"/>
          <w:u w:color="000000"/>
        </w:rPr>
        <w:t>umer porządkowy terenu, a litery podstawowe przeznaczenie terenu;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uchwała - niniejszą uchwałę Rady Miejskiej w Łodzi;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usługi uciążliwe - działalność usługową powodującą przekroczenie standardów jakości środowiska obowiązujących dla przeznaczenia po</w:t>
      </w:r>
      <w:r>
        <w:rPr>
          <w:color w:val="000000"/>
          <w:u w:color="000000"/>
        </w:rPr>
        <w:t>dstawowego terenu;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ustawa - ustawę z dnia 27 marca 2003 r. o planowaniu i zagospodarowaniu przestrzennym, o ile z treści przepisu nie wynika inaczej;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wskaźnik powierzchni biologicznie czynnej - udział procentowy terenu biologicznie czynnego w powie</w:t>
      </w:r>
      <w:r>
        <w:rPr>
          <w:color w:val="000000"/>
          <w:u w:color="000000"/>
        </w:rPr>
        <w:t>rzchni działki budowlanej;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>wskaźnik powierzchni zabudowy - udział procentowy powierzchni wyznaczonej przez rzuty pionowe części nadziemnych wszystkich budynków w ich obrysie zewnętrznym w powierzchni działki budowlanej;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20) </w:t>
      </w:r>
      <w:r>
        <w:rPr>
          <w:color w:val="000000"/>
          <w:u w:color="000000"/>
        </w:rPr>
        <w:t>wysokość zabudowy - określon</w:t>
      </w:r>
      <w:r>
        <w:rPr>
          <w:color w:val="000000"/>
          <w:u w:color="000000"/>
        </w:rPr>
        <w:t>ą w metrach wysokość obiektu budowlanego mierzoną od najniższego poziomu gruntu w miejscu jego lokalizacji do najwyższego punktu jego konstrukcji, a dla budynków - do najwyższego punktu dachu;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21) </w:t>
      </w:r>
      <w:r>
        <w:rPr>
          <w:color w:val="000000"/>
          <w:u w:color="000000"/>
        </w:rPr>
        <w:t>zabudowa frontowa - zabudowę o funkcji określonej przeznacz</w:t>
      </w:r>
      <w:r>
        <w:rPr>
          <w:color w:val="000000"/>
          <w:u w:color="000000"/>
        </w:rPr>
        <w:t>eniem terenu, lokalizowaną na działce budowlanej od strony przestrzeni publicznej, która nie obejmuje obiektów pomocniczych, gospodarczych i technicznych;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22) </w:t>
      </w:r>
      <w:r>
        <w:rPr>
          <w:color w:val="000000"/>
          <w:u w:color="000000"/>
        </w:rPr>
        <w:t>zabudowa istniejąca - budynki istniejące oraz budynki posiadające w dniu wejścia w życie planu pr</w:t>
      </w:r>
      <w:r>
        <w:rPr>
          <w:color w:val="000000"/>
          <w:u w:color="000000"/>
        </w:rPr>
        <w:t>awo do realizacji na podstawie ostatecznej decyzji o pozwoleniu na budowę lub zgłoszenia, o którym mowa w przepisach odrębnych z zakresu prawa budowlanego.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Określenia użyte w planie, a niezdefiniowane w ust. 1, dotyczące zagadnień przewidzianych ustawą </w:t>
      </w:r>
      <w:r>
        <w:rPr>
          <w:color w:val="000000"/>
          <w:u w:color="000000"/>
        </w:rPr>
        <w:t>lub przepisami odrębnymi przywołanymi w treści niniejszej uchwały, należy rozumieć w sposób określony w ustawie lub w tych przepisach, a w przypadku braku definicji, w rozumieniu powszechnym.</w:t>
      </w:r>
    </w:p>
    <w:p w:rsidR="00A77B3E" w:rsidRDefault="0093320E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5. </w:t>
      </w:r>
      <w:r>
        <w:rPr>
          <w:color w:val="000000"/>
          <w:u w:color="000000"/>
        </w:rPr>
        <w:t>Ust</w:t>
      </w:r>
      <w:r>
        <w:rPr>
          <w:color w:val="000000"/>
          <w:u w:color="000000"/>
        </w:rPr>
        <w:t>ala się następujące zasady ochrony i kształtowania ładu przestrzennego: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zagospodarowania i użytkowania terenów: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ochronę układu urbanistycznego osiedla Nowosolna poprzez kształtowanie układu komunikacyjnego i zabudo</w:t>
      </w:r>
      <w:r>
        <w:rPr>
          <w:color w:val="000000"/>
          <w:u w:color="000000"/>
        </w:rPr>
        <w:t>wy,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ustalenie zasad zagospodarowania terenów w dostosowaniu do występujących uwarunkowań  w celu umożliwienia ich rozwoju funkcjonalno-przestrzennego,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zapewnienie pomiędzy terenami właściwych relacji przestrzennych i środowiskowych;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prz</w:t>
      </w:r>
      <w:r>
        <w:rPr>
          <w:color w:val="000000"/>
          <w:u w:color="000000"/>
        </w:rPr>
        <w:t>eznaczenia terenów zakaz lokalizacji: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usług handlu o powierzchni sprzedaży równej 1 000 m² i wyższej,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usług uciążliwych,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usług w zakresie obsługi komunikacji, takich jak: warsztaty samochodowe i stacje obsługi samochodów powyżej 2 stanowisk dla </w:t>
      </w:r>
      <w:r>
        <w:rPr>
          <w:color w:val="000000"/>
          <w:u w:color="000000"/>
        </w:rPr>
        <w:t>samochodów, stacje paliw i myjnie samochodowe;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lokalizacji zabudowy: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obiektów pomocniczych, gospodarczych i technicznych w odległości mniejszej niż 10,0 m od linii zabudowy wyznaczonej od strony dróg publicznych,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dla </w:t>
      </w:r>
      <w:r>
        <w:rPr>
          <w:color w:val="000000"/>
          <w:u w:color="000000"/>
        </w:rPr>
        <w:t>zabudowy istniejącej o funkcji zgodnej z przeznaczeniem terenu, a niespełniającej wymagań dotyczących linii zabudowy: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części poza liniami zabudowy - dopuszczenie: remontu, przebudowy i nadbudowy do parametrów określonych w planie, rozbud</w:t>
      </w:r>
      <w:r>
        <w:rPr>
          <w:color w:val="000000"/>
          <w:u w:color="000000"/>
        </w:rPr>
        <w:t>owy uwzględniającej wyznaczone na rysunku planu linie zabudowy oraz wykonania innych robót budowlanych polegających na doprowadzeniu do zgodności z przepisami odrębnymi z zakresu budownictwa lub podniesieniu standardów jakości użytkowania,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</w:t>
      </w:r>
      <w:r>
        <w:rPr>
          <w:color w:val="000000"/>
          <w:u w:color="000000"/>
        </w:rPr>
        <w:t xml:space="preserve"> w obrębie linii zabudowy - dopuszczenie: remontu, przebudowy, nadbudowy i rozbudowy bez konieczności jej realizacji w linii zabudowy obowiązującej,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dopuszcza się lokalizację tymczasowych obiektów budowlanych wyłącznie w granicach terenu oznaczonego sym</w:t>
      </w:r>
      <w:r>
        <w:rPr>
          <w:color w:val="000000"/>
          <w:u w:color="000000"/>
        </w:rPr>
        <w:t>bolem 1US;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wskaźników i parametrów zabudowy: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obiektów budowlanych, innych niż budynki, niewskazanych w ustaleniach szczegółowych tekstu planu, określa się maksymalną wysokość zabudowy - 40,0 m,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istniejącej o funkcji zgo</w:t>
      </w:r>
      <w:r>
        <w:rPr>
          <w:color w:val="000000"/>
          <w:u w:color="000000"/>
        </w:rPr>
        <w:t>dnej z przeznaczeniem terenu, a niespełniającej wymagań dotyczących wskaźników i parametrów zabudowy: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nieosiągającej minimalnej intensywności - dopuszczenie: remontu lub przebudowy oraz wykonania innych robót budowlanych polegających na doprowadzeniu do </w:t>
      </w:r>
      <w:r>
        <w:rPr>
          <w:color w:val="000000"/>
          <w:u w:color="000000"/>
        </w:rPr>
        <w:t>zgodności z przepisami odrębnymi z zakresu budownictwa lub podniesieniu standardów jakości użytkowania bez konieczności osiągnięcia parametrów określonych w planie,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dopuszczenie zachowania kształtu dachu, niezgodnego z parametrami określonymi w ustalenia</w:t>
      </w:r>
      <w:r>
        <w:rPr>
          <w:color w:val="000000"/>
          <w:u w:color="000000"/>
        </w:rPr>
        <w:t>ch szczegółowych dla terenów zawartych w rozdziale 3, w przypadku prowadzenia robót budowlanych polegających na rozbudowie zabudowy istniejącej;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kształtowania zabudowy: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ścian bez okien lub drzwi od strony granicy z terena</w:t>
      </w:r>
      <w:r>
        <w:rPr>
          <w:color w:val="000000"/>
          <w:u w:color="000000"/>
        </w:rPr>
        <w:t>mi przestrzeni publicznej w odległości mniejszej niż 10,0 m od linii zabudowy,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frontowej o dachach kalenicowych lokalizowanej zgodnie z linią zabudowy obowiązującą - nakaz kształtowania kierunku głównej kalenicy dachu równolegle do tej lini</w:t>
      </w:r>
      <w:r>
        <w:rPr>
          <w:color w:val="000000"/>
          <w:u w:color="000000"/>
        </w:rPr>
        <w:t>i;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kolorystyki oraz materiałów wykończeniowych elewacji i dachów dla budynków: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stosowania nie więcej niż trzech materiałów wykończeniowych dla ścian spośród: betonu architektonicznego, ceramiki budowlanej, drewna, kamienia naturalneg</w:t>
      </w:r>
      <w:r>
        <w:rPr>
          <w:color w:val="000000"/>
          <w:u w:color="000000"/>
        </w:rPr>
        <w:t>o, metalu, tynku, szkła, włókno-cementu oraz dla obiektów sportu i rekreacji materiałów syntetycznych, z wyłączeniem sidingu,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nie więcej niż trzech kolorów dla ścian spośród: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naturalnej kolorystyki zastosowanych materiałów wykończenio</w:t>
      </w:r>
      <w:r>
        <w:rPr>
          <w:color w:val="000000"/>
          <w:u w:color="000000"/>
        </w:rPr>
        <w:t>wych,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dla powierzchni malowanych lub struktur barwionych - odpowiadających w systemie NCS barwom o oznaczeniu z zakresu podanego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"/>
        <w:gridCol w:w="1860"/>
        <w:gridCol w:w="1995"/>
        <w:gridCol w:w="2295"/>
        <w:gridCol w:w="2881"/>
      </w:tblGrid>
      <w:tr w:rsidR="00241B80">
        <w:tc>
          <w:tcPr>
            <w:tcW w:w="10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93320E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System i edycja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93320E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Zawartość czerni</w:t>
            </w:r>
          </w:p>
          <w:p w:rsidR="00241B80" w:rsidRDefault="0093320E">
            <w:pPr>
              <w:jc w:val="center"/>
            </w:pPr>
            <w:r>
              <w:rPr>
                <w:sz w:val="20"/>
              </w:rPr>
              <w:t>(dwie pierwsze cyfry)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93320E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Poziom chromatyczności</w:t>
            </w:r>
          </w:p>
          <w:p w:rsidR="00241B80" w:rsidRDefault="0093320E">
            <w:pPr>
              <w:jc w:val="center"/>
            </w:pPr>
            <w:r>
              <w:rPr>
                <w:sz w:val="20"/>
              </w:rPr>
              <w:t>(dwie kolejne cyfry)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93320E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Symbol koloru</w:t>
            </w:r>
          </w:p>
          <w:p w:rsidR="00241B80" w:rsidRDefault="0093320E">
            <w:pPr>
              <w:jc w:val="center"/>
            </w:pPr>
            <w:r>
              <w:rPr>
                <w:sz w:val="20"/>
              </w:rPr>
              <w:t>(po myślniku)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93320E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Gamy barw</w:t>
            </w:r>
          </w:p>
        </w:tc>
      </w:tr>
      <w:tr w:rsidR="00241B80">
        <w:tc>
          <w:tcPr>
            <w:tcW w:w="10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93320E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NCS 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93320E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maks. 60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93320E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maks. 02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93320E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Y, N, G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93320E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neutralne, biele, szarości, grafity</w:t>
            </w:r>
          </w:p>
        </w:tc>
      </w:tr>
    </w:tbl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dachów innych niż płaskie - nakaz stosowania pokrycia wyłącznie w postaci: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blachy dachowej lub materiału bitumicznego w kolorze: ceglastym, brązowym, </w:t>
      </w:r>
      <w:r>
        <w:rPr>
          <w:color w:val="000000"/>
          <w:u w:color="000000"/>
        </w:rPr>
        <w:t>szarym, grafitowym, czarnym lub naturalnym,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dachówki w kolorze: ceglastym, brązowym, szarym, grafitowym lub czarnym,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szkła,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materiałów syntetycznych dla obiektów sportu i rekreacji;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lokalizowania urządzeń technicznych: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umieszcz</w:t>
      </w:r>
      <w:r>
        <w:rPr>
          <w:color w:val="000000"/>
          <w:u w:color="000000"/>
        </w:rPr>
        <w:t>ania na elewacjach frontowych elementów technicznego wyposażenia budynków, takich jak: klimatyzatory, przewody kominowe, za wyjątkiem instalacji służących iluminacji budynków,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umieszczania na połaciach dachowych widocznych od strony terenów przest</w:t>
      </w:r>
      <w:r>
        <w:rPr>
          <w:color w:val="000000"/>
          <w:u w:color="000000"/>
        </w:rPr>
        <w:t>rzeni publicznych urządzeń technicznych służących wentylacji i klimatyzacji oraz masztów telekomunikacyjnych,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dopuszczenie umieszczania skrzynek przyłączy infrastruktury technicznej na elewacjach frontowych lub ogrodzeniach, wyłącznie jako wbudowanych w</w:t>
      </w:r>
      <w:r>
        <w:rPr>
          <w:color w:val="000000"/>
          <w:u w:color="000000"/>
        </w:rPr>
        <w:t> ścianę lub ogrodzenie oraz pod warunkiem zastosowania kolorystyki dla widocznej części skrzynek odpowiadającej barwie elewacji lub ogrodzenia, w które są wbudowane, lub w kolorze grafitowym odpowiadającym barwie 7016 w systemie RAL lub w kolorze, który ok</w:t>
      </w:r>
      <w:r>
        <w:rPr>
          <w:color w:val="000000"/>
          <w:u w:color="000000"/>
        </w:rPr>
        <w:t>reślają przepisy odrębne,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umieszczania stacji przekaźnikowych wyłącznie na dachach budynków o wysokości nie mniejszej niż 10,0 m,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dopuszczenie zakładania na obiektach budowlanych usytuowanych przy granicy z terenami dróg publicznych znak</w:t>
      </w:r>
      <w:r>
        <w:rPr>
          <w:color w:val="000000"/>
          <w:u w:color="000000"/>
        </w:rPr>
        <w:t>ów i sygnałów drogowych lub innych urządzeń bezpieczeństwa ruchu drogowego, urządzeń służących do zapewnienia bezpieczeństwa publicznego, a także urządzeń niezbędnych do korzystania z nich, w rozumieniu przepisów odrębnych z zakresu gospodarki nieruchomośc</w:t>
      </w:r>
      <w:r>
        <w:rPr>
          <w:color w:val="000000"/>
          <w:u w:color="000000"/>
        </w:rPr>
        <w:t>iami.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6. </w:t>
      </w:r>
      <w:r>
        <w:rPr>
          <w:color w:val="000000"/>
          <w:u w:color="000000"/>
        </w:rPr>
        <w:t>Ustala się wymagania wynikające z potrzeb kształtowania przestrzeni publicznej, do której na obszarze planu należy teren drogi dojazdowej oznaczony na rysunku planu symbolem 1KDD, polegające na nakazie stosowania rozwiązań technicznych uwzględni</w:t>
      </w:r>
      <w:r>
        <w:rPr>
          <w:color w:val="000000"/>
          <w:u w:color="000000"/>
        </w:rPr>
        <w:t>ających potrzeby osób ze szczególnymi potrzebami.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7. </w:t>
      </w:r>
      <w:r>
        <w:rPr>
          <w:color w:val="000000"/>
          <w:u w:color="000000"/>
        </w:rPr>
        <w:t>Ustala się następujące zasady ochrony środowiska, przyrody i krajobrazu oraz zasady kształtowania krajobrazu: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zawsze znacząco oddziaływać na środowisko,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potencjalnie znacząco oddziaływać na środowisko za wyjątkiem dróg, inwestycji z zakresu infrastruktury technicznej;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wykorzystania odnawialnych źródeł energii dla realizacji zaopatrzenia w energię elektryczną i ciepło o mocy: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nieprzekr</w:t>
      </w:r>
      <w:r>
        <w:rPr>
          <w:color w:val="000000"/>
          <w:u w:color="000000"/>
        </w:rPr>
        <w:t>aczającej 100 kW z wyłączeniem elektrowni wiatrowych,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przekraczającej 100 kW wyłącznie w zakresie wykorzystania energii słonecznej;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i kształtowania krajobrazu - zakaz wykonywania prac ziemnych trwale zniekształcających rzeźbę teren</w:t>
      </w:r>
      <w:r>
        <w:rPr>
          <w:color w:val="000000"/>
          <w:u w:color="000000"/>
        </w:rPr>
        <w:t>u;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gospodarki wodnej i odprowadzania ścieków - nakaz stosowania kompleksowych rozwiązań poprzez: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doprowadzenie infrastruktury technicznej wodociągowej i kanalizacji sanitarnej do wszystkich terenów przeznaczonych na cele zabudowy,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realizację urządzeń infrastruktury technicznej odbioru wód opadowych i roztopowych dla terenów przeznaczonych na cele dróg;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wód podziemnych i powierzchniowych: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nakaz stosowania rozwiązań umożliwiających wykorzystanie lub </w:t>
      </w:r>
      <w:r>
        <w:rPr>
          <w:color w:val="000000"/>
          <w:u w:color="000000"/>
        </w:rPr>
        <w:t>retencjonowanie nadmiaru wód opadowych i roztopowych w miejscu ich powstania, z dopuszczeniem odprowadzenia ich do odbiornika na warunkach określonych w przepisach odrębnych dotyczących zbiorowego zaopatrzenia w wodę i zbiorowego odprowadzenia ścieków oraz</w:t>
      </w:r>
      <w:r>
        <w:rPr>
          <w:color w:val="000000"/>
          <w:u w:color="000000"/>
        </w:rPr>
        <w:t xml:space="preserve"> prawa wodnego, a także budownictwa,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dokonywania zmian stosunków wodnych, jeżeli zmiany te nie wynikają z działań na rzecz ochrony przyrody albo racjonalnej gospodarki wodnej;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powietrza - zakaz stosowania indywidualnych źróde</w:t>
      </w:r>
      <w:r>
        <w:rPr>
          <w:color w:val="000000"/>
          <w:u w:color="000000"/>
        </w:rPr>
        <w:t>ł zaopatrzenia w ciepło powodujących emisję spalin przekraczającą dopuszczalne normy;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hałasem - tereny oznaczone na rysunku planu symbolem MN-U zalicza się do terenów chronionych akustycznie, określonych jako „tereny mieszkaniow</w:t>
      </w:r>
      <w:r>
        <w:rPr>
          <w:color w:val="000000"/>
          <w:u w:color="000000"/>
        </w:rPr>
        <w:t>o-usługowe”, w rozumieniu przepisów odrębnych dotyczących dopuszczalnych poziomów hałasu w środowisku;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 xml:space="preserve">w zakresie ochrony przed polami elektromagnetycznymi - zakaz lokalizacji obiektów, urządzeń i sieci infrastrukturalnych, które powodują przekroczenie </w:t>
      </w:r>
      <w:r>
        <w:rPr>
          <w:color w:val="000000"/>
          <w:u w:color="000000"/>
        </w:rPr>
        <w:t>dopuszczalnych poziomów pól elektromagnetycznych w środowisku określonych w przepisach odrębnych z zakresu ochrony środowiska w budynkach z pomieszczeniami przeznaczonymi na pobyt ludzi, w rozumieniu przepisów odrębnych z zakresu budownictwa;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zakresie</w:t>
      </w:r>
      <w:r>
        <w:rPr>
          <w:color w:val="000000"/>
          <w:u w:color="000000"/>
        </w:rPr>
        <w:t xml:space="preserve"> ochrony powierzchni ziemi oraz gospodarki odpadami - nakaz zapewnienia dla nieruchomości miejsca służącego do czasowego gromadzenia odpadów stałych, z uwzględnieniem wymogów wynikających z przepisów odrębnych dotyczących budownictwa oraz dotyczących utrzy</w:t>
      </w:r>
      <w:r>
        <w:rPr>
          <w:color w:val="000000"/>
          <w:u w:color="000000"/>
        </w:rPr>
        <w:t>mania czystości i porządku w gminie.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8. 1. </w:t>
      </w:r>
      <w:r>
        <w:rPr>
          <w:color w:val="000000"/>
          <w:u w:color="000000"/>
        </w:rPr>
        <w:t>W zakresie zasad i warunków scalania i podziału nieruchomości: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przepisach odrębnych wymagających obowiązkowego przeprowadzenia scaleń i podziałów nieruchomości;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 dokonywanego na wniosek, określono w ustaleniach szczegółowych dla terenów w rozdziale 3.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Parametry działek powstałych w wyniku scalania i podziału nieruchomości, określone w ustaleniach </w:t>
      </w:r>
      <w:r>
        <w:rPr>
          <w:color w:val="000000"/>
          <w:u w:color="000000"/>
        </w:rPr>
        <w:t>szczegółowych dla terenów zawartych w rozdziale 3, nie obowiązują dla działek gruntu wydzielonych pod drogi oraz infrastrukturę techniczną.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9. </w:t>
      </w:r>
      <w:r>
        <w:rPr>
          <w:color w:val="000000"/>
          <w:u w:color="000000"/>
        </w:rPr>
        <w:t>Ustala się szczególne warunki zagospodarowania terenów oraz ograniczenia w ich użytkowaniu: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zakaz lokalizacj</w:t>
      </w:r>
      <w:r>
        <w:rPr>
          <w:color w:val="000000"/>
          <w:u w:color="000000"/>
        </w:rPr>
        <w:t>i budynków z pomieszczeniami przeznaczonymi na pobyt ludzi w strefie ochronnej od napowietrznych linii elektroenergetycznych o napięciu 15 kV do 7,5 m od osi linii elektroenergetycznej;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likwidacji infrastruktury, o której mowa w pkt. 1, zaka</w:t>
      </w:r>
      <w:r>
        <w:rPr>
          <w:color w:val="000000"/>
          <w:u w:color="000000"/>
        </w:rPr>
        <w:t>zy dotyczące strefy ochronnej nie obowiązują;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cały obszar planu obejmują powierzchnie ograniczające zabudowę (BRA) od lotniczych</w:t>
      </w:r>
      <w:r>
        <w:rPr>
          <w:color w:val="000000"/>
          <w:u w:color="000000"/>
        </w:rPr>
        <w:br/>
        <w:t>urządzeń naziemnych (LUN), z wyłączeniami oraz możliwością uzyskania odstępstwa</w:t>
      </w:r>
      <w:r>
        <w:rPr>
          <w:color w:val="000000"/>
          <w:u w:color="000000"/>
        </w:rPr>
        <w:br/>
        <w:t>od wymogów dotyczących powierzchni ogranicza</w:t>
      </w:r>
      <w:r>
        <w:rPr>
          <w:color w:val="000000"/>
          <w:u w:color="000000"/>
        </w:rPr>
        <w:t>jących zabudowę, zgodnie</w:t>
      </w:r>
      <w:r>
        <w:rPr>
          <w:color w:val="000000"/>
          <w:u w:color="000000"/>
        </w:rPr>
        <w:br/>
        <w:t>z przepisami odrębnymi z zakresu lotnictwa;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strefie ochrony sanitarnej cmentarza (150 m) wynoszącej do 150 m, oznaczonej na rysunku planu, zakaz lokalizacji studni służących do czerpania wody do picia i potrzeb gospodarczych.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10. </w:t>
      </w:r>
      <w:r>
        <w:rPr>
          <w:color w:val="000000"/>
          <w:u w:color="000000"/>
        </w:rPr>
        <w:t>Ustala się następujące zasady modernizacji, rozbudowy i budowy systemów komunikacji: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połączenie układu komunikacyjnego obszaru objętego planem z zewnętrznym układem komunikacyjnym poprzez teren drogi dojazdowej, oznaczonej na rysunku planu symbole</w:t>
      </w:r>
      <w:r>
        <w:rPr>
          <w:color w:val="000000"/>
          <w:u w:color="000000"/>
        </w:rPr>
        <w:t>m 1KDD;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lokalizacji i budowy dróg wewnętrznych niewyznaczonych na rysunku planu z zachowaniem: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minimalnej szerokości drogi w liniach rozgraniczających - 7,0 m,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lokalizacja drogi dopuszczalna wyłącznie: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radialnie względem wskazanego </w:t>
      </w:r>
      <w:r>
        <w:rPr>
          <w:color w:val="000000"/>
          <w:u w:color="000000"/>
        </w:rPr>
        <w:t>na rysunku planu okręgu pomocniczego, którego środek znajduje się w punkcie o współrzędnych geodezyjnych w układzie xy 2000 (x=5741161,19, y=6609664,92) lub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kierunku prostopadłym do jednej z dwóch najbliższych historycznych miedz oznaczonych na rysunku</w:t>
      </w:r>
      <w:r>
        <w:rPr>
          <w:color w:val="000000"/>
          <w:u w:color="000000"/>
        </w:rPr>
        <w:t xml:space="preserve"> planu, przy czym kierunek ten określa się z tolerancją 3º.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11. 1. </w:t>
      </w:r>
      <w:r>
        <w:rPr>
          <w:color w:val="000000"/>
          <w:u w:color="000000"/>
        </w:rPr>
        <w:t>Ustala się liczbę miejsc do parkowania dla samochodów i rowerów dotyczącą nowo projektowanych budynków lub ich części: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samochodów osobowych - minimum: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dla mieszkań w budynkach </w:t>
      </w:r>
      <w:r>
        <w:rPr>
          <w:color w:val="000000"/>
          <w:u w:color="000000"/>
        </w:rPr>
        <w:t>mieszkalnych lub mieszkalno-usługowych - 1 stanowisko na każde mieszkanie,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i obiektów sportu i rekreacji - 1 stanowisko na każde 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pozostałych usług - 1 stanowisko na każde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rowerów - minimum 1 stanowisko na każde 200 m² powierzchni użytkowej usług.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Wymaganą liczbę miejsc do parkowania dla samochodów i stanowisk dla rowerów należy określać: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proporcjonalnie względem przyjętej jednostki przeliczeniowej i zaokrąglać w g</w:t>
      </w:r>
      <w:r>
        <w:rPr>
          <w:color w:val="000000"/>
          <w:u w:color="000000"/>
        </w:rPr>
        <w:t>órę do kolejnej liczby całkowitej;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poprzez sumowanie łącznej minimalnej liczby miejsc parkingowych dla równoczesnego użytkowania dla obiektów wielofunkcyjnych, zgodnie z wymogami określonymi w ust. 1.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3. </w:t>
      </w:r>
      <w:r>
        <w:rPr>
          <w:color w:val="000000"/>
          <w:u w:color="000000"/>
        </w:rPr>
        <w:t xml:space="preserve">Na parkingach dla samochodów osobowych liczących </w:t>
      </w:r>
      <w:r>
        <w:rPr>
          <w:color w:val="000000"/>
          <w:u w:color="000000"/>
        </w:rPr>
        <w:t>więcej niż 5 miejsc przeznaczonych na postój pojazdów, minimum 4% ogólnej liczby miejsc, lecz nie mniej niż 1 miejsce parkingowe, przeznaczyć należy na parkowanie pojazdów zaopatrzonych w kartę parkingową, o której mowa w przepisach o ruchu drogowym, z zas</w:t>
      </w:r>
      <w:r>
        <w:rPr>
          <w:color w:val="000000"/>
          <w:u w:color="000000"/>
        </w:rPr>
        <w:t>trzeżeniem: dróg publicznych, stref zamieszkania i stref ruchu, dla których minimalną liczbę stanowisk parkingowych dla pojazdów zaopatrzonych w kartę parkingową określają przepisy odrębne z zakresu dróg publicznych.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12. 1. </w:t>
      </w:r>
      <w:r>
        <w:rPr>
          <w:color w:val="000000"/>
          <w:u w:color="000000"/>
        </w:rPr>
        <w:t xml:space="preserve">Ustala się następujące zasady </w:t>
      </w:r>
      <w:r>
        <w:rPr>
          <w:color w:val="000000"/>
          <w:u w:color="000000"/>
        </w:rPr>
        <w:t>modernizacji, rozbudowy i budowy systemów infrastruktury technicznej: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systemy, ich przebudowę i rozbudowę, a także budowę nowych systemów;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infrastruktury technic</w:t>
      </w:r>
      <w:r>
        <w:rPr>
          <w:color w:val="000000"/>
          <w:u w:color="000000"/>
        </w:rPr>
        <w:t>znej w terenach dróg publicznych;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dopuszczenie lokalizacji sieci i urządzeń infrastruktury technicznej w terenach o innym przeznaczeniu niż w pkt. 2, zgodnie z ustaleniami planu, z zachowaniem możliwości lokalizowania budynków na podstawie wyznaczonych </w:t>
      </w:r>
      <w:r>
        <w:rPr>
          <w:color w:val="000000"/>
          <w:u w:color="000000"/>
        </w:rPr>
        <w:t>na rysunku planu linii zabudowy;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lokalizacji nowej oraz przebudowywanej i rozbudowywanej infrastruktury technicznej jako podziemnej, z wyłączeniem stacji transformatorowych zlokalizowanych poza przestrzeniami publicznymi oraz elementów infrastrukt</w:t>
      </w:r>
      <w:r>
        <w:rPr>
          <w:color w:val="000000"/>
          <w:u w:color="000000"/>
        </w:rPr>
        <w:t>ury technicznej, które jedynie jako nadziemne mogą pełnić swoją funkcję.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infrastruktury technicznej na obszarze planu z układem zewnętrznym: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podstawowy element zaopatrzenia w wodę - magistrala wodociągowa „STOKI” oraz uję</w:t>
      </w:r>
      <w:r>
        <w:rPr>
          <w:color w:val="000000"/>
          <w:u w:color="000000"/>
        </w:rPr>
        <w:t>cia wody „Olkuska”, „Kasprowicza” i „Pomorska”;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bytowych - kolektor VII biegnący przez teren Nowosolnej wzdłuż rzeki Miazgi, a następnie wzdłuż ulicy Pomorskiej;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podstawowy odbiornik nadmiaru wód opadowych i roztopowych -</w:t>
      </w:r>
      <w:r>
        <w:rPr>
          <w:color w:val="000000"/>
          <w:u w:color="000000"/>
        </w:rPr>
        <w:t xml:space="preserve"> zbiorniki odparowywalno-chłonne;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elementy zaopatrzenia w gaz - gazociąg średniego ciśnienia Dn 100 zlokalizowany w ulicy Jana Kasprowicza;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zaopatrzenia w energię elektryczną - Główny Punkt Zasilania Janów 220/110/15 kV.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13. 1. </w:t>
      </w:r>
      <w:r>
        <w:rPr>
          <w:color w:val="000000"/>
          <w:u w:color="000000"/>
        </w:rPr>
        <w:t>Ustala się granice terenu rozmieszczenia inwestycji celu publicznego o znaczeniu lokalnym, które stanowią wskazane na rysunku planu linie rozgraniczające terenu drogi dojazdowej oznaczonego na rysunku planu symbolem 1KDD.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Dopuszcza się lokaliza</w:t>
      </w:r>
      <w:r>
        <w:rPr>
          <w:color w:val="000000"/>
          <w:u w:color="000000"/>
        </w:rPr>
        <w:t>cję inwestycji celu publicznego o znaczeniu lokalnym i ponadlokalnym w granicach niewymienionych w ust. 1 pod warunkiem ich zgodności z przeznaczeniem terenów.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14. </w:t>
      </w:r>
      <w:r>
        <w:rPr>
          <w:color w:val="000000"/>
          <w:u w:color="000000"/>
        </w:rPr>
        <w:t>Ustala się wysokość stawki procentowej służącej określeniu opłaty, o której mowa w art. 36</w:t>
      </w:r>
      <w:r>
        <w:rPr>
          <w:color w:val="000000"/>
          <w:u w:color="000000"/>
        </w:rPr>
        <w:t> ust. 4 ustawy dla wszystkich terenów w wysokości 30%.</w:t>
      </w:r>
    </w:p>
    <w:p w:rsidR="00A77B3E" w:rsidRDefault="0093320E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15. 1. </w:t>
      </w:r>
      <w:r>
        <w:rPr>
          <w:color w:val="000000"/>
          <w:u w:color="000000"/>
        </w:rPr>
        <w:t xml:space="preserve">Dla terenów oznaczonych na rysunku planu symbolami: </w:t>
      </w:r>
      <w:r>
        <w:rPr>
          <w:b/>
          <w:color w:val="000000"/>
          <w:u w:color="000000"/>
        </w:rPr>
        <w:t xml:space="preserve">1MN-U, 2MN-U                                  i 3MN-U </w:t>
      </w:r>
      <w:r>
        <w:rPr>
          <w:color w:val="000000"/>
          <w:u w:color="000000"/>
        </w:rPr>
        <w:t xml:space="preserve">obowiązują ustalenia zawarte w kolejnych </w:t>
      </w:r>
      <w:r>
        <w:rPr>
          <w:color w:val="000000"/>
          <w:u w:color="000000"/>
        </w:rPr>
        <w:t>ustępach niniejszego paragrafu.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tereny zabudowy mieszkaniowej jednorodzinnej lub usług z wykluczeniem: usług handlu, kultu religijnego, bezpieczeństwa i porządku publicznego;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</w:t>
      </w:r>
      <w:r>
        <w:rPr>
          <w:color w:val="000000"/>
          <w:u w:color="000000"/>
        </w:rPr>
        <w:t>zeznaczenie uzupełniające: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usług,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infrastruktury technicznej.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</w:t>
      </w:r>
      <w:r>
        <w:rPr>
          <w:color w:val="000000"/>
          <w:u w:color="000000"/>
        </w:rPr>
        <w:t xml:space="preserve"> powierzchni zabudowy - maksimum 30%,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dla kondygnacji nadziemnych - minimum 0,01, maksimum 0,5,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intensywność zabudowy dla kondygnacji podziemnych - maksimum 0,4,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wskaźnik powierzchni biologicznie czynnej: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</w:t>
      </w:r>
      <w:r>
        <w:rPr>
          <w:color w:val="000000"/>
          <w:u w:color="000000"/>
        </w:rPr>
        <w:t>erzchni powyżej 300 m² do 600 m² - minimum 20%,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powyżej 600 m² do 1 000 m² - minimum 35%,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powyżej 1 000 m² do 1 600 m² - minimum 45%,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powyżej 1 600 m² do 2 200 m² - minimum</w:t>
      </w:r>
      <w:r>
        <w:rPr>
          <w:color w:val="000000"/>
          <w:u w:color="000000"/>
        </w:rPr>
        <w:t xml:space="preserve"> 55%,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powyżej 2 200 m² - minimum 65%;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jednorodzinnych i usługowych - maksimum 10,0 m,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- maksimum 6,0 m,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geometria dachów - dachy dwuspadowe, z dopuszczeniem naczółkowych, lub wielospadowe o symetrycznym układzie połaci i jednakowym kącie nachylenia w zakresie od 30° do 45°, dla budynków gospodarczych i garaży dopuszcza się również dachy płaskie.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Określa s</w:t>
      </w:r>
      <w:r>
        <w:rPr>
          <w:color w:val="000000"/>
          <w:u w:color="000000"/>
        </w:rPr>
        <w:t>ię minimalną powierzchnię nowo wydzielonych działek budowlanych - 300 m². Parametr ten nie dotyczy działek wydzielonych pod nowe drogi albo pod poszerzenie dróg istniejących, działek pod urządzenia infrastruktury technicznej oraz powstałych w wyniku podzia</w:t>
      </w:r>
      <w:r>
        <w:rPr>
          <w:color w:val="000000"/>
          <w:u w:color="000000"/>
        </w:rPr>
        <w:t>łów prowadzonych po wyznaczonych na rysunku planu liniach rozgraniczających.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- minimum 300 m²;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- minimum 10,0 m;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działki w stosunku do pasa drogowego - 90° z tolerancją 3°.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16.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>1US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</w:t>
      </w:r>
      <w:r>
        <w:rPr>
          <w:color w:val="000000"/>
          <w:u w:color="000000"/>
        </w:rPr>
        <w:t>ę: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- teren usług sportu i rekreacji;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teren usług,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</w:t>
      </w:r>
      <w:r>
        <w:rPr>
          <w:color w:val="000000"/>
          <w:u w:color="000000"/>
        </w:rPr>
        <w:t>ennego ustala się: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- maksimum 20%,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dla kondygnacji nadziemnych - minimum 0,01, maksimum 0,5,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intensywność zabudowy dla kondygnacji podziemnych - maksimum 0,4</w:t>
      </w:r>
      <w:r>
        <w:rPr>
          <w:color w:val="000000"/>
          <w:u w:color="000000"/>
        </w:rPr>
        <w:t>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wskaźnik powierzchni biologicznie czynnej - minimum 65%;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i obiektów sportu i rekreacji - maksimum 15,0 m,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pozostałych budynków usługowych - maksimum 10,0 m,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budynków </w:t>
      </w:r>
      <w:r>
        <w:rPr>
          <w:color w:val="000000"/>
          <w:u w:color="000000"/>
        </w:rPr>
        <w:t>gospodarczych i garaży - 6,0 m,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geometria dachów: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i obiektów sportu i rekreacji - dachy o kącie nachylenia połaci wynoszącym do 45°, dopuszcza się krzywoliniowe formy przekrycia,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pozostałych budynków usługowych - dachy dwuspadowe lub wielos</w:t>
      </w:r>
      <w:r>
        <w:rPr>
          <w:color w:val="000000"/>
          <w:u w:color="000000"/>
        </w:rPr>
        <w:t>padowe, o symetrycznym układzie połaci i jednakowym kącie nachylenia w zakresie od 30° do 45°,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budynków gospodarczych i garaży - dachy dwuspadowe lub wielospadowe, o symetrycznym układzie połaci i jednakowym kącie nachylenia w zakresie od 30° do 45° lub </w:t>
      </w:r>
      <w:r>
        <w:rPr>
          <w:color w:val="000000"/>
          <w:u w:color="000000"/>
        </w:rPr>
        <w:t>dachy płaskie;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lokalizacji obiektów i funkcji: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powierzchnia zabudowy budynków usług handlu na działce budowlanej - 100 m²,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lokalizowania na działce budowlanej: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tymczasowych obiektów spor</w:t>
      </w:r>
      <w:r>
        <w:rPr>
          <w:color w:val="000000"/>
          <w:u w:color="000000"/>
        </w:rPr>
        <w:t>tu i rekreacji o wysokości do 15,0 m i powierzchni zabudowy maksimum 6 000,0 m², w liczbie nie większej niż 2,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tymczasowych obiektów usługowo-handlowych towarzyszących imprezom plenerowym i sportowym, na okres nie dłuższy niż czas trwania imprezy, o maks</w:t>
      </w:r>
      <w:r>
        <w:rPr>
          <w:color w:val="000000"/>
          <w:u w:color="000000"/>
        </w:rPr>
        <w:t>ymalnych wymiarach poziomych 7,0 m x 7,0 m i wysokości maksimum 4,0 m oraz o dachu płaskim lub dwuspadowym o kącie nachylenia do 35°, w liczbie nie większej niż 5,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sanitariatów o maksymalnych wymiarach poziomych 4,0 m x 3,0 m i wysokości maksimum        </w:t>
      </w:r>
      <w:r>
        <w:rPr>
          <w:color w:val="000000"/>
          <w:u w:color="000000"/>
        </w:rPr>
        <w:t xml:space="preserve">      3,5 m oraz dachu płaskim, w liczbie nie większej niż 2,</w:t>
      </w:r>
    </w:p>
    <w:p w:rsidR="00A77B3E" w:rsidRDefault="0093320E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nakaz: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lokalizacji sieci infrastruktury technicznej wyłącznie jako podziemnych za wyjątkiem słupów oświetlenia terenu,</w:t>
      </w:r>
    </w:p>
    <w:p w:rsidR="00A77B3E" w:rsidRDefault="0093320E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kształtowania nawierzchni zapewniającej bezpieczeństwo użytkowania, </w:t>
      </w:r>
      <w:r>
        <w:rPr>
          <w:color w:val="000000"/>
          <w:u w:color="000000"/>
        </w:rPr>
        <w:t>ewakuację i dostępność do obiektów dla właściwych służb.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Określa się minimalną powierzchnię nowo wydzielonych działek budowlanych                            - 2 000 m². Parametr ten nie dotyczy działek wydzielonych pod nowe drogi albo pod poszerzenie dr</w:t>
      </w:r>
      <w:r>
        <w:rPr>
          <w:color w:val="000000"/>
          <w:u w:color="000000"/>
        </w:rPr>
        <w:t>óg istniejących, działek pod urządzenia infrastruktury technicznej oraz powstałych w wyniku podziałów prowadzonych po wyznaczonych na rysunku planu liniach rozgraniczających.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5. </w:t>
      </w:r>
      <w:r>
        <w:rPr>
          <w:color w:val="000000"/>
          <w:u w:color="000000"/>
        </w:rPr>
        <w:t>W zakresie szczegółowych zasad i warunków scalania i podziału nieruchomości us</w:t>
      </w:r>
      <w:r>
        <w:rPr>
          <w:color w:val="000000"/>
          <w:u w:color="000000"/>
        </w:rPr>
        <w:t>tala się: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- minimum 2 000 m²;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- minimum 40,0 m;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działki w stosunku do pasa drogowego - 90° z tolerancją 3°.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17.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>1KDD</w:t>
      </w:r>
      <w:r>
        <w:rPr>
          <w:color w:val="000000"/>
          <w:u w:color="000000"/>
        </w:rPr>
        <w:t xml:space="preserve"> obowiązują ustalenia zawarte w kolejnych ustępach niniejszego paragrafu. 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- teren drogi dojazdowej;</w:t>
      </w:r>
    </w:p>
    <w:p w:rsidR="00A77B3E" w:rsidRDefault="0093320E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- teren infrastruktury technicznej.</w:t>
      </w:r>
    </w:p>
    <w:p w:rsidR="00A77B3E" w:rsidRDefault="0093320E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</w:t>
      </w:r>
      <w:r>
        <w:rPr>
          <w:color w:val="000000"/>
          <w:u w:color="000000"/>
        </w:rPr>
        <w:t xml:space="preserve"> warunków i parametrów funkcjonalno-technicznych ustala się szerokość w liniach rozgraniczających 8,0 m, bez uwzględnienia poszerzeń i narożnych ścięć linii rozgraniczających przy skrzyżowaniach, zgodnie z rysunkiem planu.</w:t>
      </w:r>
    </w:p>
    <w:p w:rsidR="00A77B3E" w:rsidRDefault="0093320E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18.</w:t>
      </w:r>
      <w:r>
        <w:t>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19.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93320E">
      <w:pPr>
        <w:keepLines/>
        <w:spacing w:before="240" w:after="120"/>
        <w:ind w:firstLine="567"/>
        <w:rPr>
          <w:color w:val="000000"/>
          <w:u w:color="000000"/>
        </w:rPr>
      </w:pPr>
      <w:r>
        <w:t>§ 20. </w:t>
      </w:r>
      <w:r>
        <w:rPr>
          <w:color w:val="000000"/>
          <w:u w:color="000000"/>
        </w:rPr>
        <w:t>Traci moc uchwała Nr XLIX/1508/21 Rady Miej</w:t>
      </w:r>
      <w:r>
        <w:rPr>
          <w:color w:val="000000"/>
          <w:u w:color="000000"/>
        </w:rPr>
        <w:t>skiej w Łodzi z dnia 20 października 2021 r. w sprawie uchwalenia miejscowego planu zagospodarowania przestrzennego dla części obszaru miasta Łodzi położonej w rejonie ulic: Brzezińskiej, Pomorskiej, Jugosłowiańskiej, Wiączyńskiej, J. Kasprowicza, Grabińsk</w:t>
      </w:r>
      <w:r>
        <w:rPr>
          <w:color w:val="000000"/>
          <w:u w:color="000000"/>
        </w:rPr>
        <w:t>iej i Byszewskiej - obszaru centrum osiedla Nowosolna</w:t>
      </w:r>
      <w:r>
        <w:rPr>
          <w:color w:val="000000"/>
          <w:u w:color="000000"/>
        </w:rPr>
        <w:br/>
        <w:t>(Dz. Urz. Woj. Łódzkiego poz. 5802) - w części odnoszącej się do obszaru objętego ustaleniami niniejszej uchwały.</w:t>
      </w:r>
    </w:p>
    <w:p w:rsidR="00A77B3E" w:rsidRDefault="0093320E">
      <w:pPr>
        <w:keepNext/>
        <w:keepLines/>
        <w:spacing w:before="240" w:after="120"/>
        <w:ind w:firstLine="567"/>
        <w:rPr>
          <w:color w:val="000000"/>
          <w:u w:color="000000"/>
        </w:rPr>
      </w:pPr>
      <w:r>
        <w:t>§ 21. </w:t>
      </w:r>
      <w:r>
        <w:rPr>
          <w:color w:val="000000"/>
          <w:u w:color="000000"/>
        </w:rPr>
        <w:t>Uchwała wchodzi w życie po upływie 14 dni od dnia jej ogłoszenia w Dzienniku Urzęd</w:t>
      </w:r>
      <w:r>
        <w:rPr>
          <w:color w:val="000000"/>
          <w:u w:color="000000"/>
        </w:rPr>
        <w:t>owym Województwa Łódzkiego.</w:t>
      </w:r>
    </w:p>
    <w:p w:rsidR="00A77B3E" w:rsidRDefault="0093320E">
      <w:pPr>
        <w:keepNext/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:rsidR="00A77B3E" w:rsidRDefault="0093320E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41B80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1B80" w:rsidRDefault="00241B80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1B80" w:rsidRDefault="0093320E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Rady 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134" w:right="1020" w:bottom="1134" w:left="1020" w:header="708" w:footer="708" w:gutter="0"/>
          <w:cols w:space="708"/>
          <w:docGrid w:linePitch="360"/>
        </w:sectPr>
      </w:pPr>
    </w:p>
    <w:p w:rsidR="00A77B3E" w:rsidRDefault="0093320E">
      <w:pPr>
        <w:keepNext/>
        <w:spacing w:after="120"/>
        <w:ind w:left="448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 LXXIV/2229/23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12 kwietnia 2023 r.</w:t>
      </w:r>
    </w:p>
    <w:p w:rsidR="00A77B3E" w:rsidRDefault="0093320E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Rysunek planu wykonany na mapie sytuacyjno-wysokościowej w skali 1:1 000</w:t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6270222" cy="4475371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222" cy="447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271443" cy="6530140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1443" cy="65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</w:t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271443" cy="6530140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1443" cy="65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2</w:t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273118" cy="6524043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3118" cy="652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3</w:t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271443" cy="6530140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1443" cy="65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4</w:t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270187" cy="6520994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0187" cy="652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5</w:t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272696" cy="6539286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2696" cy="653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6</w:t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6270627" cy="5525990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0627" cy="552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93320E">
      <w:pPr>
        <w:spacing w:before="120" w:after="120"/>
        <w:jc w:val="center"/>
        <w:rPr>
          <w:color w:val="000000"/>
          <w:u w:color="000000"/>
        </w:rPr>
        <w:sectPr w:rsidR="00A77B3E">
          <w:footerReference w:type="default" r:id="rId23"/>
          <w:endnotePr>
            <w:numFmt w:val="decimal"/>
          </w:endnotePr>
          <w:pgSz w:w="11906" w:h="16838"/>
          <w:pgMar w:top="1134" w:right="1020" w:bottom="1134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LEGENDA</w:t>
      </w:r>
    </w:p>
    <w:p w:rsidR="00A77B3E" w:rsidRDefault="0093320E">
      <w:pPr>
        <w:keepNext/>
        <w:spacing w:after="120"/>
        <w:ind w:left="448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 LXXIV/2229/23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12 kwietnia 2023 r.</w:t>
      </w:r>
    </w:p>
    <w:p w:rsidR="00A77B3E" w:rsidRDefault="0093320E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rozpatrzenia uwag do projektu planu </w:t>
      </w:r>
      <w:r>
        <w:rPr>
          <w:b/>
          <w:color w:val="000000"/>
          <w:u w:color="000000"/>
        </w:rPr>
        <w:t>wniesionych w związku z wyłożeniem do publicznego wglądu.</w:t>
      </w:r>
    </w:p>
    <w:p w:rsidR="00A77B3E" w:rsidRDefault="0093320E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położonej w rejonie ulic Grabińskiej i Jana Kasprowicza został wyłożony do publicznego wglądu w okresie od </w:t>
      </w:r>
      <w:r>
        <w:rPr>
          <w:color w:val="000000"/>
          <w:u w:color="000000"/>
        </w:rPr>
        <w:t>13 stycznia 2023 r. do 3 lutego 2023 r.</w:t>
      </w:r>
    </w:p>
    <w:p w:rsidR="00A77B3E" w:rsidRDefault="0093320E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 terminie wyznaczonym do wnoszenia uwag dotyczących projektu planu tj. do dnia 17 lutego 2023 r. nie wpłynęła żadna uwaga.</w:t>
      </w:r>
    </w:p>
    <w:p w:rsidR="00A77B3E" w:rsidRDefault="0093320E">
      <w:pPr>
        <w:spacing w:before="120" w:after="120"/>
        <w:rPr>
          <w:color w:val="000000"/>
          <w:u w:color="000000"/>
        </w:rPr>
        <w:sectPr w:rsidR="00A77B3E">
          <w:footerReference w:type="default" r:id="rId24"/>
          <w:endnotePr>
            <w:numFmt w:val="decimal"/>
          </w:endnotePr>
          <w:pgSz w:w="11906" w:h="16838"/>
          <w:pgMar w:top="1134" w:right="1020" w:bottom="1134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  </w:t>
      </w:r>
    </w:p>
    <w:p w:rsidR="00A77B3E" w:rsidRDefault="0093320E">
      <w:pPr>
        <w:keepNext/>
        <w:spacing w:after="120"/>
        <w:ind w:left="597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</w:t>
      </w:r>
      <w:r>
        <w:rPr>
          <w:color w:val="000000"/>
          <w:u w:color="000000"/>
        </w:rPr>
        <w:br/>
        <w:t>do uchwały Nr LXXIV/2229/23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12 kwietnia 2023 r.</w:t>
      </w:r>
    </w:p>
    <w:p w:rsidR="00A77B3E" w:rsidRDefault="0093320E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realizacji zapisanych w planie inwestycji z zakresu infrastruktury technicznej, które należą do zadań własnych gminy oraz zasadach </w:t>
      </w:r>
      <w:r>
        <w:rPr>
          <w:b/>
          <w:color w:val="000000"/>
          <w:u w:color="000000"/>
        </w:rPr>
        <w:t>ich finansowania, zgodnie z przepisami o finansach publicznych.</w:t>
      </w:r>
    </w:p>
    <w:p w:rsidR="00A77B3E" w:rsidRDefault="0093320E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należy:</w:t>
      </w:r>
    </w:p>
    <w:p w:rsidR="00A77B3E" w:rsidRDefault="0093320E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- wydzielenie i wykup terenu pod realizację nowej drogi gminnej,</w:t>
      </w:r>
    </w:p>
    <w:p w:rsidR="00A77B3E" w:rsidRDefault="0093320E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- budowa jezdni, chodników, sieci oświe</w:t>
      </w:r>
      <w:r>
        <w:rPr>
          <w:color w:val="000000"/>
          <w:u w:color="000000"/>
        </w:rPr>
        <w:t>tlenia ulicznego na drodze gminnej,</w:t>
      </w:r>
    </w:p>
    <w:p w:rsidR="00A77B3E" w:rsidRDefault="0093320E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- uzbrojenie terenów w sieć wodociągową, kanalizacji sanitarnej i deszczowej.</w:t>
      </w:r>
    </w:p>
    <w:p w:rsidR="00A77B3E" w:rsidRDefault="0093320E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Powyższe zadania będą umieszczone w programach rozwoju poszczególnych elementów zagospodarowania, a następnie w zadaniach rzeczowych budżetu </w:t>
      </w:r>
      <w:r>
        <w:rPr>
          <w:color w:val="000000"/>
          <w:u w:color="000000"/>
        </w:rPr>
        <w:t>gminy objętych wieloletnią prognozą finansową.</w:t>
      </w:r>
    </w:p>
    <w:p w:rsidR="00A77B3E" w:rsidRDefault="0093320E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Funduszu Ochrony Środowiska, a także innych możliwych do pozyskania środków ze</w:t>
      </w:r>
      <w:r>
        <w:rPr>
          <w:color w:val="000000"/>
          <w:u w:color="000000"/>
        </w:rPr>
        <w:t>wnętrznych.</w:t>
      </w:r>
    </w:p>
    <w:p w:rsidR="00A77B3E" w:rsidRDefault="0093320E">
      <w:pPr>
        <w:spacing w:before="120" w:after="120"/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1134" w:right="1020" w:bottom="1134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Niniejszy załącznik nie zawiera obciążeń Miasta z tytułu odszkodowań w trybie art. 36 ust. 1 ustawy.</w:t>
      </w:r>
    </w:p>
    <w:p w:rsidR="00A77B3E" w:rsidRDefault="0093320E">
      <w:pPr>
        <w:keepNext/>
        <w:spacing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4</w:t>
      </w:r>
      <w:r>
        <w:rPr>
          <w:color w:val="000000"/>
          <w:u w:color="000000"/>
        </w:rPr>
        <w:br/>
        <w:t>do uchwały Nr LXXIV/2229/23</w:t>
      </w:r>
      <w:r>
        <w:rPr>
          <w:color w:val="000000"/>
          <w:u w:color="000000"/>
        </w:rPr>
        <w:br/>
        <w:t>Rady M</w:t>
      </w:r>
      <w:r>
        <w:rPr>
          <w:color w:val="000000"/>
          <w:u w:color="000000"/>
        </w:rPr>
        <w:t>iejskiej w Łodzi</w:t>
      </w:r>
      <w:r>
        <w:rPr>
          <w:color w:val="000000"/>
          <w:u w:color="000000"/>
        </w:rPr>
        <w:br/>
        <w:t>z dnia 12 kwietnia 2023 r.</w:t>
      </w:r>
      <w:r>
        <w:rPr>
          <w:color w:val="000000"/>
          <w:u w:color="000000"/>
        </w:rPr>
        <w:br/>
      </w:r>
      <w:hyperlink r:id="rId26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:rsidR="00A77B3E" w:rsidRDefault="0093320E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Dane przestrzenne, o których mowa w art. 67a ust. 3 i 5 ustawy z dnia 27 marca 2003 r. o planowaniu i zagospodarowaniu przestrzennym (j.t. Dz.U. z 2020 r. </w:t>
      </w:r>
      <w:r>
        <w:rPr>
          <w:b/>
          <w:color w:val="000000"/>
          <w:u w:color="000000"/>
        </w:rPr>
        <w:t>poz. 293 z późn. zm.) ujawnione zostaną po kliknięciu w ikonę</w:t>
      </w:r>
    </w:p>
    <w:sectPr w:rsidR="00A77B3E">
      <w:footerReference w:type="default" r:id="rId27"/>
      <w:endnotePr>
        <w:numFmt w:val="decimal"/>
      </w:endnotePr>
      <w:pgSz w:w="11906" w:h="16838"/>
      <w:pgMar w:top="1134" w:right="1020" w:bottom="1134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3320E">
      <w:r>
        <w:separator/>
      </w:r>
    </w:p>
  </w:endnote>
  <w:endnote w:type="continuationSeparator" w:id="0">
    <w:p w:rsidR="00000000" w:rsidRDefault="00933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41B80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41B80" w:rsidRDefault="0093320E">
          <w:pPr>
            <w:jc w:val="left"/>
            <w:rPr>
              <w:sz w:val="18"/>
            </w:rPr>
          </w:pPr>
          <w:r>
            <w:rPr>
              <w:sz w:val="18"/>
            </w:rPr>
            <w:t>Id: 85A8B744-DBC7-4AF1-B4E4-5654A1716761.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41B80" w:rsidRDefault="0093320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241B80" w:rsidRDefault="00241B80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41B80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41B80" w:rsidRDefault="0093320E">
          <w:pPr>
            <w:jc w:val="left"/>
            <w:rPr>
              <w:sz w:val="18"/>
            </w:rPr>
          </w:pPr>
          <w:r>
            <w:rPr>
              <w:sz w:val="18"/>
            </w:rPr>
            <w:t>Id:</w:t>
          </w:r>
          <w:r>
            <w:rPr>
              <w:sz w:val="18"/>
            </w:rPr>
            <w:t xml:space="preserve"> 85A8B744-DBC7-4AF1-B4E4-5654A1716761.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41B80" w:rsidRDefault="0093320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241B80" w:rsidRDefault="00241B80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41B80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41B80" w:rsidRDefault="0093320E">
          <w:pPr>
            <w:jc w:val="left"/>
            <w:rPr>
              <w:sz w:val="18"/>
            </w:rPr>
          </w:pPr>
          <w:r>
            <w:rPr>
              <w:sz w:val="18"/>
            </w:rPr>
            <w:t>Id: 85A8B744-DBC7-4AF1-B4E4-5654A1716761.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41B80" w:rsidRDefault="0093320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241B80" w:rsidRDefault="00241B80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41B80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41B80" w:rsidRDefault="0093320E">
          <w:pPr>
            <w:jc w:val="left"/>
            <w:rPr>
              <w:sz w:val="18"/>
            </w:rPr>
          </w:pPr>
          <w:r>
            <w:rPr>
              <w:sz w:val="18"/>
            </w:rPr>
            <w:t>Id: 85A8B744-DBC7-4AF1-B4E4-5654A1716761.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41B80" w:rsidRDefault="0093320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241B80" w:rsidRDefault="00241B80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41B80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41B80" w:rsidRDefault="0093320E">
          <w:pPr>
            <w:jc w:val="left"/>
            <w:rPr>
              <w:sz w:val="18"/>
            </w:rPr>
          </w:pPr>
          <w:r>
            <w:rPr>
              <w:sz w:val="18"/>
            </w:rPr>
            <w:t>Id: 85A8B744-DBC7-4AF1-B4E4-5654A1716761.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41B80" w:rsidRDefault="0093320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241B80" w:rsidRDefault="00241B8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3320E">
      <w:r>
        <w:separator/>
      </w:r>
    </w:p>
  </w:footnote>
  <w:footnote w:type="continuationSeparator" w:id="0">
    <w:p w:rsidR="00000000" w:rsidRDefault="009332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241B80"/>
    <w:rsid w:val="0093320E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A1B50CC-9B01-4EE4-82C3-1422F9AE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2C0FDB05-0E5C-4210-B22E-807D2432220E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991E7CB0-739C-4B07-A282-0E740D9E85C1.jpg" TargetMode="External"/><Relationship Id="rId26" Type="http://schemas.openxmlformats.org/officeDocument/2006/relationships/hyperlink" Target="file:///C:\Users\mmatejko\AppData\Local\Temp\Legislator\CF017D94-E07F-41D3-84E4-F7A8B07B1009\Zalacznik4.g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Zalacznik4C5202FD-9C6E-4A53-846E-F8CFFFD152DA.jp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Zalacznik54CD59FC-0143-406E-8318-AA5B779D1864.jpg" TargetMode="External"/><Relationship Id="rId20" Type="http://schemas.openxmlformats.org/officeDocument/2006/relationships/image" Target="Zalacznik371A178F-1A69-4360-A1ED-EECD6F940755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ZalacznikAABA3856-958A-4299-A5CE-32A177EE8E35.jpg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D7D47697-BF49-4836-B8ED-06469A1DDAD3.jpg" TargetMode="External"/><Relationship Id="rId22" Type="http://schemas.openxmlformats.org/officeDocument/2006/relationships/image" Target="ZalacznikD41B24C7-F6E1-4FE7-B701-CB84176EFBCD.jpg" TargetMode="External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4580</Words>
  <Characters>27484</Characters>
  <Application>Microsoft Office Word</Application>
  <DocSecurity>0</DocSecurity>
  <Lines>229</Lines>
  <Paragraphs>63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LXXIV/2229/23 z dnia 12 kwietnia 2023 r.</vt:lpstr>
      <vt:lpstr/>
    </vt:vector>
  </TitlesOfParts>
  <Company>Rada Miejska w Łodzi</Company>
  <LinksUpToDate>false</LinksUpToDate>
  <CharactersWithSpaces>32001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LXXIV/2229/23 z dnia 12 kwietnia 2023 r.</dc:title>
  <dc:subject>w sprawie uchwalenia miejscowego planu zagospodarowania przestrzennego dla części obszaru miasta Łodzi położonej w^rejonie ulic Grabińskiej i^Jana Kasprowicza.</dc:subject>
  <dc:creator>mmatejko</dc:creator>
  <cp:lastModifiedBy>Małgorzata Matejko</cp:lastModifiedBy>
  <cp:revision>2</cp:revision>
  <dcterms:created xsi:type="dcterms:W3CDTF">2023-04-14T08:36:00Z</dcterms:created>
  <dcterms:modified xsi:type="dcterms:W3CDTF">2023-04-14T08:36:00Z</dcterms:modified>
  <cp:category>Akt prawny</cp:category>
</cp:coreProperties>
</file>