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64"/>
      </w:tblGrid>
      <w:tr w:rsidR="00607700" w:rsidRPr="00607700" w14:paraId="56C9A3CA" w14:textId="77777777" w:rsidTr="00607700">
        <w:trPr>
          <w:trHeight w:val="912"/>
        </w:trPr>
        <w:tc>
          <w:tcPr>
            <w:tcW w:w="9464" w:type="dxa"/>
            <w:vAlign w:val="center"/>
          </w:tcPr>
          <w:p w14:paraId="2F652859" w14:textId="77777777" w:rsidR="00607700" w:rsidRPr="00607700" w:rsidRDefault="00607700" w:rsidP="00607700">
            <w:pPr>
              <w:tabs>
                <w:tab w:val="left" w:pos="284"/>
              </w:tabs>
              <w:spacing w:after="200" w:line="276" w:lineRule="auto"/>
              <w:jc w:val="center"/>
              <w:rPr>
                <w:rFonts w:asciiTheme="minorHAnsi" w:hAnsiTheme="minorHAnsi"/>
                <w:b/>
                <w:sz w:val="28"/>
                <w:szCs w:val="28"/>
                <w:u w:val="single"/>
              </w:rPr>
            </w:pPr>
            <w:r w:rsidRPr="00607700">
              <w:rPr>
                <w:rFonts w:asciiTheme="minorHAnsi" w:hAnsiTheme="minorHAnsi"/>
                <w:b/>
                <w:sz w:val="28"/>
                <w:szCs w:val="28"/>
                <w:u w:val="single"/>
              </w:rPr>
              <w:t>Opis przedmiotu zamówienia:</w:t>
            </w:r>
          </w:p>
        </w:tc>
      </w:tr>
    </w:tbl>
    <w:p w14:paraId="109D64D6" w14:textId="77777777" w:rsidR="00607700" w:rsidRPr="00607700" w:rsidRDefault="00607700" w:rsidP="00607700">
      <w:pPr>
        <w:jc w:val="both"/>
        <w:rPr>
          <w:rFonts w:asciiTheme="minorHAnsi" w:hAnsiTheme="minorHAnsi"/>
          <w:b/>
          <w:color w:val="000000"/>
          <w:sz w:val="24"/>
          <w:szCs w:val="24"/>
        </w:rPr>
      </w:pPr>
    </w:p>
    <w:p w14:paraId="0132212A" w14:textId="77777777"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Przedmiotem zamówienia jest system ułatwiający  jednostkom oświatowym wyliczenie wysokości dodatku uzupełniającego dla nauczycieli zgodnie z art. 30a Karty Nauczyciela, przygotowanego w podziale na stopnie awansu zawodowego dla poszczególnych jednostek oświatowych. System ma umożliwić pozyskanie danych z programów do obsługi kadrowo - płacowej szkół i placówek oświatowych podległych Wydziałowi Edukacji UMŁ.</w:t>
      </w:r>
    </w:p>
    <w:p w14:paraId="7B2EFD4E" w14:textId="77777777" w:rsidR="00607700" w:rsidRPr="00607700" w:rsidRDefault="00607700" w:rsidP="00607700">
      <w:pPr>
        <w:jc w:val="both"/>
        <w:rPr>
          <w:rFonts w:asciiTheme="minorHAnsi" w:hAnsiTheme="minorHAnsi"/>
          <w:b/>
          <w:color w:val="000000"/>
          <w:sz w:val="24"/>
          <w:szCs w:val="24"/>
        </w:rPr>
      </w:pPr>
    </w:p>
    <w:p w14:paraId="54B88A41" w14:textId="77777777"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Udostępnienie aplikacji nastąpi na okres 12 miesięcy.</w:t>
      </w:r>
    </w:p>
    <w:p w14:paraId="469CBACD" w14:textId="77777777" w:rsidR="00607700" w:rsidRDefault="00607700" w:rsidP="00607700">
      <w:pPr>
        <w:jc w:val="both"/>
        <w:rPr>
          <w:rFonts w:asciiTheme="minorHAnsi" w:hAnsiTheme="minorHAnsi"/>
          <w:sz w:val="24"/>
          <w:szCs w:val="24"/>
          <w:u w:val="single"/>
        </w:rPr>
      </w:pPr>
    </w:p>
    <w:p w14:paraId="05B7267D" w14:textId="77777777" w:rsidR="0004053F" w:rsidRDefault="00607700" w:rsidP="0004053F">
      <w:pPr>
        <w:jc w:val="both"/>
        <w:rPr>
          <w:rFonts w:asciiTheme="minorHAnsi" w:hAnsiTheme="minorHAnsi"/>
          <w:sz w:val="24"/>
          <w:szCs w:val="24"/>
          <w:u w:val="single"/>
        </w:rPr>
      </w:pPr>
      <w:r w:rsidRPr="00607700">
        <w:rPr>
          <w:rFonts w:asciiTheme="minorHAnsi" w:hAnsiTheme="minorHAnsi"/>
          <w:sz w:val="24"/>
          <w:szCs w:val="24"/>
          <w:u w:val="single"/>
        </w:rPr>
        <w:t xml:space="preserve">Wymagane funkcje systemu:  </w:t>
      </w:r>
    </w:p>
    <w:p w14:paraId="5E4C3EFB" w14:textId="77777777" w:rsidR="0004053F" w:rsidRPr="0004053F" w:rsidRDefault="0004053F" w:rsidP="0004053F">
      <w:pPr>
        <w:jc w:val="both"/>
        <w:rPr>
          <w:rFonts w:asciiTheme="minorHAnsi" w:hAnsiTheme="minorHAnsi"/>
          <w:sz w:val="24"/>
          <w:szCs w:val="24"/>
          <w:u w:val="single"/>
        </w:rPr>
      </w:pPr>
    </w:p>
    <w:p w14:paraId="2E191E84" w14:textId="77777777" w:rsidR="00607700" w:rsidRPr="00607700" w:rsidRDefault="00607700" w:rsidP="00607700">
      <w:pPr>
        <w:numPr>
          <w:ilvl w:val="0"/>
          <w:numId w:val="2"/>
        </w:numPr>
        <w:tabs>
          <w:tab w:val="left" w:pos="284"/>
        </w:tabs>
        <w:spacing w:after="200"/>
        <w:ind w:hanging="786"/>
        <w:jc w:val="both"/>
        <w:rPr>
          <w:rFonts w:asciiTheme="minorHAnsi" w:hAnsiTheme="minorHAnsi"/>
          <w:sz w:val="24"/>
          <w:szCs w:val="24"/>
        </w:rPr>
      </w:pPr>
      <w:r w:rsidRPr="00607700">
        <w:rPr>
          <w:rFonts w:asciiTheme="minorHAnsi" w:hAnsiTheme="minorHAnsi"/>
          <w:sz w:val="24"/>
          <w:szCs w:val="24"/>
        </w:rPr>
        <w:t xml:space="preserve">Korzystanie z funkcjonalności pozwalających na wyznaczenie: </w:t>
      </w:r>
    </w:p>
    <w:p w14:paraId="14B4870C"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średniorocznej struktury zatrudnienia nauczycieli,  </w:t>
      </w:r>
    </w:p>
    <w:p w14:paraId="6CAD89B5"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średnich wynagrodzeń nauczycieli na poszczególnych stopniach awansu zawodowego,  </w:t>
      </w:r>
    </w:p>
    <w:p w14:paraId="5888E75A"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kwoty różnicy między wynagrodzeniami należnymi, a faktycznie naliczonymi nauczycielom wynagrodzeniami w poprzednim roku kalendarzowym </w:t>
      </w:r>
      <w:r w:rsidR="0004053F">
        <w:rPr>
          <w:rFonts w:asciiTheme="minorHAnsi" w:hAnsiTheme="minorHAnsi"/>
          <w:sz w:val="24"/>
          <w:szCs w:val="24"/>
        </w:rPr>
        <w:br/>
      </w:r>
      <w:r w:rsidRPr="00607700">
        <w:rPr>
          <w:rFonts w:asciiTheme="minorHAnsi" w:hAnsiTheme="minorHAnsi"/>
          <w:sz w:val="24"/>
          <w:szCs w:val="24"/>
        </w:rPr>
        <w:t xml:space="preserve">na poszczególnych stopniach awansu zawodowego w poszczególnych jednostkach oświatowych,  </w:t>
      </w:r>
    </w:p>
    <w:p w14:paraId="1720589D"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podziału jednorazowego dodatku uzupełniającego pomiędzy poszczególne placówki w podziale na stopnie awansu zawodowego.  </w:t>
      </w:r>
    </w:p>
    <w:p w14:paraId="4EF44E9C" w14:textId="14C72AFE" w:rsidR="00607700" w:rsidRPr="00607700" w:rsidRDefault="00607700" w:rsidP="00607700">
      <w:pPr>
        <w:numPr>
          <w:ilvl w:val="0"/>
          <w:numId w:val="2"/>
        </w:numPr>
        <w:tabs>
          <w:tab w:val="left" w:pos="284"/>
        </w:tabs>
        <w:spacing w:after="200"/>
        <w:ind w:left="284" w:hanging="284"/>
        <w:jc w:val="both"/>
        <w:rPr>
          <w:rFonts w:asciiTheme="minorHAnsi" w:hAnsiTheme="minorHAnsi"/>
          <w:color w:val="000000"/>
          <w:sz w:val="24"/>
          <w:szCs w:val="24"/>
        </w:rPr>
      </w:pPr>
      <w:r w:rsidRPr="00607700">
        <w:rPr>
          <w:rFonts w:asciiTheme="minorHAnsi" w:hAnsiTheme="minorHAnsi"/>
          <w:sz w:val="24"/>
          <w:szCs w:val="24"/>
        </w:rPr>
        <w:t xml:space="preserve">Gromadzenie w jednym miejscu i równoczesny dostęp do danych, pochodzących </w:t>
      </w:r>
      <w:r w:rsidRPr="00607700">
        <w:rPr>
          <w:rFonts w:asciiTheme="minorHAnsi" w:hAnsiTheme="minorHAnsi"/>
          <w:sz w:val="24"/>
          <w:szCs w:val="24"/>
        </w:rPr>
        <w:br/>
        <w:t xml:space="preserve">z wielu systemów kadrowo – płacowych dla wielu użytkowników </w:t>
      </w:r>
      <w:r w:rsidRPr="00607700">
        <w:rPr>
          <w:rFonts w:asciiTheme="minorHAnsi" w:hAnsiTheme="minorHAnsi"/>
          <w:color w:val="000000"/>
          <w:sz w:val="24"/>
          <w:szCs w:val="24"/>
        </w:rPr>
        <w:t xml:space="preserve">(możliwość eksportowania i importowania danych z funkcjonujących w Wydziale Edukacji </w:t>
      </w:r>
      <w:r w:rsidRPr="00607700">
        <w:rPr>
          <w:rFonts w:asciiTheme="minorHAnsi" w:hAnsiTheme="minorHAnsi"/>
          <w:color w:val="000000"/>
          <w:sz w:val="24"/>
          <w:szCs w:val="24"/>
        </w:rPr>
        <w:br/>
        <w:t xml:space="preserve">i w nadzorowanych </w:t>
      </w:r>
      <w:r w:rsidR="00D3508F" w:rsidRPr="00D3508F">
        <w:rPr>
          <w:rFonts w:asciiTheme="minorHAnsi" w:hAnsiTheme="minorHAnsi"/>
          <w:sz w:val="24"/>
          <w:szCs w:val="24"/>
        </w:rPr>
        <w:t>307</w:t>
      </w:r>
      <w:r w:rsidRPr="00607700">
        <w:rPr>
          <w:rFonts w:asciiTheme="minorHAnsi" w:hAnsiTheme="minorHAnsi"/>
          <w:color w:val="000000"/>
          <w:sz w:val="24"/>
          <w:szCs w:val="24"/>
        </w:rPr>
        <w:t xml:space="preserve"> placówkach oświatowych  systemów informatycznych </w:t>
      </w:r>
      <w:r w:rsidRPr="00607700">
        <w:rPr>
          <w:rFonts w:asciiTheme="minorHAnsi" w:hAnsiTheme="minorHAnsi"/>
          <w:color w:val="000000"/>
          <w:sz w:val="24"/>
          <w:szCs w:val="24"/>
        </w:rPr>
        <w:br/>
        <w:t>w odpowiednim formacie pliku) w zakresie: </w:t>
      </w:r>
    </w:p>
    <w:p w14:paraId="0D788CC5" w14:textId="77777777"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liczby etatów w podziale na miesiące w poszczególnych jednostkach oświatowych,   </w:t>
      </w:r>
    </w:p>
    <w:p w14:paraId="64BD09BA" w14:textId="77777777"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stopni awansu zawodowego,  </w:t>
      </w:r>
    </w:p>
    <w:p w14:paraId="432B0C32"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faktycznie poniesionych wydatków na wynagrodzenia nauczycieli – również </w:t>
      </w:r>
      <w:r w:rsidRPr="00607700">
        <w:rPr>
          <w:rFonts w:asciiTheme="minorHAnsi" w:hAnsiTheme="minorHAnsi"/>
          <w:sz w:val="24"/>
          <w:szCs w:val="24"/>
        </w:rPr>
        <w:br/>
        <w:t xml:space="preserve">w podziale na miesiące i stopnie awansu,  </w:t>
      </w:r>
    </w:p>
    <w:p w14:paraId="657FBC05" w14:textId="77777777" w:rsidR="00607700" w:rsidRPr="00607700" w:rsidRDefault="00607700" w:rsidP="00607700">
      <w:pPr>
        <w:numPr>
          <w:ilvl w:val="0"/>
          <w:numId w:val="1"/>
        </w:numPr>
        <w:tabs>
          <w:tab w:val="left" w:pos="284"/>
        </w:tabs>
        <w:spacing w:after="200"/>
        <w:ind w:left="714" w:hanging="357"/>
        <w:jc w:val="both"/>
        <w:rPr>
          <w:rFonts w:asciiTheme="minorHAnsi" w:hAnsiTheme="minorHAnsi"/>
          <w:sz w:val="24"/>
          <w:szCs w:val="24"/>
        </w:rPr>
      </w:pPr>
      <w:r w:rsidRPr="00607700">
        <w:rPr>
          <w:rFonts w:asciiTheme="minorHAnsi" w:hAnsiTheme="minorHAnsi"/>
          <w:sz w:val="24"/>
          <w:szCs w:val="24"/>
        </w:rPr>
        <w:t xml:space="preserve">współczynników podziału niedopłaty (tj. osobistej stawki wynagrodzenia zasadniczego);  </w:t>
      </w:r>
    </w:p>
    <w:p w14:paraId="39DC925B" w14:textId="77777777" w:rsidR="00062D1E" w:rsidRDefault="00607700" w:rsidP="00062D1E">
      <w:pPr>
        <w:spacing w:after="120"/>
        <w:jc w:val="both"/>
        <w:rPr>
          <w:rFonts w:asciiTheme="minorHAnsi" w:hAnsiTheme="minorHAnsi" w:cstheme="minorHAnsi"/>
          <w:bCs/>
          <w:sz w:val="24"/>
          <w:szCs w:val="24"/>
          <w:lang w:eastAsia="pl-PL"/>
        </w:rPr>
      </w:pPr>
      <w:r w:rsidRPr="00607700">
        <w:rPr>
          <w:rFonts w:asciiTheme="minorHAnsi" w:hAnsiTheme="minorHAnsi"/>
          <w:sz w:val="24"/>
          <w:szCs w:val="24"/>
        </w:rPr>
        <w:t>Powyżej wymienione metody obliczeń wynikające z zapisów w art. 30a Karty Nauczyciela winny być w pełni zgodne ze stanowiskiem MEN wyrażonym w publikacji „Opis sposobu wykonania przepisów art. 30a i 30b ustawy Karta Nauczyciela</w:t>
      </w:r>
      <w:r w:rsidRPr="00062D1E">
        <w:rPr>
          <w:rFonts w:asciiTheme="minorHAnsi" w:hAnsiTheme="minorHAnsi" w:cstheme="minorHAnsi"/>
          <w:sz w:val="24"/>
          <w:szCs w:val="24"/>
        </w:rPr>
        <w:t>”</w:t>
      </w:r>
      <w:r w:rsidR="00062D1E" w:rsidRPr="00062D1E">
        <w:rPr>
          <w:rFonts w:asciiTheme="minorHAnsi" w:hAnsiTheme="minorHAnsi" w:cstheme="minorHAnsi"/>
          <w:sz w:val="24"/>
          <w:szCs w:val="24"/>
        </w:rPr>
        <w:t xml:space="preserve"> </w:t>
      </w:r>
      <w:r w:rsidR="00062D1E" w:rsidRPr="00062D1E">
        <w:rPr>
          <w:rFonts w:asciiTheme="minorHAnsi" w:hAnsiTheme="minorHAnsi" w:cstheme="minorHAnsi"/>
          <w:bCs/>
          <w:sz w:val="24"/>
          <w:szCs w:val="24"/>
          <w:lang w:eastAsia="pl-PL"/>
        </w:rPr>
        <w:t xml:space="preserve">oraz zmian wynikających </w:t>
      </w:r>
      <w:r w:rsidR="00062D1E">
        <w:rPr>
          <w:rFonts w:asciiTheme="minorHAnsi" w:hAnsiTheme="minorHAnsi" w:cstheme="minorHAnsi"/>
          <w:bCs/>
          <w:sz w:val="24"/>
          <w:szCs w:val="24"/>
          <w:lang w:eastAsia="pl-PL"/>
        </w:rPr>
        <w:br/>
      </w:r>
      <w:r w:rsidR="00062D1E" w:rsidRPr="00062D1E">
        <w:rPr>
          <w:rFonts w:asciiTheme="minorHAnsi" w:hAnsiTheme="minorHAnsi" w:cstheme="minorHAnsi"/>
          <w:bCs/>
          <w:sz w:val="24"/>
          <w:szCs w:val="24"/>
          <w:lang w:eastAsia="pl-PL"/>
        </w:rPr>
        <w:t>z projektu</w:t>
      </w:r>
      <w:r w:rsidR="00062D1E" w:rsidRPr="00062D1E">
        <w:rPr>
          <w:rFonts w:asciiTheme="minorHAnsi" w:hAnsiTheme="minorHAnsi" w:cstheme="minorHAnsi"/>
          <w:b/>
          <w:bCs/>
          <w:sz w:val="24"/>
          <w:szCs w:val="24"/>
          <w:lang w:eastAsia="pl-PL"/>
        </w:rPr>
        <w:t xml:space="preserve"> </w:t>
      </w:r>
      <w:r w:rsidR="00062D1E" w:rsidRPr="00062D1E">
        <w:rPr>
          <w:rFonts w:asciiTheme="minorHAnsi" w:hAnsiTheme="minorHAnsi" w:cstheme="minorHAnsi"/>
          <w:sz w:val="24"/>
          <w:szCs w:val="24"/>
          <w:lang w:eastAsia="pl-PL"/>
        </w:rPr>
        <w:t xml:space="preserve">Rozporządzenia Ministra Edukacji i Nauki w sprawie </w:t>
      </w:r>
      <w:r w:rsidR="00062D1E" w:rsidRPr="00062D1E">
        <w:rPr>
          <w:rFonts w:asciiTheme="minorHAnsi" w:hAnsiTheme="minorHAnsi" w:cstheme="minorHAnsi"/>
          <w:bCs/>
          <w:sz w:val="24"/>
          <w:szCs w:val="24"/>
          <w:lang w:eastAsia="pl-PL"/>
        </w:rPr>
        <w:t xml:space="preserve">sposobu opracowywania sprawozdania z wysokości średnich wynagrodzeń nauczycieli. W chwili obecnej projekt z dnia </w:t>
      </w:r>
      <w:r w:rsidR="00062D1E" w:rsidRPr="00062D1E">
        <w:rPr>
          <w:rFonts w:asciiTheme="minorHAnsi" w:hAnsiTheme="minorHAnsi" w:cstheme="minorHAnsi"/>
          <w:bCs/>
          <w:sz w:val="24"/>
          <w:szCs w:val="24"/>
          <w:lang w:eastAsia="pl-PL"/>
        </w:rPr>
        <w:lastRenderedPageBreak/>
        <w:t>9 listopada 2022 r. znajduje się w trakcie legislacji i jest dostępny na stronie Rządowego Centrum Legislacji:</w:t>
      </w:r>
    </w:p>
    <w:p w14:paraId="705CEE32" w14:textId="4F52E308" w:rsidR="00607700" w:rsidRPr="00062D1E" w:rsidRDefault="00062D1E" w:rsidP="00062D1E">
      <w:pPr>
        <w:spacing w:after="120"/>
        <w:jc w:val="both"/>
        <w:rPr>
          <w:rFonts w:asciiTheme="minorHAnsi" w:hAnsiTheme="minorHAnsi" w:cstheme="minorHAnsi"/>
          <w:bCs/>
          <w:sz w:val="24"/>
          <w:szCs w:val="24"/>
          <w:lang w:eastAsia="pl-PL"/>
        </w:rPr>
      </w:pPr>
      <w:r w:rsidRPr="00062D1E">
        <w:rPr>
          <w:rFonts w:asciiTheme="minorHAnsi" w:hAnsiTheme="minorHAnsi" w:cstheme="minorHAnsi"/>
          <w:bCs/>
          <w:sz w:val="24"/>
          <w:szCs w:val="24"/>
          <w:lang w:eastAsia="pl-PL"/>
        </w:rPr>
        <w:t xml:space="preserve"> </w:t>
      </w:r>
      <w:hyperlink r:id="rId7" w:anchor="12926251" w:history="1">
        <w:r w:rsidRPr="00062D1E">
          <w:rPr>
            <w:rStyle w:val="Hipercze"/>
            <w:rFonts w:asciiTheme="minorHAnsi" w:hAnsiTheme="minorHAnsi" w:cstheme="minorHAnsi"/>
            <w:bCs/>
            <w:sz w:val="24"/>
            <w:szCs w:val="24"/>
            <w:lang w:eastAsia="pl-PL"/>
          </w:rPr>
          <w:t>https://legislacja.rcl.gov.pl/projekt/12366159/katalog/12926251#12926251</w:t>
        </w:r>
      </w:hyperlink>
    </w:p>
    <w:p w14:paraId="382AE0F6" w14:textId="77777777" w:rsidR="00607700" w:rsidRPr="00607700" w:rsidRDefault="00607700" w:rsidP="00607700">
      <w:pPr>
        <w:numPr>
          <w:ilvl w:val="0"/>
          <w:numId w:val="2"/>
        </w:numPr>
        <w:tabs>
          <w:tab w:val="left" w:pos="284"/>
        </w:tabs>
        <w:spacing w:after="200" w:line="360" w:lineRule="auto"/>
        <w:ind w:hanging="644"/>
        <w:jc w:val="both"/>
        <w:rPr>
          <w:rFonts w:asciiTheme="minorHAnsi" w:hAnsiTheme="minorHAnsi"/>
          <w:sz w:val="24"/>
          <w:szCs w:val="24"/>
        </w:rPr>
      </w:pPr>
      <w:r w:rsidRPr="00607700">
        <w:rPr>
          <w:rFonts w:asciiTheme="minorHAnsi" w:hAnsiTheme="minorHAnsi"/>
          <w:sz w:val="24"/>
          <w:szCs w:val="24"/>
        </w:rPr>
        <w:t>Ponadto aplikacja powinna umożliwiać:</w:t>
      </w:r>
    </w:p>
    <w:p w14:paraId="60050D50" w14:textId="74A3A165" w:rsidR="00607700" w:rsidRPr="003E3BB6" w:rsidRDefault="00607700" w:rsidP="00607700">
      <w:pPr>
        <w:numPr>
          <w:ilvl w:val="0"/>
          <w:numId w:val="4"/>
        </w:numPr>
        <w:tabs>
          <w:tab w:val="left" w:pos="284"/>
        </w:tabs>
        <w:spacing w:after="200"/>
        <w:ind w:left="697" w:hanging="357"/>
        <w:jc w:val="both"/>
        <w:rPr>
          <w:rFonts w:asciiTheme="minorHAnsi" w:hAnsiTheme="minorHAnsi"/>
          <w:sz w:val="24"/>
          <w:szCs w:val="24"/>
        </w:rPr>
      </w:pPr>
      <w:r w:rsidRPr="003E3BB6">
        <w:rPr>
          <w:rFonts w:asciiTheme="minorHAnsi" w:hAnsiTheme="minorHAnsi"/>
          <w:sz w:val="24"/>
          <w:szCs w:val="24"/>
        </w:rPr>
        <w:t>jednostkom oświatowym zdalny dostęp do danych płacowych, możliwość ich modyfikacji i sukcesywnego uzupełniania oraz</w:t>
      </w:r>
      <w:r w:rsidR="00D06E1A">
        <w:rPr>
          <w:rFonts w:asciiTheme="minorHAnsi" w:hAnsiTheme="minorHAnsi"/>
          <w:sz w:val="24"/>
          <w:szCs w:val="24"/>
        </w:rPr>
        <w:t xml:space="preserve"> plikowego i</w:t>
      </w:r>
      <w:r w:rsidRPr="003E3BB6">
        <w:rPr>
          <w:rFonts w:asciiTheme="minorHAnsi" w:hAnsiTheme="minorHAnsi"/>
          <w:sz w:val="24"/>
          <w:szCs w:val="24"/>
        </w:rPr>
        <w:t xml:space="preserve"> bezplikowego</w:t>
      </w:r>
      <w:r w:rsidR="00E03FD1">
        <w:rPr>
          <w:rFonts w:asciiTheme="minorHAnsi" w:hAnsiTheme="minorHAnsi"/>
          <w:sz w:val="24"/>
          <w:szCs w:val="24"/>
        </w:rPr>
        <w:t xml:space="preserve"> np. ręcznego</w:t>
      </w:r>
      <w:r w:rsidRPr="003E3BB6">
        <w:rPr>
          <w:rFonts w:asciiTheme="minorHAnsi" w:hAnsiTheme="minorHAnsi"/>
          <w:sz w:val="24"/>
          <w:szCs w:val="24"/>
        </w:rPr>
        <w:t xml:space="preserve"> przekazani</w:t>
      </w:r>
      <w:r w:rsidR="003E3BB6" w:rsidRPr="003E3BB6">
        <w:rPr>
          <w:rFonts w:asciiTheme="minorHAnsi" w:hAnsiTheme="minorHAnsi"/>
          <w:sz w:val="24"/>
          <w:szCs w:val="24"/>
        </w:rPr>
        <w:t>a</w:t>
      </w:r>
      <w:r w:rsidRPr="003E3BB6">
        <w:rPr>
          <w:rFonts w:asciiTheme="minorHAnsi" w:hAnsiTheme="minorHAnsi"/>
          <w:sz w:val="24"/>
          <w:szCs w:val="24"/>
        </w:rPr>
        <w:t xml:space="preserve"> danych z systemu płacowego,</w:t>
      </w:r>
    </w:p>
    <w:p w14:paraId="3CDCAEFF" w14:textId="42D15AD2"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możliwość przygotowania zasad nalicze</w:t>
      </w:r>
      <w:r w:rsidR="00062D1E">
        <w:rPr>
          <w:rFonts w:asciiTheme="minorHAnsi" w:hAnsiTheme="minorHAnsi"/>
          <w:sz w:val="24"/>
          <w:szCs w:val="24"/>
        </w:rPr>
        <w:t>nia</w:t>
      </w:r>
      <w:r w:rsidRPr="00607700">
        <w:rPr>
          <w:rFonts w:asciiTheme="minorHAnsi" w:hAnsiTheme="minorHAnsi"/>
          <w:sz w:val="24"/>
          <w:szCs w:val="24"/>
        </w:rPr>
        <w:t xml:space="preserve"> oraz kwot wyrówna</w:t>
      </w:r>
      <w:r w:rsidR="00062D1E">
        <w:rPr>
          <w:rFonts w:asciiTheme="minorHAnsi" w:hAnsiTheme="minorHAnsi"/>
          <w:sz w:val="24"/>
          <w:szCs w:val="24"/>
        </w:rPr>
        <w:t>nia</w:t>
      </w:r>
      <w:r w:rsidRPr="00607700">
        <w:rPr>
          <w:rFonts w:asciiTheme="minorHAnsi" w:hAnsiTheme="minorHAnsi"/>
          <w:sz w:val="24"/>
          <w:szCs w:val="24"/>
        </w:rPr>
        <w:t xml:space="preserve"> pracownikom organu prowadzącego, a jednostkom oświatowym pobranie odpowiednich danych niezbędnych do przygotowania wypłat jednorazowego dodatku uzupełniającego </w:t>
      </w:r>
      <w:r w:rsidR="0004053F">
        <w:rPr>
          <w:rFonts w:asciiTheme="minorHAnsi" w:hAnsiTheme="minorHAnsi"/>
          <w:sz w:val="24"/>
          <w:szCs w:val="24"/>
        </w:rPr>
        <w:br/>
      </w:r>
      <w:r w:rsidRPr="00607700">
        <w:rPr>
          <w:rFonts w:asciiTheme="minorHAnsi" w:hAnsiTheme="minorHAnsi"/>
          <w:sz w:val="24"/>
          <w:szCs w:val="24"/>
        </w:rPr>
        <w:t>dla nauczycieli zatrudnionych w tych jednostkach,</w:t>
      </w:r>
    </w:p>
    <w:p w14:paraId="79324CEB"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analizowanie zgromadzonych danych płacowych w różnych zakresach za pomocą nieskomplikowanych filtrów,</w:t>
      </w:r>
    </w:p>
    <w:p w14:paraId="19BDBCDF"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bieżącą kontrolę kompletności wprowadzanych danych, </w:t>
      </w:r>
    </w:p>
    <w:p w14:paraId="1F038743"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bieżącą weryfikację poprawności składanych przez jednostki oświatowe danych  </w:t>
      </w:r>
      <w:r w:rsidR="0004053F">
        <w:rPr>
          <w:rFonts w:asciiTheme="minorHAnsi" w:hAnsiTheme="minorHAnsi"/>
          <w:sz w:val="24"/>
          <w:szCs w:val="24"/>
        </w:rPr>
        <w:br/>
      </w:r>
      <w:r w:rsidRPr="00607700">
        <w:rPr>
          <w:rFonts w:asciiTheme="minorHAnsi" w:hAnsiTheme="minorHAnsi"/>
          <w:sz w:val="24"/>
          <w:szCs w:val="24"/>
        </w:rPr>
        <w:t xml:space="preserve">w zakresie wypłaconych wynagrodzeń, </w:t>
      </w:r>
    </w:p>
    <w:p w14:paraId="6568DD6B"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bieżącą kontrolę kwoty niedopłaty (w poszczególnych miesiącach),</w:t>
      </w:r>
    </w:p>
    <w:p w14:paraId="03034809"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 sporządzenie raportu dla RIO zgodnie ze wzorcem publikowanym przez MEN,</w:t>
      </w:r>
    </w:p>
    <w:p w14:paraId="2FEF45E8"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publikowanie wyników z przeprowadzonych analiz – kwot dodatków uzupełniających dla nauczycieli w poszczególnych placówkach,</w:t>
      </w:r>
    </w:p>
    <w:p w14:paraId="09599773"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 ramach aplikacji pracownikom jednostek oświatowych oraz  pracownikom organu prowadzącego będą świadczone usługi serwisowe obejmujące rejestrację przypadków niepoprawnego działania  oprogramowania oraz udzielanie  wyjaśnień i porad związanych z korzystaniem z aplikacji. </w:t>
      </w:r>
    </w:p>
    <w:p w14:paraId="4D13C9CE"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jest zobowiązany do udostępnienia przestrzeni dyskowej na własnym serwerze, na którym zostanie zamieszczone oprogramowanie, administrowania oprogramowaniem, zabezpieczenia go za pomocą zapór oraz sporządzania codziennie kopii danych, (które są przechowywane przez okres co najmniej 10 dni i odtwarzane </w:t>
      </w:r>
      <w:r w:rsidR="0004053F">
        <w:rPr>
          <w:rFonts w:asciiTheme="minorHAnsi" w:hAnsiTheme="minorHAnsi"/>
          <w:sz w:val="24"/>
          <w:szCs w:val="24"/>
        </w:rPr>
        <w:br/>
      </w:r>
      <w:r w:rsidRPr="00607700">
        <w:rPr>
          <w:rFonts w:asciiTheme="minorHAnsi" w:hAnsiTheme="minorHAnsi"/>
          <w:sz w:val="24"/>
          <w:szCs w:val="24"/>
        </w:rPr>
        <w:t xml:space="preserve">w przypadku awarii)  na serwerach zlokalizowanych w zasobach sieciowych przez niego zarządzanych. </w:t>
      </w:r>
    </w:p>
    <w:p w14:paraId="0B31B211"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zapewni prawidłowe funkcjonowanie serwerów, a po zakończeniu świadczenia usługi zarchiwizowanie gromadzonych danych i przekazanie ich </w:t>
      </w:r>
      <w:r w:rsidRPr="00607700">
        <w:rPr>
          <w:rFonts w:asciiTheme="minorHAnsi" w:hAnsiTheme="minorHAnsi"/>
          <w:sz w:val="24"/>
          <w:szCs w:val="24"/>
        </w:rPr>
        <w:br/>
        <w:t>w miejsce wskazane przez usługobiorcę.</w:t>
      </w:r>
    </w:p>
    <w:sectPr w:rsidR="00607700" w:rsidRPr="006077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212A" w14:textId="77777777" w:rsidR="00062F53" w:rsidRDefault="00062F53" w:rsidP="0004053F">
      <w:r>
        <w:separator/>
      </w:r>
    </w:p>
  </w:endnote>
  <w:endnote w:type="continuationSeparator" w:id="0">
    <w:p w14:paraId="42FF62FF" w14:textId="77777777" w:rsidR="00062F53" w:rsidRDefault="00062F53" w:rsidP="000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0621" w14:textId="77777777" w:rsidR="00062F53" w:rsidRDefault="00062F53" w:rsidP="0004053F">
      <w:r>
        <w:separator/>
      </w:r>
    </w:p>
  </w:footnote>
  <w:footnote w:type="continuationSeparator" w:id="0">
    <w:p w14:paraId="08761D48" w14:textId="77777777" w:rsidR="00062F53" w:rsidRDefault="00062F53" w:rsidP="0004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582" w14:textId="649C26D6" w:rsidR="0004053F" w:rsidRPr="002A3AB8" w:rsidRDefault="0004053F" w:rsidP="0004053F">
    <w:pPr>
      <w:pStyle w:val="Nagwek"/>
      <w:jc w:val="right"/>
    </w:pPr>
    <w:r w:rsidRPr="002A3AB8">
      <w:t>DEP-Ed-V.271.</w:t>
    </w:r>
    <w:r w:rsidR="00E03FD1">
      <w:t>1</w:t>
    </w:r>
    <w:r w:rsidRPr="002A3AB8">
      <w:t>.202</w:t>
    </w:r>
    <w:r w:rsidR="002517C9">
      <w:t>2</w:t>
    </w:r>
  </w:p>
  <w:p w14:paraId="5D076A60" w14:textId="77777777" w:rsidR="0004053F" w:rsidRPr="0004053F" w:rsidRDefault="0004053F" w:rsidP="0004053F">
    <w:pPr>
      <w:pStyle w:val="Nagwek"/>
    </w:pPr>
    <w:r w:rsidRPr="0004053F">
      <w:t>Załącznik nr 1 do 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7DE"/>
    <w:multiLevelType w:val="hybridMultilevel"/>
    <w:tmpl w:val="BDF05A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12D17"/>
    <w:multiLevelType w:val="hybridMultilevel"/>
    <w:tmpl w:val="2AA20A70"/>
    <w:lvl w:ilvl="0" w:tplc="37E837C6">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4B0AF0"/>
    <w:multiLevelType w:val="hybridMultilevel"/>
    <w:tmpl w:val="82463E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72782E7C"/>
    <w:multiLevelType w:val="hybridMultilevel"/>
    <w:tmpl w:val="A47A69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93540">
    <w:abstractNumId w:val="1"/>
  </w:num>
  <w:num w:numId="2" w16cid:durableId="16011224">
    <w:abstractNumId w:val="0"/>
  </w:num>
  <w:num w:numId="3" w16cid:durableId="1492865493">
    <w:abstractNumId w:val="3"/>
  </w:num>
  <w:num w:numId="4" w16cid:durableId="418910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00"/>
    <w:rsid w:val="0001001B"/>
    <w:rsid w:val="0004053F"/>
    <w:rsid w:val="00062D1E"/>
    <w:rsid w:val="00062F53"/>
    <w:rsid w:val="000F7390"/>
    <w:rsid w:val="002517C9"/>
    <w:rsid w:val="002A3AB8"/>
    <w:rsid w:val="003E3BB6"/>
    <w:rsid w:val="004D6009"/>
    <w:rsid w:val="005C2E60"/>
    <w:rsid w:val="005E6D01"/>
    <w:rsid w:val="006035E3"/>
    <w:rsid w:val="00607700"/>
    <w:rsid w:val="006E6558"/>
    <w:rsid w:val="00836BB9"/>
    <w:rsid w:val="00864D2D"/>
    <w:rsid w:val="008E58B5"/>
    <w:rsid w:val="009432B0"/>
    <w:rsid w:val="00A96E04"/>
    <w:rsid w:val="00AB1A35"/>
    <w:rsid w:val="00AF4471"/>
    <w:rsid w:val="00C132AF"/>
    <w:rsid w:val="00C67E21"/>
    <w:rsid w:val="00CA5B3D"/>
    <w:rsid w:val="00CB2710"/>
    <w:rsid w:val="00D06E1A"/>
    <w:rsid w:val="00D3508F"/>
    <w:rsid w:val="00E03FD1"/>
    <w:rsid w:val="00E64AD3"/>
    <w:rsid w:val="00FB4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160B"/>
  <w15:docId w15:val="{F8B93EC3-E254-4802-80FC-9F279F9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A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D3"/>
    <w:pPr>
      <w:ind w:left="720"/>
      <w:contextualSpacing/>
    </w:pPr>
  </w:style>
  <w:style w:type="table" w:styleId="Tabela-Siatka">
    <w:name w:val="Table Grid"/>
    <w:basedOn w:val="Standardowy"/>
    <w:uiPriority w:val="59"/>
    <w:rsid w:val="0060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4053F"/>
    <w:pPr>
      <w:tabs>
        <w:tab w:val="center" w:pos="4536"/>
        <w:tab w:val="right" w:pos="9072"/>
      </w:tabs>
    </w:pPr>
  </w:style>
  <w:style w:type="character" w:customStyle="1" w:styleId="NagwekZnak">
    <w:name w:val="Nagłówek Znak"/>
    <w:basedOn w:val="Domylnaczcionkaakapitu"/>
    <w:link w:val="Nagwek"/>
    <w:uiPriority w:val="99"/>
    <w:rsid w:val="0004053F"/>
  </w:style>
  <w:style w:type="paragraph" w:styleId="Stopka">
    <w:name w:val="footer"/>
    <w:basedOn w:val="Normalny"/>
    <w:link w:val="StopkaZnak"/>
    <w:uiPriority w:val="99"/>
    <w:unhideWhenUsed/>
    <w:rsid w:val="0004053F"/>
    <w:pPr>
      <w:tabs>
        <w:tab w:val="center" w:pos="4536"/>
        <w:tab w:val="right" w:pos="9072"/>
      </w:tabs>
    </w:pPr>
  </w:style>
  <w:style w:type="character" w:customStyle="1" w:styleId="StopkaZnak">
    <w:name w:val="Stopka Znak"/>
    <w:basedOn w:val="Domylnaczcionkaakapitu"/>
    <w:link w:val="Stopka"/>
    <w:uiPriority w:val="99"/>
    <w:rsid w:val="0004053F"/>
  </w:style>
  <w:style w:type="character" w:styleId="Hipercze">
    <w:name w:val="Hyperlink"/>
    <w:uiPriority w:val="99"/>
    <w:unhideWhenUsed/>
    <w:rsid w:val="0006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ja.rcl.gov.pl/projekt/12366159/katalog/12926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Laskowska</dc:creator>
  <cp:lastModifiedBy>Katarzyna Laskowska</cp:lastModifiedBy>
  <cp:revision>2</cp:revision>
  <dcterms:created xsi:type="dcterms:W3CDTF">2022-12-30T11:54:00Z</dcterms:created>
  <dcterms:modified xsi:type="dcterms:W3CDTF">2022-12-30T11:54:00Z</dcterms:modified>
</cp:coreProperties>
</file>