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453" w:rsidRDefault="00323453" w:rsidP="00331BFE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rPr>
          <w:rFonts w:ascii="Calibri" w:eastAsia="Times New Roman" w:hAnsi="Calibri" w:cs="Calibri"/>
          <w:color w:val="000000"/>
          <w:lang w:eastAsia="pl-PL"/>
        </w:rPr>
      </w:pP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Załącznik </w:t>
      </w:r>
      <w:r w:rsidR="007914AC">
        <w:rPr>
          <w:rFonts w:ascii="Calibri" w:eastAsia="Times New Roman" w:hAnsi="Calibri" w:cs="Calibri"/>
          <w:color w:val="000000"/>
          <w:lang w:eastAsia="pl-PL"/>
        </w:rPr>
        <w:t xml:space="preserve">nr 4 </w:t>
      </w:r>
      <w:r w:rsidRPr="00323453">
        <w:rPr>
          <w:rFonts w:ascii="Calibri" w:eastAsia="Times New Roman" w:hAnsi="Calibri" w:cs="Calibri"/>
          <w:color w:val="000000"/>
          <w:lang w:eastAsia="pl-PL"/>
        </w:rPr>
        <w:t>do uchwały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nr 102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 RM </w:t>
      </w:r>
      <w:r w:rsidR="002D4268">
        <w:rPr>
          <w:rFonts w:ascii="Calibri" w:eastAsia="Times New Roman" w:hAnsi="Calibri" w:cs="Calibri"/>
          <w:color w:val="000000"/>
          <w:lang w:eastAsia="pl-PL"/>
        </w:rPr>
        <w:br/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 dnia </w:t>
      </w:r>
      <w:r w:rsidR="002D4268">
        <w:rPr>
          <w:rFonts w:ascii="Calibri" w:eastAsia="Times New Roman" w:hAnsi="Calibri" w:cs="Calibri"/>
          <w:color w:val="000000"/>
          <w:lang w:eastAsia="pl-PL"/>
        </w:rPr>
        <w:t>23 lipca 2020 r. - ujednolicony</w:t>
      </w:r>
    </w:p>
    <w:p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763"/>
        <w:gridCol w:w="1889"/>
      </w:tblGrid>
      <w:tr w:rsidR="008378DE" w:rsidRPr="00323453" w:rsidTr="00E96803">
        <w:trPr>
          <w:trHeight w:val="450"/>
        </w:trPr>
        <w:tc>
          <w:tcPr>
            <w:tcW w:w="3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1D7F9E" w:rsidRPr="001D7F9E" w:rsidRDefault="00331BF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1D7F9E"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  <w:r w:rsidR="00E64C3B">
              <w:rPr>
                <w:rFonts w:ascii="Calibri" w:eastAsia="Times New Roman" w:hAnsi="Calibri" w:cs="Calibri"/>
                <w:color w:val="000000"/>
                <w:lang w:eastAsia="pl-PL"/>
              </w:rPr>
              <w:t>/województwo</w:t>
            </w: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B5671" w:rsidRDefault="005B5671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Gmina Miasto Łódź</w:t>
            </w: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1D7F9E" w:rsidRPr="003662CA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B5671" w:rsidRDefault="005B5671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1061011</w:t>
            </w: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323453" w:rsidRPr="00331BFE" w:rsidRDefault="00E01B5A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</w:t>
            </w:r>
            <w:r w:rsidR="001D7F9E"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4D0B" w:rsidRDefault="00674D0B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323453" w:rsidRPr="00323453" w:rsidRDefault="008378DE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uzyskanie </w:t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środków </w:t>
            </w:r>
            <w:r w:rsidR="00674D0B">
              <w:t xml:space="preserve">Funduszu </w:t>
            </w:r>
            <w:r w:rsidR="00674D0B" w:rsidRPr="00802D4F">
              <w:t>Przeciwdziałania COVID-1</w:t>
            </w:r>
            <w:r w:rsidR="00674D0B">
              <w:t xml:space="preserve">9 </w:t>
            </w:r>
            <w:r w:rsidR="007914AC" w:rsidRPr="0003609D">
              <w:rPr>
                <w:rFonts w:ascii="Calibri" w:eastAsia="Times New Roman" w:hAnsi="Calibri" w:cs="Calibri"/>
                <w:color w:val="000000"/>
                <w:lang w:eastAsia="pl-PL"/>
              </w:rPr>
              <w:t>dla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jednostek samorządu terytorialnego</w:t>
            </w:r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>jst</w:t>
            </w:r>
            <w:proofErr w:type="spellEnd"/>
            <w:r w:rsidR="000F77F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="00323453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4068" w:rsidRDefault="00F54068" w:rsidP="00F54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54068" w:rsidRDefault="00F54068" w:rsidP="00F54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Wojewoda</w:t>
            </w:r>
          </w:p>
          <w:p w:rsidR="00F54068" w:rsidRDefault="00F54068" w:rsidP="00F54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54068" w:rsidRDefault="00F54068" w:rsidP="00F54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Łódzki</w:t>
            </w:r>
          </w:p>
          <w:p w:rsidR="00C54271" w:rsidRDefault="00C54271" w:rsidP="00F54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23453" w:rsidRPr="00331BFE" w:rsidRDefault="00F54068" w:rsidP="00F54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wojewody)</w:t>
            </w:r>
          </w:p>
        </w:tc>
      </w:tr>
      <w:tr w:rsidR="008378DE" w:rsidRPr="00323453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C57C9" w:rsidRPr="007914AC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7914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 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7656"/>
      </w:tblGrid>
      <w:tr w:rsidR="008378DE" w:rsidTr="00E96803">
        <w:trPr>
          <w:trHeight w:val="232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:rsidR="008378DE" w:rsidRDefault="00C14B01" w:rsidP="000D68DE">
            <w:pPr>
              <w:spacing w:after="0"/>
              <w:jc w:val="both"/>
            </w:pPr>
            <w:r>
              <w:t xml:space="preserve">1. </w:t>
            </w:r>
            <w:r w:rsidR="008378DE">
              <w:t>Kwota wnioskowanych środków</w:t>
            </w:r>
            <w:r w:rsidR="00E37A89">
              <w:t>:</w:t>
            </w:r>
            <w:r w:rsidR="008378DE">
              <w:t xml:space="preserve"> </w:t>
            </w:r>
          </w:p>
        </w:tc>
      </w:tr>
      <w:tr w:rsidR="008378DE" w:rsidTr="00E96803">
        <w:trPr>
          <w:trHeight w:val="610"/>
        </w:trPr>
        <w:tc>
          <w:tcPr>
            <w:tcW w:w="9370" w:type="dxa"/>
            <w:gridSpan w:val="2"/>
          </w:tcPr>
          <w:p w:rsidR="008378DE" w:rsidRDefault="005B5671" w:rsidP="009F2E84">
            <w:pPr>
              <w:jc w:val="both"/>
            </w:pPr>
            <w:r>
              <w:t xml:space="preserve">ul. Pomorska i ul. </w:t>
            </w:r>
            <w:proofErr w:type="spellStart"/>
            <w:r>
              <w:t>Mileszki</w:t>
            </w:r>
            <w:proofErr w:type="spellEnd"/>
            <w:r>
              <w:t xml:space="preserve">,  łącznie – 17 000 000 zł ( w tym:  ul. Pomorska- 16 200 000zł  ul. </w:t>
            </w:r>
            <w:proofErr w:type="spellStart"/>
            <w:r>
              <w:t>Mileszki</w:t>
            </w:r>
            <w:proofErr w:type="spellEnd"/>
            <w:r>
              <w:t xml:space="preserve">  - 800 000 zł) .</w:t>
            </w:r>
          </w:p>
        </w:tc>
      </w:tr>
      <w:tr w:rsidR="008378DE" w:rsidTr="00E96803">
        <w:trPr>
          <w:trHeight w:val="3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:rsidR="008378DE" w:rsidRDefault="00C14B01" w:rsidP="000D68DE">
            <w:pPr>
              <w:spacing w:after="0"/>
              <w:jc w:val="both"/>
            </w:pPr>
            <w:r>
              <w:t xml:space="preserve">2. </w:t>
            </w:r>
            <w:r w:rsidR="008378DE">
              <w:t>Numer konta</w:t>
            </w:r>
            <w:r w:rsidR="00E37A89">
              <w:t>:</w:t>
            </w:r>
          </w:p>
        </w:tc>
      </w:tr>
      <w:tr w:rsidR="008378DE" w:rsidTr="00E96803">
        <w:trPr>
          <w:trHeight w:val="288"/>
        </w:trPr>
        <w:tc>
          <w:tcPr>
            <w:tcW w:w="9370" w:type="dxa"/>
            <w:gridSpan w:val="2"/>
          </w:tcPr>
          <w:p w:rsidR="008378DE" w:rsidRDefault="005B5671" w:rsidP="009F2E84">
            <w:pPr>
              <w:jc w:val="both"/>
            </w:pPr>
            <w:r>
              <w:t>70 1560 0013 2030 5314 2000 0776</w:t>
            </w:r>
          </w:p>
        </w:tc>
      </w:tr>
      <w:tr w:rsidR="00700C18" w:rsidTr="00E96803">
        <w:trPr>
          <w:trHeight w:val="26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:rsidR="00700C18" w:rsidRDefault="00C14B01" w:rsidP="000D68DE">
            <w:pPr>
              <w:spacing w:after="0"/>
              <w:jc w:val="both"/>
            </w:pPr>
            <w:r>
              <w:t xml:space="preserve">3. </w:t>
            </w:r>
            <w:r w:rsidR="00F832BD">
              <w:t>Przedmiot i krótki opis</w:t>
            </w:r>
            <w:r w:rsidR="00700C18">
              <w:t xml:space="preserve"> inwestycji</w:t>
            </w:r>
            <w:r w:rsidR="00E37A89">
              <w:t>:</w:t>
            </w:r>
            <w:r w:rsidR="00700C18">
              <w:t xml:space="preserve"> </w:t>
            </w:r>
            <w:r w:rsidR="00F832BD">
              <w:rPr>
                <w:i/>
                <w:sz w:val="14"/>
                <w:szCs w:val="14"/>
              </w:rPr>
              <w:t>(maks</w:t>
            </w:r>
            <w:r w:rsidR="009E5D8B"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8378DE" w:rsidTr="00E96803">
        <w:trPr>
          <w:trHeight w:val="648"/>
        </w:trPr>
        <w:tc>
          <w:tcPr>
            <w:tcW w:w="9370" w:type="dxa"/>
            <w:gridSpan w:val="2"/>
          </w:tcPr>
          <w:p w:rsidR="005B5671" w:rsidRPr="00A26285" w:rsidRDefault="005B5671" w:rsidP="005B5671">
            <w:pPr>
              <w:jc w:val="both"/>
              <w:rPr>
                <w:b/>
              </w:rPr>
            </w:pPr>
            <w:r w:rsidRPr="00A26285">
              <w:rPr>
                <w:b/>
              </w:rPr>
              <w:t xml:space="preserve">Inwestycja obejmuje rozbudowę ul. Pomorskiej na odc. od </w:t>
            </w:r>
            <w:r>
              <w:rPr>
                <w:b/>
              </w:rPr>
              <w:t xml:space="preserve">drogi dojazdowej do </w:t>
            </w:r>
            <w:r w:rsidRPr="00A26285">
              <w:rPr>
                <w:b/>
              </w:rPr>
              <w:t xml:space="preserve">węzła „Brzeziny” do ul. </w:t>
            </w:r>
            <w:proofErr w:type="spellStart"/>
            <w:r w:rsidRPr="00A26285">
              <w:rPr>
                <w:b/>
              </w:rPr>
              <w:t>Mileszki</w:t>
            </w:r>
            <w:proofErr w:type="spellEnd"/>
            <w:r w:rsidRPr="00A26285">
              <w:rPr>
                <w:b/>
              </w:rPr>
              <w:t xml:space="preserve"> oraz ul. </w:t>
            </w:r>
            <w:proofErr w:type="spellStart"/>
            <w:r w:rsidRPr="00A26285">
              <w:rPr>
                <w:b/>
              </w:rPr>
              <w:t>Mileszki</w:t>
            </w:r>
            <w:proofErr w:type="spellEnd"/>
            <w:r w:rsidRPr="00A26285">
              <w:rPr>
                <w:b/>
              </w:rPr>
              <w:t xml:space="preserve"> od ul. Pomorskiej do ul. Bratkowej</w:t>
            </w:r>
          </w:p>
          <w:p w:rsidR="005B5671" w:rsidRDefault="005B5671" w:rsidP="005B5671">
            <w:pPr>
              <w:jc w:val="both"/>
            </w:pPr>
            <w:r>
              <w:t>Zakres inwestycji</w:t>
            </w:r>
            <w:r w:rsidR="00AA7FA1">
              <w:t>:</w:t>
            </w:r>
          </w:p>
          <w:p w:rsidR="005B5671" w:rsidRDefault="005B5671" w:rsidP="005B5671">
            <w:pPr>
              <w:spacing w:after="0"/>
              <w:jc w:val="both"/>
            </w:pPr>
            <w:r>
              <w:t xml:space="preserve">rozbudowa jezdni na długości 1,3 km i ciągu pieszo-rowerowego na długości 1,5 km    </w:t>
            </w:r>
          </w:p>
          <w:p w:rsidR="005B5671" w:rsidRDefault="005B5671" w:rsidP="005B5671">
            <w:pPr>
              <w:spacing w:after="0"/>
              <w:jc w:val="both"/>
            </w:pPr>
            <w:r>
              <w:t>przebudowa/budowa chodników, zjazdów, sieci energetycznej i teletechnicznej</w:t>
            </w:r>
          </w:p>
          <w:p w:rsidR="005B5671" w:rsidRDefault="005B5671" w:rsidP="005B5671">
            <w:pPr>
              <w:spacing w:after="0"/>
              <w:jc w:val="both"/>
            </w:pPr>
            <w:r>
              <w:t xml:space="preserve">budowa kanalizacji deszczowej, sieci gazowej i wodociągowej  </w:t>
            </w:r>
          </w:p>
          <w:p w:rsidR="005B5671" w:rsidRDefault="005B5671" w:rsidP="005B5671">
            <w:pPr>
              <w:spacing w:after="0"/>
              <w:jc w:val="both"/>
            </w:pPr>
            <w:r>
              <w:t>budowa peronów autobusowych, miejsc postojowych, sygnalizacji świetlnej</w:t>
            </w:r>
          </w:p>
          <w:p w:rsidR="003E6756" w:rsidRDefault="005B5671" w:rsidP="005B5671">
            <w:pPr>
              <w:jc w:val="both"/>
            </w:pPr>
            <w:r>
              <w:rPr>
                <w:rFonts w:ascii="Calibri" w:eastAsia="Calibri" w:hAnsi="Calibri" w:cs="Times New Roman"/>
              </w:rPr>
              <w:t>nowe nasadzenia zieleni</w:t>
            </w:r>
          </w:p>
        </w:tc>
      </w:tr>
      <w:tr w:rsidR="005317FF" w:rsidTr="00E96803">
        <w:trPr>
          <w:trHeight w:val="309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:rsidR="005317FF" w:rsidRDefault="007E3C8D" w:rsidP="007E3C8D">
            <w:pPr>
              <w:spacing w:after="0" w:line="240" w:lineRule="auto"/>
              <w:jc w:val="both"/>
            </w:pPr>
            <w:r>
              <w:t xml:space="preserve">4. </w:t>
            </w:r>
            <w:r w:rsidRPr="007E3C8D">
              <w:t>Planowane miesiąc i rok rozpoczęcia oraz zakończenia realizacji inwestycji:</w:t>
            </w:r>
          </w:p>
        </w:tc>
      </w:tr>
      <w:tr w:rsidR="000455BA" w:rsidTr="00E96803">
        <w:trPr>
          <w:trHeight w:val="130"/>
        </w:trPr>
        <w:tc>
          <w:tcPr>
            <w:tcW w:w="9370" w:type="dxa"/>
            <w:gridSpan w:val="2"/>
          </w:tcPr>
          <w:p w:rsidR="005B5671" w:rsidRDefault="005B5671" w:rsidP="005B5671">
            <w:pPr>
              <w:jc w:val="both"/>
            </w:pPr>
            <w:r>
              <w:t xml:space="preserve">Rozpoczęcie inwestycji  - kwiecień 2021 </w:t>
            </w:r>
          </w:p>
          <w:p w:rsidR="000455BA" w:rsidRDefault="005B5671" w:rsidP="005B5671">
            <w:pPr>
              <w:jc w:val="both"/>
            </w:pPr>
            <w:r>
              <w:t>Zakończenie inwestycji – grudzień 2022</w:t>
            </w:r>
          </w:p>
        </w:tc>
      </w:tr>
      <w:tr w:rsidR="003F07F5" w:rsidTr="00E96803">
        <w:trPr>
          <w:trHeight w:val="317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:rsidR="003F07F5" w:rsidRDefault="00C14B01" w:rsidP="000D68DE">
            <w:pPr>
              <w:spacing w:after="0"/>
              <w:jc w:val="both"/>
            </w:pPr>
            <w:r>
              <w:t xml:space="preserve">5. </w:t>
            </w:r>
            <w:r w:rsidR="00F832BD">
              <w:t>Szacowany koszt</w:t>
            </w:r>
            <w:r w:rsidR="003F07F5">
              <w:t xml:space="preserve"> inwestycji</w:t>
            </w:r>
            <w:r w:rsidR="00E37A89">
              <w:t>:</w:t>
            </w:r>
            <w:r w:rsidR="003F07F5">
              <w:t xml:space="preserve"> </w:t>
            </w:r>
            <w:r w:rsidR="003F07F5" w:rsidRPr="000C4223">
              <w:rPr>
                <w:i/>
                <w:sz w:val="14"/>
                <w:szCs w:val="14"/>
              </w:rPr>
              <w:t>(w złotych)</w:t>
            </w:r>
          </w:p>
        </w:tc>
      </w:tr>
      <w:tr w:rsidR="003F07F5" w:rsidTr="00E96803">
        <w:trPr>
          <w:trHeight w:val="216"/>
        </w:trPr>
        <w:tc>
          <w:tcPr>
            <w:tcW w:w="9370" w:type="dxa"/>
            <w:gridSpan w:val="2"/>
          </w:tcPr>
          <w:p w:rsidR="003F07F5" w:rsidRDefault="005B5671" w:rsidP="003F07F5">
            <w:pPr>
              <w:jc w:val="both"/>
            </w:pPr>
            <w:r>
              <w:t xml:space="preserve">ul. Pomorska i ul. </w:t>
            </w:r>
            <w:proofErr w:type="spellStart"/>
            <w:r>
              <w:t>Mileszki</w:t>
            </w:r>
            <w:proofErr w:type="spellEnd"/>
            <w:r>
              <w:t>,  łącznie – 17 000 000 zł ( w tym:  ul. Pomorska- 16 200</w:t>
            </w:r>
            <w:r w:rsidR="00526B0B">
              <w:t> </w:t>
            </w:r>
            <w:r>
              <w:t>000</w:t>
            </w:r>
            <w:r w:rsidR="00526B0B">
              <w:t xml:space="preserve"> </w:t>
            </w:r>
            <w:r>
              <w:t xml:space="preserve">zł  ul. </w:t>
            </w:r>
            <w:proofErr w:type="spellStart"/>
            <w:r>
              <w:t>Mileszki</w:t>
            </w:r>
            <w:proofErr w:type="spellEnd"/>
            <w:r>
              <w:t xml:space="preserve">  - 800 000 zł)</w:t>
            </w:r>
          </w:p>
        </w:tc>
      </w:tr>
      <w:tr w:rsidR="00F623CD" w:rsidTr="00E96803">
        <w:trPr>
          <w:trHeight w:val="2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:rsidR="00F623CD" w:rsidRDefault="00C14B01" w:rsidP="000D68DE">
            <w:pPr>
              <w:spacing w:after="0"/>
              <w:jc w:val="both"/>
            </w:pPr>
            <w:r>
              <w:t xml:space="preserve">6. </w:t>
            </w:r>
            <w:r w:rsidR="00F623CD">
              <w:t xml:space="preserve">Relacja kosztu </w:t>
            </w:r>
            <w:r>
              <w:t>z pkt 5</w:t>
            </w:r>
            <w:r w:rsidR="00F623CD">
              <w:t xml:space="preserve"> do planowanych dochodów ogółem </w:t>
            </w:r>
            <w:proofErr w:type="spellStart"/>
            <w:r w:rsidR="00F623CD">
              <w:t>jst</w:t>
            </w:r>
            <w:proofErr w:type="spellEnd"/>
            <w:r w:rsidR="00F623CD">
              <w:t xml:space="preserve"> w roku </w:t>
            </w:r>
            <w:r w:rsidR="00F623CD" w:rsidRPr="009B39B2">
              <w:rPr>
                <w:shd w:val="clear" w:color="auto" w:fill="D9D9D9" w:themeFill="background1" w:themeFillShade="D9"/>
              </w:rPr>
              <w:t>rozpoczęcia realizacji</w:t>
            </w:r>
            <w:r w:rsidR="009E04AF">
              <w:rPr>
                <w:shd w:val="clear" w:color="auto" w:fill="D9D9D9" w:themeFill="background1" w:themeFillShade="D9"/>
              </w:rPr>
              <w:t xml:space="preserve"> inwestycji</w:t>
            </w:r>
            <w:r w:rsidR="00E37A89">
              <w:rPr>
                <w:shd w:val="clear" w:color="auto" w:fill="D9D9D9" w:themeFill="background1" w:themeFillShade="D9"/>
              </w:rPr>
              <w:t>:</w:t>
            </w:r>
          </w:p>
        </w:tc>
      </w:tr>
      <w:tr w:rsidR="003F07F5" w:rsidTr="00E96803">
        <w:trPr>
          <w:trHeight w:val="231"/>
        </w:trPr>
        <w:tc>
          <w:tcPr>
            <w:tcW w:w="9370" w:type="dxa"/>
            <w:gridSpan w:val="2"/>
          </w:tcPr>
          <w:p w:rsidR="003F07F5" w:rsidRPr="00AA7FA1" w:rsidRDefault="005B5671" w:rsidP="00F623CD">
            <w:pPr>
              <w:jc w:val="both"/>
              <w:rPr>
                <w:color w:val="FF0000"/>
              </w:rPr>
            </w:pPr>
            <w:r w:rsidRPr="00F40B2D">
              <w:t>0,3</w:t>
            </w:r>
            <w:r w:rsidR="005F728C" w:rsidRPr="00F40B2D">
              <w:t>3</w:t>
            </w:r>
            <w:r w:rsidRPr="00F40B2D">
              <w:t>%</w:t>
            </w:r>
          </w:p>
        </w:tc>
      </w:tr>
      <w:tr w:rsidR="0072256B" w:rsidTr="00E96803">
        <w:trPr>
          <w:trHeight w:val="231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:rsidR="0072256B" w:rsidRDefault="00476F8C" w:rsidP="000D68DE">
            <w:pPr>
              <w:spacing w:after="0"/>
              <w:jc w:val="both"/>
            </w:pPr>
            <w:r>
              <w:t xml:space="preserve">7. </w:t>
            </w:r>
            <w:r w:rsidR="0072256B">
              <w:t>Uzasadnienie:</w:t>
            </w:r>
            <w:r w:rsidR="0047244A">
              <w:t xml:space="preserve"> </w:t>
            </w:r>
          </w:p>
        </w:tc>
      </w:tr>
      <w:tr w:rsidR="00FD3E1C" w:rsidTr="00E96803">
        <w:trPr>
          <w:trHeight w:val="274"/>
        </w:trPr>
        <w:tc>
          <w:tcPr>
            <w:tcW w:w="9370" w:type="dxa"/>
            <w:gridSpan w:val="2"/>
          </w:tcPr>
          <w:p w:rsidR="00FD3E1C" w:rsidRDefault="00FD3E1C" w:rsidP="00FD3E1C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 xml:space="preserve">zrównoważony rozwój </w:t>
            </w:r>
            <w:r>
              <w:rPr>
                <w:i/>
                <w:sz w:val="14"/>
                <w:szCs w:val="14"/>
              </w:rPr>
              <w:t>(maks</w:t>
            </w:r>
            <w:r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FD3E1C" w:rsidTr="00E96803">
        <w:trPr>
          <w:trHeight w:val="274"/>
        </w:trPr>
        <w:tc>
          <w:tcPr>
            <w:tcW w:w="9370" w:type="dxa"/>
            <w:gridSpan w:val="2"/>
          </w:tcPr>
          <w:p w:rsidR="00FD3E1C" w:rsidRDefault="005B5671" w:rsidP="00F623CD">
            <w:pPr>
              <w:jc w:val="both"/>
            </w:pPr>
            <w:r w:rsidRPr="00EA41EA">
              <w:rPr>
                <w:rFonts w:ascii="Calibri" w:eastAsia="Calibri" w:hAnsi="Calibri" w:cs="Times New Roman"/>
              </w:rPr>
              <w:t xml:space="preserve">Realizacja projektu pozostaje w zgodzie z polityką zrównoważonego rozwoju. Projekt ma pozytywny wpływ na politykę zrównoważonego rozwoju gdyż przyczyni się do </w:t>
            </w:r>
            <w:r>
              <w:rPr>
                <w:rFonts w:ascii="Calibri" w:eastAsia="Calibri" w:hAnsi="Calibri" w:cs="Times New Roman"/>
              </w:rPr>
              <w:t>poprawy jakości transportu publicznego</w:t>
            </w:r>
            <w:r w:rsidRPr="00EA41EA">
              <w:rPr>
                <w:rFonts w:ascii="Calibri" w:eastAsia="Calibri" w:hAnsi="Calibri" w:cs="Times New Roman"/>
              </w:rPr>
              <w:t xml:space="preserve">. Poprzez poprawę dostępności komunikacji miejskiej możliwe będzie pozyskanie nowych pasażerów, </w:t>
            </w:r>
            <w:r>
              <w:rPr>
                <w:rFonts w:ascii="Calibri" w:eastAsia="Calibri" w:hAnsi="Calibri" w:cs="Times New Roman"/>
              </w:rPr>
              <w:t>możliwe będzie</w:t>
            </w:r>
            <w:r w:rsidRPr="00EA41EA">
              <w:rPr>
                <w:rFonts w:ascii="Calibri" w:eastAsia="Calibri" w:hAnsi="Calibri" w:cs="Times New Roman"/>
              </w:rPr>
              <w:t xml:space="preserve"> zwiększenie udziału transportu zbiorowego, zwłaszcza transportu autobusowego.</w:t>
            </w:r>
            <w:r>
              <w:t xml:space="preserve">  </w:t>
            </w:r>
          </w:p>
        </w:tc>
      </w:tr>
      <w:tr w:rsidR="0072256B" w:rsidTr="00E96803">
        <w:trPr>
          <w:trHeight w:val="274"/>
        </w:trPr>
        <w:tc>
          <w:tcPr>
            <w:tcW w:w="9370" w:type="dxa"/>
            <w:gridSpan w:val="2"/>
          </w:tcPr>
          <w:p w:rsidR="0072256B" w:rsidRDefault="00FD3E1C" w:rsidP="00F623CD">
            <w:pPr>
              <w:jc w:val="both"/>
            </w:pPr>
            <w:r>
              <w:lastRenderedPageBreak/>
              <w:t>b</w:t>
            </w:r>
            <w:r w:rsidR="00476F8C">
              <w:t xml:space="preserve">) </w:t>
            </w:r>
            <w:r w:rsidR="000F18B6">
              <w:t>k</w:t>
            </w:r>
            <w:r w:rsidR="00C27110">
              <w:t>ompleksowość</w:t>
            </w:r>
            <w:r w:rsidR="00C27110">
              <w:rPr>
                <w:rStyle w:val="Odwoanieprzypisudolnego"/>
              </w:rPr>
              <w:footnoteReference w:id="1"/>
            </w:r>
            <w:r w:rsidR="00281A80"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C27110" w:rsidTr="00E96803">
        <w:trPr>
          <w:trHeight w:val="332"/>
        </w:trPr>
        <w:tc>
          <w:tcPr>
            <w:tcW w:w="9370" w:type="dxa"/>
            <w:gridSpan w:val="2"/>
          </w:tcPr>
          <w:p w:rsidR="005B5671" w:rsidRDefault="005B5671" w:rsidP="005B5671">
            <w:r>
              <w:t xml:space="preserve">Powiązanie z węzłami przesiadkowymi komunikacji zbiorowej  :  1 węzeł przesiadkowy Pomorska / Brzezińska na rynku w Nowosolnej </w:t>
            </w:r>
          </w:p>
          <w:p w:rsidR="005B5671" w:rsidRDefault="005B5671" w:rsidP="005B5671">
            <w:r>
              <w:t xml:space="preserve">Powiązanie z istniejącymi liniami komunikacji miejskiej – 10 linii w tym: </w:t>
            </w:r>
          </w:p>
          <w:p w:rsidR="003440B4" w:rsidRDefault="005B5671" w:rsidP="003440B4">
            <w:pPr>
              <w:pStyle w:val="Akapitzlist"/>
              <w:numPr>
                <w:ilvl w:val="0"/>
                <w:numId w:val="11"/>
              </w:numPr>
            </w:pPr>
            <w:r>
              <w:t>liczba linii komunikacji miejskiej kursujących na realizowanym odcinku : 5 linii autobusowych</w:t>
            </w:r>
          </w:p>
          <w:p w:rsidR="00FD3E1C" w:rsidRDefault="005B5671" w:rsidP="003440B4">
            <w:pPr>
              <w:pStyle w:val="Akapitzlist"/>
              <w:numPr>
                <w:ilvl w:val="0"/>
                <w:numId w:val="11"/>
              </w:numPr>
            </w:pPr>
            <w:r>
              <w:t>liczba linii komunikacji  miejskiej powiązanych z realizowanym projektem : 5 linii autobusowych</w:t>
            </w:r>
          </w:p>
        </w:tc>
      </w:tr>
      <w:tr w:rsidR="00E0048B" w:rsidTr="00E96803">
        <w:trPr>
          <w:trHeight w:val="346"/>
        </w:trPr>
        <w:tc>
          <w:tcPr>
            <w:tcW w:w="9370" w:type="dxa"/>
            <w:gridSpan w:val="2"/>
          </w:tcPr>
          <w:p w:rsidR="00E0048B" w:rsidRDefault="00FD3E1C" w:rsidP="00F623CD">
            <w:pPr>
              <w:jc w:val="both"/>
            </w:pPr>
            <w:r>
              <w:t>c</w:t>
            </w:r>
            <w:r w:rsidR="00476F8C">
              <w:t xml:space="preserve">) </w:t>
            </w:r>
            <w:r w:rsidR="000F18B6">
              <w:t>o</w:t>
            </w:r>
            <w:r w:rsidR="00E0048B">
              <w:t>graniczenie emisyjności i ingerencji w środowisko</w:t>
            </w:r>
            <w:r w:rsidR="00E0048B">
              <w:rPr>
                <w:rStyle w:val="Odwoanieprzypisudolnego"/>
              </w:rPr>
              <w:footnoteReference w:id="2"/>
            </w:r>
            <w: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D552FC" w:rsidTr="00E96803">
        <w:trPr>
          <w:trHeight w:val="231"/>
        </w:trPr>
        <w:tc>
          <w:tcPr>
            <w:tcW w:w="9370" w:type="dxa"/>
            <w:gridSpan w:val="2"/>
          </w:tcPr>
          <w:p w:rsidR="005B5671" w:rsidRPr="008A5E81" w:rsidRDefault="005B5671" w:rsidP="005B5671">
            <w:pPr>
              <w:jc w:val="both"/>
            </w:pPr>
            <w:r w:rsidRPr="008A5E81">
              <w:t xml:space="preserve">Korzyści zmniejszenia zanieczyszczenia powietrza – 0,6 % </w:t>
            </w:r>
          </w:p>
          <w:p w:rsidR="005B5671" w:rsidRPr="008A5E81" w:rsidRDefault="005B5671" w:rsidP="005B5671">
            <w:pPr>
              <w:jc w:val="both"/>
            </w:pPr>
            <w:r w:rsidRPr="008A5E81">
              <w:t>Korzyści zmniejszenia oddziaływania zmian klimatycznych – 0,4 % zdyskontowanych korzyści wygenerowanych przez projekt</w:t>
            </w:r>
          </w:p>
          <w:p w:rsidR="005B5671" w:rsidRPr="008A5E81" w:rsidRDefault="005B5671" w:rsidP="005B5671">
            <w:pPr>
              <w:jc w:val="both"/>
            </w:pPr>
            <w:r w:rsidRPr="008A5E81">
              <w:t>Korzyści zmniejszenia hałasu – 0,3 % zdyskontowanych korzyści wygenerowanych przez projekt</w:t>
            </w:r>
          </w:p>
          <w:p w:rsidR="00D552FC" w:rsidRDefault="005B5671" w:rsidP="005B5671">
            <w:pPr>
              <w:jc w:val="both"/>
            </w:pPr>
            <w:r w:rsidRPr="008A5E81">
              <w:t>Oszczędność kosztów emisji toksycznych składników spalin PLN/rok  - 129 842</w:t>
            </w:r>
          </w:p>
        </w:tc>
      </w:tr>
      <w:tr w:rsidR="003865B2" w:rsidTr="00E96803">
        <w:trPr>
          <w:trHeight w:val="332"/>
        </w:trPr>
        <w:tc>
          <w:tcPr>
            <w:tcW w:w="9370" w:type="dxa"/>
            <w:gridSpan w:val="2"/>
          </w:tcPr>
          <w:p w:rsidR="003865B2" w:rsidRDefault="00FD3E1C" w:rsidP="003865B2">
            <w:pPr>
              <w:ind w:left="13"/>
              <w:jc w:val="both"/>
            </w:pPr>
            <w:r>
              <w:t>d</w:t>
            </w:r>
            <w:r w:rsidR="00476F8C">
              <w:t xml:space="preserve">) </w:t>
            </w:r>
            <w:r w:rsidR="000F18B6">
              <w:t>u</w:t>
            </w:r>
            <w:r w:rsidR="003865B2">
              <w:t xml:space="preserve">dział liczby mieszkańców </w:t>
            </w:r>
            <w:proofErr w:type="spellStart"/>
            <w:r w:rsidR="003865B2">
              <w:t>jst</w:t>
            </w:r>
            <w:proofErr w:type="spellEnd"/>
            <w:r w:rsidR="003865B2">
              <w:t xml:space="preserve"> , na który</w:t>
            </w:r>
            <w:r w:rsidR="009E04AF">
              <w:t>ch</w:t>
            </w:r>
            <w:r w:rsidR="003865B2">
              <w:t xml:space="preserve"> inwestycja wywiera </w:t>
            </w:r>
            <w:r w:rsidR="009E04AF">
              <w:t>korzystny</w:t>
            </w:r>
            <w:r w:rsidR="003865B2">
              <w:t xml:space="preserve"> wpływ </w:t>
            </w:r>
          </w:p>
        </w:tc>
      </w:tr>
      <w:tr w:rsidR="003865B2" w:rsidTr="00E96803">
        <w:trPr>
          <w:trHeight w:val="339"/>
        </w:trPr>
        <w:tc>
          <w:tcPr>
            <w:tcW w:w="1714" w:type="dxa"/>
          </w:tcPr>
          <w:p w:rsidR="003865B2" w:rsidRDefault="000F18B6" w:rsidP="003865B2">
            <w:pPr>
              <w:ind w:left="13"/>
              <w:jc w:val="both"/>
              <w:rPr>
                <w:i/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dział </w:t>
            </w:r>
            <w:r w:rsidR="003865B2" w:rsidRPr="006032E0">
              <w:rPr>
                <w:i/>
                <w:vertAlign w:val="superscript"/>
              </w:rPr>
              <w:t>(%)</w:t>
            </w:r>
          </w:p>
          <w:p w:rsidR="005B5671" w:rsidRPr="006032E0" w:rsidRDefault="005B5671" w:rsidP="003865B2">
            <w:pPr>
              <w:ind w:left="13"/>
              <w:jc w:val="both"/>
              <w:rPr>
                <w:vertAlign w:val="superscript"/>
              </w:rPr>
            </w:pPr>
            <w:r>
              <w:t>17</w:t>
            </w:r>
            <w:r w:rsidRPr="008A5E81">
              <w:t xml:space="preserve"> %</w:t>
            </w:r>
          </w:p>
        </w:tc>
        <w:tc>
          <w:tcPr>
            <w:tcW w:w="7656" w:type="dxa"/>
          </w:tcPr>
          <w:p w:rsidR="003865B2" w:rsidRDefault="000F18B6" w:rsidP="003865B2">
            <w:pPr>
              <w:ind w:left="13"/>
              <w:jc w:val="both"/>
              <w:rPr>
                <w:i/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zasadnienie </w:t>
            </w:r>
            <w:r w:rsidR="008A7D86">
              <w:rPr>
                <w:i/>
                <w:vertAlign w:val="superscript"/>
              </w:rPr>
              <w:t>(maks</w:t>
            </w:r>
            <w:r w:rsidR="003865B2" w:rsidRPr="006032E0">
              <w:rPr>
                <w:i/>
                <w:vertAlign w:val="superscript"/>
              </w:rPr>
              <w:t>. 500 znaków)</w:t>
            </w:r>
          </w:p>
          <w:p w:rsidR="005B5671" w:rsidRPr="006032E0" w:rsidRDefault="005B5671" w:rsidP="004B0603">
            <w:pPr>
              <w:jc w:val="both"/>
              <w:rPr>
                <w:vertAlign w:val="superscript"/>
              </w:rPr>
            </w:pPr>
            <w:r w:rsidRPr="008A5E81">
              <w:t>Realizowana inwest</w:t>
            </w:r>
            <w:r>
              <w:t xml:space="preserve">ycja oprócz poprawy komunikacji centrum miasta z wschodnimi osiedlami mieszkaniowymi takimi jak Stoki, </w:t>
            </w:r>
            <w:proofErr w:type="spellStart"/>
            <w:r>
              <w:t>Mileszki</w:t>
            </w:r>
            <w:proofErr w:type="spellEnd"/>
            <w:r>
              <w:t xml:space="preserve">, Nowosolna stanowi także dojazd do węzła autostradowego „Brzeziny” na autostradzie A1. Dzięki realizacji projektu zostanie także poprawiony dostęp do Centralnego Szpitala Klinicznego.  </w:t>
            </w:r>
          </w:p>
        </w:tc>
      </w:tr>
      <w:tr w:rsidR="003865B2" w:rsidTr="00E96803">
        <w:trPr>
          <w:trHeight w:val="563"/>
        </w:trPr>
        <w:tc>
          <w:tcPr>
            <w:tcW w:w="9370" w:type="dxa"/>
            <w:gridSpan w:val="2"/>
          </w:tcPr>
          <w:p w:rsidR="003865B2" w:rsidRPr="007A69E9" w:rsidRDefault="00FD3E1C" w:rsidP="007C17B2">
            <w:pPr>
              <w:ind w:left="13"/>
              <w:jc w:val="both"/>
            </w:pPr>
            <w:r>
              <w:rPr>
                <w:rStyle w:val="TEKSTOZNACZONYWDOKUMENCIERDOWYMJAKOUKRYTY"/>
                <w:color w:val="auto"/>
                <w:u w:val="none"/>
              </w:rPr>
              <w:t>e</w:t>
            </w:r>
            <w:r w:rsidR="006032E0">
              <w:rPr>
                <w:rStyle w:val="TEKSTOZNACZONYWDOKUMENCIERDOWYMJAKOUKRYTY"/>
                <w:color w:val="auto"/>
                <w:u w:val="none"/>
              </w:rPr>
              <w:t>) s</w:t>
            </w:r>
            <w:r w:rsidR="007A69E9" w:rsidRPr="007A69E9">
              <w:rPr>
                <w:rStyle w:val="TEKSTOZNACZONYWDOKUMENCIERDOWYMJAKOUKRYTY"/>
                <w:color w:val="auto"/>
                <w:u w:val="none"/>
              </w:rPr>
              <w:t>podziewany efekt planowanej inwestycji</w:t>
            </w:r>
            <w:r w:rsidR="00EF4D0C">
              <w:rPr>
                <w:rStyle w:val="Odwoanieprzypisudolnego"/>
              </w:rPr>
              <w:footnoteReference w:id="3"/>
            </w:r>
            <w:r>
              <w:rPr>
                <w:rStyle w:val="TEKSTOZNACZONYWDOKUMENCIERDOWYMJAKOUKRYTY"/>
                <w:color w:val="auto"/>
                <w:u w:val="none"/>
              </w:rP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865B2" w:rsidTr="00E96803">
        <w:trPr>
          <w:trHeight w:val="173"/>
        </w:trPr>
        <w:tc>
          <w:tcPr>
            <w:tcW w:w="9370" w:type="dxa"/>
            <w:gridSpan w:val="2"/>
          </w:tcPr>
          <w:p w:rsidR="005B5671" w:rsidRPr="004819F8" w:rsidRDefault="005B5671" w:rsidP="005B5671">
            <w:pPr>
              <w:pStyle w:val="Akapitzlist"/>
              <w:numPr>
                <w:ilvl w:val="0"/>
                <w:numId w:val="12"/>
              </w:numPr>
              <w:spacing w:after="0"/>
              <w:jc w:val="both"/>
            </w:pPr>
            <w:r w:rsidRPr="004819F8">
              <w:lastRenderedPageBreak/>
              <w:t xml:space="preserve">ul. Pomorska </w:t>
            </w:r>
          </w:p>
          <w:p w:rsidR="005B5671" w:rsidRPr="004819F8" w:rsidRDefault="005B5671" w:rsidP="005B5671">
            <w:pPr>
              <w:spacing w:after="0" w:line="240" w:lineRule="auto"/>
              <w:jc w:val="both"/>
            </w:pPr>
            <w:r w:rsidRPr="004819F8">
              <w:t xml:space="preserve">Całkowita długość nowych lub przebudowywanych ciągów komunikacji miejskiej: 1,3 km </w:t>
            </w:r>
          </w:p>
          <w:p w:rsidR="005B5671" w:rsidRPr="004819F8" w:rsidRDefault="005B5671" w:rsidP="005B5671">
            <w:pPr>
              <w:spacing w:after="0" w:line="240" w:lineRule="auto"/>
              <w:jc w:val="both"/>
            </w:pPr>
            <w:r w:rsidRPr="004819F8">
              <w:t>Długość wybudowanych dróg rowerowych ( ciąg pieszo-rowerowy): 1,5 km</w:t>
            </w:r>
          </w:p>
          <w:p w:rsidR="005B5671" w:rsidRPr="004819F8" w:rsidRDefault="005B5671" w:rsidP="005B5671">
            <w:pPr>
              <w:spacing w:after="0" w:line="240" w:lineRule="auto"/>
              <w:jc w:val="both"/>
            </w:pPr>
            <w:r w:rsidRPr="004819F8">
              <w:t xml:space="preserve">Liczba miejsc postojowych – zaprojektowano 32 miejsca postojowe w tym 2 dla osób niepełnosprawnych </w:t>
            </w:r>
          </w:p>
          <w:p w:rsidR="005B5671" w:rsidRPr="004819F8" w:rsidRDefault="005B5671" w:rsidP="005B5671">
            <w:pPr>
              <w:spacing w:after="0" w:line="240" w:lineRule="auto"/>
              <w:jc w:val="both"/>
            </w:pPr>
          </w:p>
          <w:p w:rsidR="005B5671" w:rsidRPr="004819F8" w:rsidRDefault="005B5671" w:rsidP="005B5671">
            <w:pPr>
              <w:pStyle w:val="Akapitzlist"/>
              <w:numPr>
                <w:ilvl w:val="0"/>
                <w:numId w:val="12"/>
              </w:numPr>
              <w:spacing w:after="0"/>
              <w:jc w:val="both"/>
            </w:pPr>
            <w:r w:rsidRPr="004819F8">
              <w:t xml:space="preserve">ul. </w:t>
            </w:r>
            <w:proofErr w:type="spellStart"/>
            <w:r w:rsidRPr="004819F8">
              <w:t>Mileszki</w:t>
            </w:r>
            <w:proofErr w:type="spellEnd"/>
            <w:r w:rsidRPr="004819F8">
              <w:t xml:space="preserve"> </w:t>
            </w:r>
          </w:p>
          <w:p w:rsidR="005B5671" w:rsidRPr="004819F8" w:rsidRDefault="005B5671" w:rsidP="005B5671">
            <w:pPr>
              <w:spacing w:after="0" w:line="240" w:lineRule="auto"/>
              <w:jc w:val="both"/>
            </w:pPr>
            <w:r w:rsidRPr="004819F8">
              <w:t>Całkowita długość przebudowywanej drogi :</w:t>
            </w:r>
            <w:r>
              <w:t xml:space="preserve"> 0,4</w:t>
            </w:r>
            <w:r w:rsidRPr="004819F8">
              <w:t xml:space="preserve"> km </w:t>
            </w:r>
          </w:p>
          <w:p w:rsidR="005B5671" w:rsidRPr="004819F8" w:rsidRDefault="005B5671" w:rsidP="005B5671">
            <w:pPr>
              <w:spacing w:after="0" w:line="240" w:lineRule="auto"/>
              <w:jc w:val="both"/>
            </w:pPr>
            <w:r w:rsidRPr="004819F8">
              <w:t>Długość wykonanych ciągów pieszo-rowerowych: 1,5 km</w:t>
            </w:r>
          </w:p>
          <w:p w:rsidR="005B5671" w:rsidRPr="004819F8" w:rsidRDefault="005B5671" w:rsidP="005B5671">
            <w:pPr>
              <w:spacing w:after="0" w:line="240" w:lineRule="auto"/>
              <w:jc w:val="both"/>
            </w:pPr>
          </w:p>
          <w:p w:rsidR="005B5671" w:rsidRPr="004819F8" w:rsidRDefault="005B5671" w:rsidP="005B5671">
            <w:pPr>
              <w:jc w:val="both"/>
            </w:pPr>
            <w:r w:rsidRPr="004819F8">
              <w:t>Oszczędność kosztów czasu pracy pasażerów (PLN/rok) – 382 979</w:t>
            </w:r>
            <w:r w:rsidRPr="004819F8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                  </w:t>
            </w:r>
          </w:p>
          <w:p w:rsidR="005B5671" w:rsidRPr="004819F8" w:rsidRDefault="005B5671" w:rsidP="005B5671">
            <w:pPr>
              <w:spacing w:after="0"/>
              <w:jc w:val="both"/>
            </w:pPr>
            <w:r w:rsidRPr="004819F8">
              <w:t>Oszczędność kosztów czasu pracy kierowców (PLN/rok) -  61</w:t>
            </w:r>
            <w:r>
              <w:t> </w:t>
            </w:r>
            <w:r w:rsidRPr="004819F8">
              <w:t>195</w:t>
            </w:r>
          </w:p>
          <w:p w:rsidR="003865B2" w:rsidRDefault="003865B2" w:rsidP="00F623CD">
            <w:pPr>
              <w:jc w:val="both"/>
            </w:pPr>
          </w:p>
        </w:tc>
      </w:tr>
      <w:tr w:rsidR="00150CAF" w:rsidTr="00E96803">
        <w:trPr>
          <w:trHeight w:val="173"/>
        </w:trPr>
        <w:tc>
          <w:tcPr>
            <w:tcW w:w="9370" w:type="dxa"/>
            <w:gridSpan w:val="2"/>
          </w:tcPr>
          <w:p w:rsidR="00150CAF" w:rsidRDefault="00150CAF" w:rsidP="00150CAF">
            <w:pPr>
              <w:spacing w:after="0"/>
              <w:jc w:val="both"/>
            </w:pPr>
            <w:r>
              <w:t>f) wpływ planowanej inwestycji na ograniczenie skutków klęsk żywiołowych lub zapobieganie</w:t>
            </w:r>
          </w:p>
          <w:p w:rsidR="00150CAF" w:rsidRDefault="00150CAF" w:rsidP="00150CAF">
            <w:pPr>
              <w:spacing w:after="0"/>
              <w:jc w:val="both"/>
            </w:pPr>
            <w:r>
              <w:t xml:space="preserve">im w przyszłości, jeżeli planowana inwestycja może mieć taki wpływ </w:t>
            </w: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:rsidTr="00E96803">
        <w:trPr>
          <w:trHeight w:val="173"/>
        </w:trPr>
        <w:tc>
          <w:tcPr>
            <w:tcW w:w="9370" w:type="dxa"/>
            <w:gridSpan w:val="2"/>
          </w:tcPr>
          <w:p w:rsidR="00150CAF" w:rsidRDefault="005B5671" w:rsidP="00F623CD">
            <w:pPr>
              <w:jc w:val="both"/>
            </w:pPr>
            <w:r w:rsidRPr="00DD2701">
              <w:rPr>
                <w:bCs/>
              </w:rPr>
              <w:t xml:space="preserve">Realizacja projektu nie będzie prowadziła do pogorszenia jakości środowiska. W trakcie prac budowlanych zachowane będą podstawowe postulaty z  </w:t>
            </w:r>
            <w:r>
              <w:rPr>
                <w:bCs/>
              </w:rPr>
              <w:t>zakresu ochrony środowiska tj. n</w:t>
            </w:r>
            <w:r w:rsidRPr="00DD2701">
              <w:rPr>
                <w:bCs/>
              </w:rPr>
              <w:t>ie będzie prowadzonych prac w godzinach nocnych</w:t>
            </w:r>
            <w:r>
              <w:rPr>
                <w:bCs/>
              </w:rPr>
              <w:t>,</w:t>
            </w:r>
            <w:r w:rsidRPr="00DD2701">
              <w:rPr>
                <w:bCs/>
              </w:rPr>
              <w:t xml:space="preserve"> minimalizowane będzie zajęcie terenu wszelkie odpady będą utylizowane zgodnie z wymogami ochrony środowi</w:t>
            </w:r>
            <w:r>
              <w:rPr>
                <w:bCs/>
              </w:rPr>
              <w:t xml:space="preserve">ska. Przebudowana ul. </w:t>
            </w:r>
            <w:r w:rsidRPr="00DD2701">
              <w:rPr>
                <w:bCs/>
              </w:rPr>
              <w:t xml:space="preserve">będzie wyposażona w systemy odwadniające </w:t>
            </w:r>
            <w:r>
              <w:rPr>
                <w:bCs/>
              </w:rPr>
              <w:t>drogę, dzięki czemu wody opadowe będą podlegały oczyszczeniu.</w:t>
            </w:r>
          </w:p>
        </w:tc>
      </w:tr>
      <w:tr w:rsidR="00150CAF" w:rsidTr="00E96803">
        <w:trPr>
          <w:trHeight w:val="173"/>
        </w:trPr>
        <w:tc>
          <w:tcPr>
            <w:tcW w:w="9370" w:type="dxa"/>
            <w:gridSpan w:val="2"/>
          </w:tcPr>
          <w:p w:rsidR="00150CAF" w:rsidRDefault="00150CAF" w:rsidP="00150CAF">
            <w:pPr>
              <w:spacing w:after="0"/>
              <w:jc w:val="both"/>
            </w:pPr>
            <w:r>
              <w:t>g) zapewnienie dostępności w rozumieniu ustawy z dnia 19 lipca 2019 r. o zapewnianiu</w:t>
            </w:r>
          </w:p>
          <w:p w:rsidR="00150CAF" w:rsidRDefault="00150CAF" w:rsidP="00150CAF">
            <w:pPr>
              <w:spacing w:after="0"/>
              <w:jc w:val="both"/>
            </w:pPr>
            <w:r>
              <w:t xml:space="preserve">dostępności osobom ze szczególnymi potrzebami (Dz.U. </w:t>
            </w:r>
            <w:r w:rsidR="009E04AF">
              <w:t>z</w:t>
            </w:r>
            <w:r>
              <w:t xml:space="preserve"> 2020 </w:t>
            </w:r>
            <w:r w:rsidR="009E04AF">
              <w:t xml:space="preserve">r. </w:t>
            </w:r>
            <w:r>
              <w:t>poz. 1062)</w:t>
            </w:r>
            <w:r w:rsidR="009E04AF" w:rsidRPr="00150CAF">
              <w:rPr>
                <w:i/>
                <w:sz w:val="14"/>
                <w:szCs w:val="14"/>
              </w:rPr>
              <w:t xml:space="preserve"> (max. 500 znaków)</w:t>
            </w:r>
          </w:p>
          <w:p w:rsidR="00150CAF" w:rsidRPr="00150CAF" w:rsidRDefault="00150CAF" w:rsidP="00150CAF">
            <w:pPr>
              <w:spacing w:after="0"/>
              <w:jc w:val="both"/>
              <w:rPr>
                <w:i/>
              </w:rPr>
            </w:pP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:rsidTr="00E96803">
        <w:trPr>
          <w:trHeight w:val="173"/>
        </w:trPr>
        <w:tc>
          <w:tcPr>
            <w:tcW w:w="9370" w:type="dxa"/>
            <w:gridSpan w:val="2"/>
          </w:tcPr>
          <w:p w:rsidR="00150CAF" w:rsidRDefault="005B5671" w:rsidP="00150CAF">
            <w:pPr>
              <w:spacing w:after="0"/>
              <w:jc w:val="both"/>
            </w:pPr>
            <w:r w:rsidRPr="00D8597A">
              <w:rPr>
                <w:rFonts w:ascii="Calibri" w:eastAsia="Calibri" w:hAnsi="Calibri" w:cs="Times New Roman"/>
                <w:bCs/>
                <w:iCs/>
              </w:rPr>
              <w:t xml:space="preserve">Podczas realizacji projektu będą uwzględnione zasady równości szans kobiet i mężczyzn. </w:t>
            </w:r>
            <w:r w:rsidRPr="00D8597A">
              <w:rPr>
                <w:rFonts w:ascii="Calibri" w:eastAsia="Calibri" w:hAnsi="Calibri" w:cs="Times New Roman"/>
              </w:rPr>
              <w:t xml:space="preserve">Projekt </w:t>
            </w:r>
            <w:r>
              <w:rPr>
                <w:rFonts w:ascii="Calibri" w:eastAsia="Calibri" w:hAnsi="Calibri" w:cs="Times New Roman"/>
              </w:rPr>
              <w:t xml:space="preserve">pozytywnie </w:t>
            </w:r>
            <w:r w:rsidRPr="00D8597A">
              <w:rPr>
                <w:rFonts w:ascii="Calibri" w:eastAsia="Calibri" w:hAnsi="Calibri" w:cs="Times New Roman"/>
              </w:rPr>
              <w:t xml:space="preserve">wpływa na realizację polityki równych szans. W efekcie jego realizacji osoby niepełnosprawne będą mogły łatwiej poruszać się po przebudowanym ciągu komunikacyjnym. Do potrzeb osób niepełnosprawnych zostaną przystosowane </w:t>
            </w:r>
            <w:r>
              <w:rPr>
                <w:rFonts w:ascii="Calibri" w:eastAsia="Calibri" w:hAnsi="Calibri" w:cs="Times New Roman"/>
              </w:rPr>
              <w:t xml:space="preserve">przystanki, </w:t>
            </w:r>
            <w:r w:rsidRPr="00D8597A">
              <w:rPr>
                <w:rFonts w:ascii="Calibri" w:eastAsia="Calibri" w:hAnsi="Calibri" w:cs="Times New Roman"/>
              </w:rPr>
              <w:t xml:space="preserve">podjazdy i </w:t>
            </w:r>
            <w:r>
              <w:rPr>
                <w:rFonts w:ascii="Calibri" w:eastAsia="Calibri" w:hAnsi="Calibri" w:cs="Times New Roman"/>
              </w:rPr>
              <w:t>zjazdy</w:t>
            </w:r>
            <w:r w:rsidRPr="00D8597A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t xml:space="preserve"> W projekcie zostaną uwzględnione zasady uniwersalnego projektowania.</w:t>
            </w:r>
          </w:p>
        </w:tc>
      </w:tr>
    </w:tbl>
    <w:p w:rsidR="000843F6" w:rsidRDefault="000843F6" w:rsidP="003E6756">
      <w:pPr>
        <w:tabs>
          <w:tab w:val="left" w:pos="4465"/>
          <w:tab w:val="left" w:pos="7016"/>
        </w:tabs>
        <w:ind w:left="56"/>
      </w:pPr>
    </w:p>
    <w:p w:rsidR="00ED5E96" w:rsidRDefault="00ED5E96" w:rsidP="003E6756">
      <w:pPr>
        <w:tabs>
          <w:tab w:val="left" w:pos="4465"/>
          <w:tab w:val="left" w:pos="7016"/>
        </w:tabs>
        <w:ind w:left="56"/>
      </w:pPr>
    </w:p>
    <w:p w:rsidR="00EA1E58" w:rsidRDefault="00EA1E58" w:rsidP="003E6756">
      <w:pPr>
        <w:tabs>
          <w:tab w:val="left" w:pos="4465"/>
          <w:tab w:val="left" w:pos="7016"/>
        </w:tabs>
        <w:ind w:left="56"/>
      </w:pPr>
    </w:p>
    <w:p w:rsidR="00803173" w:rsidRDefault="00803173" w:rsidP="003E6756">
      <w:pPr>
        <w:tabs>
          <w:tab w:val="left" w:pos="4465"/>
          <w:tab w:val="left" w:pos="7016"/>
        </w:tabs>
        <w:ind w:left="56"/>
      </w:pPr>
    </w:p>
    <w:p w:rsidR="00803173" w:rsidRDefault="00803173" w:rsidP="003E6756">
      <w:pPr>
        <w:tabs>
          <w:tab w:val="left" w:pos="4465"/>
          <w:tab w:val="left" w:pos="7016"/>
        </w:tabs>
        <w:ind w:left="56"/>
      </w:pPr>
    </w:p>
    <w:p w:rsidR="00803173" w:rsidRDefault="00803173" w:rsidP="003E6756">
      <w:pPr>
        <w:tabs>
          <w:tab w:val="left" w:pos="4465"/>
          <w:tab w:val="left" w:pos="7016"/>
        </w:tabs>
        <w:ind w:left="56"/>
      </w:pPr>
      <w:bookmarkStart w:id="0" w:name="_GoBack"/>
      <w:bookmarkEnd w:id="0"/>
    </w:p>
    <w:p w:rsidR="00EA1E58" w:rsidRDefault="00EA1E58" w:rsidP="003E6756">
      <w:pPr>
        <w:tabs>
          <w:tab w:val="left" w:pos="4465"/>
          <w:tab w:val="left" w:pos="7016"/>
        </w:tabs>
        <w:ind w:left="56"/>
      </w:pPr>
    </w:p>
    <w:p w:rsidR="00EA1E58" w:rsidRDefault="00EA1E58" w:rsidP="003E6756">
      <w:pPr>
        <w:tabs>
          <w:tab w:val="left" w:pos="4465"/>
          <w:tab w:val="left" w:pos="7016"/>
        </w:tabs>
        <w:ind w:left="56"/>
      </w:pPr>
    </w:p>
    <w:p w:rsidR="00EA1E58" w:rsidRDefault="00EA1E58" w:rsidP="003E6756">
      <w:pPr>
        <w:tabs>
          <w:tab w:val="left" w:pos="4465"/>
          <w:tab w:val="left" w:pos="7016"/>
        </w:tabs>
        <w:ind w:left="56"/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696"/>
        <w:gridCol w:w="4246"/>
      </w:tblGrid>
      <w:tr w:rsidR="00494C93" w:rsidTr="005B5671">
        <w:trPr>
          <w:trHeight w:val="292"/>
        </w:trPr>
        <w:tc>
          <w:tcPr>
            <w:tcW w:w="5124" w:type="dxa"/>
            <w:gridSpan w:val="2"/>
            <w:shd w:val="clear" w:color="auto" w:fill="D9D9D9" w:themeFill="background1" w:themeFillShade="D9"/>
          </w:tcPr>
          <w:p w:rsidR="00494C93" w:rsidRDefault="00494C93" w:rsidP="00252E8B">
            <w:pPr>
              <w:jc w:val="center"/>
            </w:pPr>
            <w:r>
              <w:lastRenderedPageBreak/>
              <w:t>Klasyfikacja budżetowa wydatków na planowaną inwestycję</w:t>
            </w:r>
          </w:p>
        </w:tc>
        <w:tc>
          <w:tcPr>
            <w:tcW w:w="4246" w:type="dxa"/>
            <w:shd w:val="clear" w:color="auto" w:fill="D9D9D9" w:themeFill="background1" w:themeFillShade="D9"/>
          </w:tcPr>
          <w:p w:rsidR="00494C93" w:rsidRDefault="00494C93" w:rsidP="00252E8B">
            <w:pPr>
              <w:jc w:val="center"/>
            </w:pPr>
            <w:r>
              <w:t xml:space="preserve">Udział wydatków z Funduszu </w:t>
            </w:r>
            <w:bookmarkStart w:id="1" w:name="highlightHit_592"/>
            <w:bookmarkEnd w:id="1"/>
            <w:r w:rsidRPr="00802D4F">
              <w:t xml:space="preserve">Przeciwdziałania </w:t>
            </w:r>
            <w:bookmarkStart w:id="2" w:name="highlightHit_593"/>
            <w:bookmarkEnd w:id="2"/>
            <w:r w:rsidRPr="00802D4F">
              <w:t>COVID-</w:t>
            </w:r>
            <w:bookmarkStart w:id="3" w:name="highlightHit_594"/>
            <w:bookmarkEnd w:id="3"/>
            <w:r w:rsidRPr="00802D4F">
              <w:t>1</w:t>
            </w:r>
            <w:r>
              <w:t>9 w wartości planowanej inwestycji</w:t>
            </w:r>
          </w:p>
          <w:p w:rsidR="00494C93" w:rsidRDefault="00494C93" w:rsidP="00252E8B">
            <w:pPr>
              <w:jc w:val="center"/>
            </w:pPr>
            <w:r>
              <w:t>(%)</w:t>
            </w:r>
          </w:p>
        </w:tc>
      </w:tr>
      <w:tr w:rsidR="00494C93" w:rsidTr="005B5671">
        <w:trPr>
          <w:trHeight w:val="443"/>
        </w:trPr>
        <w:tc>
          <w:tcPr>
            <w:tcW w:w="2428" w:type="dxa"/>
            <w:shd w:val="clear" w:color="auto" w:fill="D9D9D9" w:themeFill="background1" w:themeFillShade="D9"/>
          </w:tcPr>
          <w:p w:rsidR="00494C93" w:rsidRDefault="00494C93" w:rsidP="00252E8B">
            <w:pPr>
              <w:jc w:val="both"/>
            </w:pPr>
            <w:r>
              <w:t>dział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494C93" w:rsidRDefault="00494C93" w:rsidP="00252E8B">
            <w:pPr>
              <w:jc w:val="both"/>
            </w:pPr>
            <w:r>
              <w:t>rozdział</w:t>
            </w:r>
          </w:p>
        </w:tc>
        <w:tc>
          <w:tcPr>
            <w:tcW w:w="4246" w:type="dxa"/>
            <w:shd w:val="clear" w:color="auto" w:fill="D9D9D9" w:themeFill="background1" w:themeFillShade="D9"/>
          </w:tcPr>
          <w:p w:rsidR="00494C93" w:rsidRDefault="00494C93" w:rsidP="00252E8B">
            <w:pPr>
              <w:jc w:val="both"/>
            </w:pPr>
          </w:p>
        </w:tc>
      </w:tr>
      <w:tr w:rsidR="00494C93" w:rsidTr="005B5671">
        <w:trPr>
          <w:trHeight w:val="426"/>
        </w:trPr>
        <w:tc>
          <w:tcPr>
            <w:tcW w:w="2428" w:type="dxa"/>
            <w:vAlign w:val="center"/>
          </w:tcPr>
          <w:p w:rsidR="00494C93" w:rsidRDefault="00494C93" w:rsidP="00FD3E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6" w:type="dxa"/>
            <w:vAlign w:val="center"/>
          </w:tcPr>
          <w:p w:rsidR="00494C93" w:rsidRDefault="00494C93" w:rsidP="00FD3E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46" w:type="dxa"/>
            <w:vAlign w:val="center"/>
          </w:tcPr>
          <w:p w:rsidR="00494C93" w:rsidRDefault="00494C93" w:rsidP="00FD3E1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B5671" w:rsidTr="005B5671">
        <w:trPr>
          <w:trHeight w:val="284"/>
        </w:trPr>
        <w:tc>
          <w:tcPr>
            <w:tcW w:w="2428" w:type="dxa"/>
          </w:tcPr>
          <w:p w:rsidR="005B5671" w:rsidRDefault="005B5671" w:rsidP="005B5671">
            <w:pPr>
              <w:spacing w:after="0" w:line="240" w:lineRule="auto"/>
              <w:jc w:val="both"/>
            </w:pPr>
            <w:r w:rsidRPr="00DC0C96">
              <w:t>60</w:t>
            </w:r>
            <w:r>
              <w:t>0</w:t>
            </w:r>
          </w:p>
        </w:tc>
        <w:tc>
          <w:tcPr>
            <w:tcW w:w="2696" w:type="dxa"/>
          </w:tcPr>
          <w:p w:rsidR="005B5671" w:rsidRDefault="005B5671" w:rsidP="005B5671">
            <w:pPr>
              <w:spacing w:after="0" w:line="240" w:lineRule="auto"/>
              <w:jc w:val="both"/>
            </w:pPr>
            <w:r w:rsidRPr="008A30DF">
              <w:t>60015</w:t>
            </w:r>
          </w:p>
        </w:tc>
        <w:tc>
          <w:tcPr>
            <w:tcW w:w="4246" w:type="dxa"/>
          </w:tcPr>
          <w:p w:rsidR="005B5671" w:rsidRDefault="005B5671" w:rsidP="005B5671">
            <w:pPr>
              <w:spacing w:after="0" w:line="240" w:lineRule="auto"/>
              <w:jc w:val="both"/>
            </w:pPr>
            <w:r>
              <w:t>100</w:t>
            </w:r>
          </w:p>
        </w:tc>
      </w:tr>
    </w:tbl>
    <w:p w:rsidR="00252E8B" w:rsidRDefault="00252E8B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6A6696" w:rsidRPr="006A6696" w:rsidRDefault="00C162F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mina</w:t>
      </w:r>
      <w:r w:rsidR="00E64C3B">
        <w:rPr>
          <w:rFonts w:ascii="Calibri" w:eastAsia="Times New Roman" w:hAnsi="Calibri" w:cs="Calibri"/>
          <w:color w:val="000000"/>
          <w:lang w:eastAsia="pl-PL"/>
        </w:rPr>
        <w:t>/</w:t>
      </w:r>
      <w:r w:rsidR="0019028F">
        <w:rPr>
          <w:rFonts w:ascii="Calibri" w:eastAsia="Times New Roman" w:hAnsi="Calibri" w:cs="Calibri"/>
          <w:color w:val="000000"/>
          <w:lang w:eastAsia="pl-PL"/>
        </w:rPr>
        <w:t>powiat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/województwo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5B5671">
        <w:rPr>
          <w:rFonts w:ascii="Calibri" w:eastAsia="Times New Roman" w:hAnsi="Calibri" w:cs="Calibri"/>
          <w:i/>
          <w:color w:val="000000"/>
          <w:lang w:eastAsia="pl-PL"/>
        </w:rPr>
        <w:t xml:space="preserve">Gmina Miasto Łódź </w:t>
      </w:r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(nazwa </w:t>
      </w:r>
      <w:proofErr w:type="spellStart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>jst</w:t>
      </w:r>
      <w:proofErr w:type="spellEnd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) </w:t>
      </w:r>
      <w:r>
        <w:rPr>
          <w:rFonts w:ascii="Calibri" w:eastAsia="Times New Roman" w:hAnsi="Calibri" w:cs="Calibri"/>
          <w:color w:val="000000"/>
          <w:lang w:eastAsia="pl-PL"/>
        </w:rPr>
        <w:t>zobowiązuje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się do:</w:t>
      </w:r>
    </w:p>
    <w:p w:rsidR="006A6696" w:rsidRDefault="006A6696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A6696">
        <w:rPr>
          <w:rFonts w:ascii="Calibri" w:eastAsia="Times New Roman" w:hAnsi="Calibri" w:cs="Calibri"/>
          <w:color w:val="000000"/>
          <w:lang w:eastAsia="pl-PL"/>
        </w:rPr>
        <w:t>1) przeznaczenia całości otrzymanych środków na wydatki majątkowe objęte wnioskiem</w:t>
      </w:r>
      <w:r w:rsidR="00C162F3">
        <w:rPr>
          <w:rFonts w:ascii="Calibri" w:eastAsia="Times New Roman" w:hAnsi="Calibri" w:cs="Calibri"/>
          <w:color w:val="000000"/>
          <w:lang w:eastAsia="pl-PL"/>
        </w:rPr>
        <w:t>, a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162F3">
        <w:rPr>
          <w:rFonts w:ascii="Calibri" w:eastAsia="Times New Roman" w:hAnsi="Calibri" w:cs="Calibri"/>
          <w:color w:val="000000"/>
          <w:lang w:eastAsia="pl-PL"/>
        </w:rPr>
        <w:t>w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przypadku zmiany 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zakresu kosztu lub przedmiotu </w:t>
      </w:r>
      <w:r w:rsidR="00CB0B12">
        <w:rPr>
          <w:rFonts w:ascii="Calibri" w:eastAsia="Times New Roman" w:hAnsi="Calibri" w:cs="Calibri"/>
          <w:color w:val="000000"/>
          <w:lang w:eastAsia="pl-PL"/>
        </w:rPr>
        <w:t>wydatku majątkowego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 poinformowania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 o tym Prezesa Rady Ministrów za pośrednictwem wojewody</w:t>
      </w:r>
      <w:r w:rsidR="00925C23">
        <w:rPr>
          <w:rFonts w:ascii="Calibri" w:eastAsia="Times New Roman" w:hAnsi="Calibri" w:cs="Calibri"/>
          <w:color w:val="000000"/>
          <w:lang w:eastAsia="pl-PL"/>
        </w:rPr>
        <w:t xml:space="preserve"> w terminie 14 dni od </w:t>
      </w:r>
      <w:r w:rsidR="009B4AE3">
        <w:rPr>
          <w:rFonts w:ascii="Calibri" w:eastAsia="Times New Roman" w:hAnsi="Calibri" w:cs="Calibri"/>
          <w:color w:val="000000"/>
          <w:lang w:eastAsia="pl-PL"/>
        </w:rPr>
        <w:t xml:space="preserve">dnia </w:t>
      </w:r>
      <w:r w:rsidR="00925C23">
        <w:rPr>
          <w:rFonts w:ascii="Calibri" w:eastAsia="Times New Roman" w:hAnsi="Calibri" w:cs="Calibri"/>
          <w:color w:val="000000"/>
          <w:lang w:eastAsia="pl-PL"/>
        </w:rPr>
        <w:t>zaistnienia zmiany</w:t>
      </w:r>
      <w:r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:rsidR="00CB0B12" w:rsidRDefault="00CB0B12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2) przeznaczenia niewykorzystanych środków na wydatki majątkowe;</w:t>
      </w:r>
    </w:p>
    <w:p w:rsidR="006A6696" w:rsidRPr="006A6696" w:rsidRDefault="00925C2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3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odsetek od otrzymanych środków, zgromadzonych na rachunku bankowym lub lokacie</w:t>
      </w:r>
      <w:r w:rsidR="009E04AF">
        <w:rPr>
          <w:rFonts w:ascii="Calibri" w:eastAsia="Times New Roman" w:hAnsi="Calibri" w:cs="Calibri"/>
          <w:color w:val="000000"/>
          <w:lang w:eastAsia="pl-PL"/>
        </w:rPr>
        <w:t>,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na </w:t>
      </w:r>
      <w:r w:rsidR="009B4AE3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>
        <w:rPr>
          <w:rFonts w:ascii="Calibri" w:eastAsia="Times New Roman" w:hAnsi="Calibri" w:cs="Calibri"/>
          <w:color w:val="000000"/>
          <w:lang w:eastAsia="pl-PL"/>
        </w:rPr>
        <w:t>;</w:t>
      </w:r>
    </w:p>
    <w:p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4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ewentualnej kary umownej, uiszczonej przez w</w:t>
      </w:r>
      <w:r w:rsidR="007A3282">
        <w:rPr>
          <w:rFonts w:ascii="Calibri" w:eastAsia="Times New Roman" w:hAnsi="Calibri" w:cs="Calibri"/>
          <w:color w:val="000000"/>
          <w:lang w:eastAsia="pl-PL"/>
        </w:rPr>
        <w:t>ykonawcę realizującego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inwestycję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dotyc</w:t>
      </w:r>
      <w:r w:rsidR="007A3282">
        <w:rPr>
          <w:rFonts w:ascii="Calibri" w:eastAsia="Times New Roman" w:hAnsi="Calibri" w:cs="Calibri"/>
          <w:color w:val="000000"/>
          <w:lang w:eastAsia="pl-PL"/>
        </w:rPr>
        <w:t>zącą wydatku majątkowego objętego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wnioskiem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, na </w:t>
      </w:r>
      <w:r w:rsidR="006A6696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:rsidR="006A6696" w:rsidRPr="006A6696" w:rsidRDefault="00C95434" w:rsidP="002D42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5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przedkładania do właściwego wojewody w formie elektronicznej, przez elektroniczną skrzynkę podawczą,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rocznych informacji o wykorzystaniu środków, na określonym w uchwale Rady Ministrów w sprawie wsparcia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na realizację zadań inwestycyjnych przez jednostki samorządu terytorialnego wzorze, według stanu na koniec roku, w terminie 30 dni od dnia zakończenia okresu, za który sporządzana jest informacja, oraz 60 dni od dnia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zakończenia wydatkowania przekazanych środków;</w:t>
      </w:r>
    </w:p>
    <w:p w:rsidR="00961170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6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umieszczenia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C3001">
        <w:rPr>
          <w:rFonts w:ascii="Calibri" w:eastAsia="Times New Roman" w:hAnsi="Calibri" w:cs="Calibri"/>
          <w:color w:val="000000"/>
          <w:lang w:eastAsia="pl-PL"/>
        </w:rPr>
        <w:t>na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przedmiocie</w:t>
      </w:r>
      <w:r w:rsidR="00CC3001">
        <w:rPr>
          <w:rFonts w:ascii="Calibri" w:eastAsia="Times New Roman" w:hAnsi="Calibri" w:cs="Calibri"/>
          <w:color w:val="000000"/>
          <w:lang w:eastAsia="pl-PL"/>
        </w:rPr>
        <w:t xml:space="preserve"> inwestycji</w:t>
      </w:r>
      <w:r w:rsidR="00AC622E">
        <w:rPr>
          <w:rFonts w:ascii="Calibri" w:eastAsia="Times New Roman" w:hAnsi="Calibri" w:cs="Calibri"/>
          <w:color w:val="000000"/>
          <w:lang w:eastAsia="pl-PL"/>
        </w:rPr>
        <w:t>, w momencie jej rozpoczęcia,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tabliczki z logo, zgodnie</w:t>
      </w:r>
      <w:r w:rsidR="004B60A7">
        <w:rPr>
          <w:rFonts w:ascii="Calibri" w:eastAsia="Times New Roman" w:hAnsi="Calibri" w:cs="Calibri"/>
          <w:color w:val="000000"/>
          <w:lang w:eastAsia="pl-PL"/>
        </w:rPr>
        <w:t xml:space="preserve"> ze 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wzorem określonym w uchwale R</w:t>
      </w:r>
      <w:r w:rsidR="009E04AF">
        <w:rPr>
          <w:rFonts w:ascii="Calibri" w:eastAsia="Times New Roman" w:hAnsi="Calibri" w:cs="Calibri"/>
          <w:color w:val="000000"/>
          <w:lang w:eastAsia="pl-PL"/>
        </w:rPr>
        <w:t xml:space="preserve">ady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</w:t>
      </w:r>
      <w:r w:rsidR="009E04AF">
        <w:t xml:space="preserve">inistrów </w:t>
      </w:r>
      <w:r w:rsidR="0019028F" w:rsidRPr="0019028F">
        <w:t>w sprawie wsparcia na realizację zadań inwestycyjnych przez jednostki samorządu terytorialnego</w:t>
      </w:r>
      <w:r w:rsidR="009E04AF">
        <w:t>,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z informacją o pochodzeniu środków </w:t>
      </w:r>
      <w:r w:rsidR="00F13E51">
        <w:rPr>
          <w:rFonts w:ascii="Calibri" w:eastAsia="Times New Roman" w:hAnsi="Calibri" w:cs="Calibri"/>
          <w:color w:val="000000"/>
          <w:lang w:eastAsia="pl-PL"/>
        </w:rPr>
        <w:t>oraz zamieszczenia informacji o otrzymanych środkach na stronie internetowej urzędu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gminy/powiatu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.</w:t>
      </w:r>
    </w:p>
    <w:p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61170" w:rsidRDefault="00961170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0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536"/>
      </w:tblGrid>
      <w:tr w:rsidR="00182032" w:rsidTr="00780074">
        <w:trPr>
          <w:trHeight w:val="387"/>
        </w:trPr>
        <w:tc>
          <w:tcPr>
            <w:tcW w:w="4481" w:type="dxa"/>
          </w:tcPr>
          <w:p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B5671" w:rsidRPr="005B5671" w:rsidRDefault="005B5671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5B567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Krzysztof </w:t>
            </w:r>
            <w:proofErr w:type="spellStart"/>
            <w:r w:rsidRPr="005B567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Mączkowski</w:t>
            </w:r>
            <w:proofErr w:type="spellEnd"/>
            <w:r w:rsidRPr="005B5671">
              <w:rPr>
                <w:rFonts w:ascii="Calibri" w:eastAsia="Times New Roman" w:hAnsi="Calibri" w:cs="Calibri"/>
                <w:b/>
                <w:i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5B5671" w:rsidRDefault="005B5671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Pr="00AB65DA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4536" w:type="dxa"/>
          </w:tcPr>
          <w:p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B5671" w:rsidRPr="005B5671" w:rsidRDefault="005B5671" w:rsidP="0019028F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5B567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Hanna Zdanowska</w:t>
            </w:r>
            <w:r w:rsidRPr="005B5671">
              <w:rPr>
                <w:rFonts w:ascii="Calibri" w:eastAsia="Times New Roman" w:hAnsi="Calibri" w:cs="Calibri"/>
                <w:b/>
                <w:i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182032" w:rsidRPr="00AB65DA" w:rsidRDefault="00182032" w:rsidP="0019028F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(wójt/burmis</w:t>
            </w:r>
            <w:r w:rsidR="0019028F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trz/prezydent/starosta</w:t>
            </w:r>
            <w:r w:rsidR="00E64C3B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/marszałek województwa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182032" w:rsidTr="00780074">
        <w:trPr>
          <w:trHeight w:val="333"/>
        </w:trPr>
        <w:tc>
          <w:tcPr>
            <w:tcW w:w="4481" w:type="dxa"/>
          </w:tcPr>
          <w:p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Pr="00305143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</w:p>
          <w:p w:rsidR="00182032" w:rsidRPr="00305143" w:rsidRDefault="00C83F84" w:rsidP="00182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05143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Łódź</w:t>
            </w:r>
            <w:r w:rsidR="00305143" w:rsidRPr="00305143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, 21.12.2020 r.</w:t>
            </w:r>
          </w:p>
          <w:p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182032" w:rsidRPr="004B60A7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36" w:type="dxa"/>
          </w:tcPr>
          <w:p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305143" w:rsidRPr="00305143" w:rsidRDefault="00305143" w:rsidP="0030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05143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Łódź, 21.12.2020 r.</w:t>
            </w:r>
          </w:p>
          <w:p w:rsidR="00182032" w:rsidRDefault="00305143" w:rsidP="0030514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182032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182032" w:rsidRPr="00AB65DA" w:rsidRDefault="00182032" w:rsidP="00AB65D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B60A7" w:rsidRPr="00323453" w:rsidRDefault="004B60A7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323453" w:rsidRPr="00323453" w:rsidRDefault="00323453" w:rsidP="008378DE">
      <w:pPr>
        <w:tabs>
          <w:tab w:val="left" w:pos="4536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83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C29" w:rsidRDefault="009C6C29" w:rsidP="008005E8">
      <w:pPr>
        <w:spacing w:after="0" w:line="240" w:lineRule="auto"/>
      </w:pPr>
      <w:r>
        <w:separator/>
      </w:r>
    </w:p>
  </w:endnote>
  <w:endnote w:type="continuationSeparator" w:id="0">
    <w:p w:rsidR="009C6C29" w:rsidRDefault="009C6C29" w:rsidP="008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C29" w:rsidRDefault="009C6C29" w:rsidP="008005E8">
      <w:pPr>
        <w:spacing w:after="0" w:line="240" w:lineRule="auto"/>
      </w:pPr>
      <w:r>
        <w:separator/>
      </w:r>
    </w:p>
  </w:footnote>
  <w:footnote w:type="continuationSeparator" w:id="0">
    <w:p w:rsidR="009C6C29" w:rsidRDefault="009C6C29" w:rsidP="008005E8">
      <w:pPr>
        <w:spacing w:after="0" w:line="240" w:lineRule="auto"/>
      </w:pPr>
      <w:r>
        <w:continuationSeparator/>
      </w:r>
    </w:p>
  </w:footnote>
  <w:footnote w:id="1">
    <w:p w:rsidR="00687D57" w:rsidRPr="006578DE" w:rsidRDefault="00C27110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kompleksowości: </w:t>
      </w:r>
    </w:p>
    <w:p w:rsidR="00C27110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z</w:t>
      </w:r>
      <w:r w:rsidR="00F53655" w:rsidRPr="006578DE">
        <w:rPr>
          <w:rFonts w:cstheme="minorHAnsi"/>
          <w:sz w:val="14"/>
          <w:szCs w:val="14"/>
        </w:rPr>
        <w:t xml:space="preserve">awarcie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F53655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transport publiczny;</w:t>
      </w:r>
    </w:p>
    <w:p w:rsidR="00A0272C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>z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akup tramwaju dla obsługi planowanej lub realizowanej linii,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>z węzłem komunikacji au</w:t>
      </w:r>
      <w:r w:rsidR="000D68DE">
        <w:rPr>
          <w:rFonts w:cstheme="minorHAnsi"/>
          <w:color w:val="000000"/>
          <w:sz w:val="14"/>
          <w:szCs w:val="14"/>
        </w:rPr>
        <w:t>tobusowej podmiejskiej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z obszarem innej </w:t>
      </w:r>
      <w:proofErr w:type="spellStart"/>
      <w:r w:rsidR="00A40224">
        <w:rPr>
          <w:rFonts w:cstheme="minorHAnsi"/>
          <w:color w:val="000000"/>
          <w:sz w:val="14"/>
          <w:szCs w:val="14"/>
        </w:rPr>
        <w:t>jst</w:t>
      </w:r>
      <w:proofErr w:type="spellEnd"/>
      <w:r w:rsidR="00032D61">
        <w:rPr>
          <w:rFonts w:cstheme="minorHAnsi"/>
          <w:color w:val="000000"/>
          <w:sz w:val="14"/>
          <w:szCs w:val="14"/>
        </w:rPr>
        <w:t>;</w:t>
      </w:r>
    </w:p>
    <w:p w:rsidR="00687D57" w:rsidRPr="006578DE" w:rsidRDefault="00D70995" w:rsidP="00CB61C1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032D61">
        <w:rPr>
          <w:rFonts w:cstheme="minorHAnsi"/>
          <w:sz w:val="14"/>
          <w:szCs w:val="14"/>
        </w:rPr>
        <w:t xml:space="preserve">zapisanie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CB61C1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budowę</w:t>
      </w:r>
      <w:r w:rsidR="008543B7" w:rsidRPr="006578DE">
        <w:rPr>
          <w:rFonts w:cstheme="minorHAnsi"/>
          <w:sz w:val="14"/>
          <w:szCs w:val="14"/>
        </w:rPr>
        <w:t xml:space="preserve"> równoważnej liczby mieszkań w okresie trzech</w:t>
      </w:r>
      <w:r w:rsidR="003274FC">
        <w:rPr>
          <w:rFonts w:cstheme="minorHAnsi"/>
          <w:sz w:val="14"/>
          <w:szCs w:val="14"/>
        </w:rPr>
        <w:t xml:space="preserve"> lat</w:t>
      </w:r>
      <w:r w:rsidR="00800FFD" w:rsidRPr="006578DE">
        <w:rPr>
          <w:rFonts w:cstheme="minorHAnsi"/>
          <w:sz w:val="14"/>
          <w:szCs w:val="14"/>
        </w:rPr>
        <w:t>;</w:t>
      </w:r>
    </w:p>
    <w:p w:rsidR="004239CE" w:rsidRPr="006578DE" w:rsidRDefault="008915A3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infrastruktury rowerowej: </w:t>
      </w:r>
      <w:r w:rsidR="004239CE" w:rsidRPr="006578DE">
        <w:rPr>
          <w:rFonts w:cstheme="minorHAnsi"/>
          <w:sz w:val="14"/>
          <w:szCs w:val="14"/>
        </w:rPr>
        <w:t>długość dróg/ciągów rowerowych w promieniu 2 km od każdej z końcówek zrealizowane</w:t>
      </w:r>
      <w:r w:rsidR="009E04AF">
        <w:rPr>
          <w:rFonts w:cstheme="minorHAnsi"/>
          <w:sz w:val="14"/>
          <w:szCs w:val="14"/>
        </w:rPr>
        <w:t>j</w:t>
      </w:r>
      <w:r w:rsidR="004239CE" w:rsidRPr="006578DE">
        <w:rPr>
          <w:rFonts w:cstheme="minorHAnsi"/>
          <w:sz w:val="14"/>
          <w:szCs w:val="14"/>
        </w:rPr>
        <w:t>/</w:t>
      </w:r>
      <w:proofErr w:type="spellStart"/>
      <w:r w:rsidR="004239CE" w:rsidRPr="006578DE">
        <w:rPr>
          <w:rFonts w:cstheme="minorHAnsi"/>
          <w:sz w:val="14"/>
          <w:szCs w:val="14"/>
        </w:rPr>
        <w:t>nych</w:t>
      </w:r>
      <w:proofErr w:type="spellEnd"/>
      <w:r w:rsidR="004239CE" w:rsidRPr="006578DE">
        <w:rPr>
          <w:rFonts w:cstheme="minorHAnsi"/>
          <w:sz w:val="14"/>
          <w:szCs w:val="14"/>
        </w:rPr>
        <w:t xml:space="preserve"> inwestycji </w:t>
      </w:r>
      <w:r w:rsidR="0029648B">
        <w:rPr>
          <w:rFonts w:cstheme="minorHAnsi"/>
          <w:sz w:val="14"/>
          <w:szCs w:val="14"/>
        </w:rPr>
        <w:t>w zakresie dróg rowerowych</w:t>
      </w:r>
      <w:r w:rsidR="003274FC">
        <w:rPr>
          <w:rFonts w:cstheme="minorHAnsi"/>
          <w:sz w:val="14"/>
          <w:szCs w:val="14"/>
        </w:rPr>
        <w:t xml:space="preserve">, czy zrealizowano </w:t>
      </w:r>
      <w:r w:rsidR="004239CE" w:rsidRPr="006578DE">
        <w:rPr>
          <w:rFonts w:cstheme="minorHAnsi"/>
          <w:sz w:val="14"/>
          <w:szCs w:val="14"/>
        </w:rPr>
        <w:t>miejsc</w:t>
      </w:r>
      <w:r w:rsidR="003274FC">
        <w:rPr>
          <w:rFonts w:cstheme="minorHAnsi"/>
          <w:sz w:val="14"/>
          <w:szCs w:val="14"/>
        </w:rPr>
        <w:t>a postojowe</w:t>
      </w:r>
      <w:r w:rsidR="004239CE" w:rsidRPr="006578DE">
        <w:rPr>
          <w:rFonts w:cstheme="minorHAnsi"/>
          <w:sz w:val="14"/>
          <w:szCs w:val="14"/>
        </w:rPr>
        <w:t xml:space="preserve"> dla rowerów powiązan</w:t>
      </w:r>
      <w:r w:rsidR="009E04AF">
        <w:rPr>
          <w:rFonts w:cstheme="minorHAnsi"/>
          <w:sz w:val="14"/>
          <w:szCs w:val="14"/>
        </w:rPr>
        <w:t>e</w:t>
      </w:r>
      <w:r w:rsidR="004239CE" w:rsidRPr="006578DE">
        <w:rPr>
          <w:rFonts w:cstheme="minorHAnsi"/>
          <w:sz w:val="14"/>
          <w:szCs w:val="14"/>
        </w:rPr>
        <w:t xml:space="preserve"> z realizowaną drogą rowe</w:t>
      </w:r>
      <w:r w:rsidR="003274FC">
        <w:rPr>
          <w:rFonts w:cstheme="minorHAnsi"/>
          <w:sz w:val="14"/>
          <w:szCs w:val="14"/>
        </w:rPr>
        <w:t>rową</w:t>
      </w:r>
      <w:r w:rsidR="004E7595">
        <w:rPr>
          <w:rFonts w:cstheme="minorHAnsi"/>
          <w:sz w:val="14"/>
          <w:szCs w:val="14"/>
        </w:rPr>
        <w:t xml:space="preserve"> i w jakiej liczbie</w:t>
      </w:r>
      <w:r w:rsidR="003274FC">
        <w:rPr>
          <w:rFonts w:cstheme="minorHAnsi"/>
          <w:sz w:val="14"/>
          <w:szCs w:val="14"/>
        </w:rPr>
        <w:t>;</w:t>
      </w:r>
    </w:p>
    <w:p w:rsidR="00800FFD" w:rsidRPr="006578DE" w:rsidRDefault="00800FF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doświetlenie </w:t>
      </w:r>
      <w:r w:rsidR="00D903E3">
        <w:rPr>
          <w:rFonts w:cstheme="minorHAnsi"/>
          <w:sz w:val="14"/>
          <w:szCs w:val="14"/>
        </w:rPr>
        <w:t>określonej liczby i udziału</w:t>
      </w:r>
      <w:r w:rsidR="00D54D53">
        <w:rPr>
          <w:rFonts w:cstheme="minorHAnsi"/>
          <w:sz w:val="14"/>
          <w:szCs w:val="14"/>
        </w:rPr>
        <w:t xml:space="preserve"> </w:t>
      </w:r>
      <w:r w:rsidR="00071102">
        <w:rPr>
          <w:rFonts w:cstheme="minorHAnsi"/>
          <w:sz w:val="14"/>
          <w:szCs w:val="14"/>
        </w:rPr>
        <w:t>przejść dla pieszych</w:t>
      </w:r>
      <w:r w:rsidR="005D604C">
        <w:rPr>
          <w:rFonts w:cstheme="minorHAnsi"/>
          <w:sz w:val="14"/>
          <w:szCs w:val="14"/>
        </w:rPr>
        <w:t>;</w:t>
      </w:r>
    </w:p>
    <w:p w:rsidR="00C85DDB" w:rsidRPr="006578DE" w:rsidRDefault="00B90AA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</w:t>
      </w:r>
      <w:r w:rsidR="00F07119">
        <w:rPr>
          <w:sz w:val="14"/>
          <w:szCs w:val="14"/>
        </w:rPr>
        <w:t>budowy hal sportowych, basenów, budowy</w:t>
      </w:r>
      <w:r w:rsidR="004E7595">
        <w:rPr>
          <w:sz w:val="14"/>
          <w:szCs w:val="14"/>
        </w:rPr>
        <w:t xml:space="preserve"> i rozbudowy</w:t>
      </w:r>
      <w:r w:rsidR="00F07119" w:rsidRPr="00F07119">
        <w:rPr>
          <w:sz w:val="14"/>
          <w:szCs w:val="14"/>
        </w:rPr>
        <w:t xml:space="preserve"> szkół, przedszkoli</w:t>
      </w:r>
      <w:r w:rsidR="004E7595">
        <w:rPr>
          <w:sz w:val="14"/>
          <w:szCs w:val="14"/>
        </w:rPr>
        <w:t xml:space="preserve"> -</w:t>
      </w:r>
      <w:r w:rsidR="00F07119" w:rsidRPr="006578DE">
        <w:rPr>
          <w:rFonts w:cstheme="minorHAnsi"/>
          <w:sz w:val="14"/>
          <w:szCs w:val="14"/>
        </w:rPr>
        <w:t xml:space="preserve"> </w:t>
      </w:r>
      <w:r w:rsidR="00F07119">
        <w:rPr>
          <w:rFonts w:cstheme="minorHAnsi"/>
          <w:sz w:val="14"/>
          <w:szCs w:val="14"/>
        </w:rPr>
        <w:t>zapewnienie dostępności</w:t>
      </w:r>
      <w:r w:rsidR="004E7595">
        <w:rPr>
          <w:rFonts w:cstheme="minorHAnsi"/>
          <w:sz w:val="14"/>
          <w:szCs w:val="14"/>
        </w:rPr>
        <w:t xml:space="preserve"> do tych</w:t>
      </w:r>
      <w:r w:rsidR="00C85DDB" w:rsidRPr="006578DE">
        <w:rPr>
          <w:rFonts w:cstheme="minorHAnsi"/>
          <w:sz w:val="14"/>
          <w:szCs w:val="14"/>
        </w:rPr>
        <w:t xml:space="preserve"> obiektów w </w:t>
      </w:r>
      <w:r w:rsidR="00646D9B">
        <w:rPr>
          <w:rFonts w:cstheme="minorHAnsi"/>
          <w:sz w:val="14"/>
          <w:szCs w:val="14"/>
        </w:rPr>
        <w:t>odległości mniejszej niż 1000 m</w:t>
      </w:r>
      <w:r w:rsidR="00C85DDB" w:rsidRPr="006578DE">
        <w:rPr>
          <w:rFonts w:cstheme="minorHAnsi"/>
          <w:sz w:val="14"/>
          <w:szCs w:val="14"/>
        </w:rPr>
        <w:t xml:space="preserve"> lub 20 min. dojazdu komunikacją zbiorową</w:t>
      </w:r>
      <w:r w:rsidR="004E7595">
        <w:rPr>
          <w:rFonts w:cstheme="minorHAnsi"/>
          <w:sz w:val="14"/>
          <w:szCs w:val="14"/>
        </w:rPr>
        <w:t>;</w:t>
      </w:r>
    </w:p>
    <w:p w:rsidR="00C85DDB" w:rsidRPr="006578DE" w:rsidRDefault="004A3B1B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494C93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494C93">
        <w:rPr>
          <w:rFonts w:cstheme="minorHAnsi"/>
          <w:i/>
          <w:sz w:val="14"/>
          <w:szCs w:val="14"/>
        </w:rPr>
        <w:t>ride</w:t>
      </w:r>
      <w:proofErr w:type="spellEnd"/>
      <w:r>
        <w:rPr>
          <w:rFonts w:cstheme="minorHAnsi"/>
          <w:sz w:val="14"/>
          <w:szCs w:val="14"/>
        </w:rPr>
        <w:t xml:space="preserve">: </w:t>
      </w:r>
      <w:r w:rsidR="00C85DDB" w:rsidRPr="006578DE">
        <w:rPr>
          <w:rFonts w:cstheme="minorHAnsi"/>
          <w:sz w:val="14"/>
          <w:szCs w:val="14"/>
        </w:rPr>
        <w:t>realizacja sieci dróg rowerowych obsługujący</w:t>
      </w:r>
      <w:r>
        <w:rPr>
          <w:rFonts w:cstheme="minorHAnsi"/>
          <w:sz w:val="14"/>
          <w:szCs w:val="14"/>
        </w:rPr>
        <w:t xml:space="preserve">ch rejon w promieniu 4 km od parkingu </w:t>
      </w:r>
      <w:r w:rsidRPr="00B62AF1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B62AF1">
        <w:rPr>
          <w:rFonts w:cstheme="minorHAnsi"/>
          <w:i/>
          <w:sz w:val="14"/>
          <w:szCs w:val="14"/>
        </w:rPr>
        <w:t>ride</w:t>
      </w:r>
      <w:proofErr w:type="spellEnd"/>
      <w:r w:rsidR="00C85DDB" w:rsidRPr="006578DE">
        <w:rPr>
          <w:rFonts w:cstheme="minorHAnsi"/>
          <w:sz w:val="14"/>
          <w:szCs w:val="14"/>
        </w:rPr>
        <w:t>;</w:t>
      </w:r>
    </w:p>
    <w:p w:rsidR="00C85DDB" w:rsidRPr="006578DE" w:rsidRDefault="004A3B1B" w:rsidP="00721A67">
      <w:pPr>
        <w:pStyle w:val="Tre"/>
        <w:numPr>
          <w:ilvl w:val="0"/>
          <w:numId w:val="4"/>
        </w:num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w przypadku realizacji zakładów przetwarzania odpadów: realizacja</w:t>
      </w:r>
      <w:r w:rsidR="00C85DDB" w:rsidRPr="006578DE">
        <w:rPr>
          <w:rFonts w:asciiTheme="minorHAnsi" w:hAnsiTheme="minorHAnsi" w:cstheme="minorHAnsi"/>
          <w:sz w:val="14"/>
          <w:szCs w:val="14"/>
        </w:rPr>
        <w:t xml:space="preserve"> Zbiorczego Punktu Gromadzenia Odpadów na terenie każdej miejscowości.</w:t>
      </w:r>
    </w:p>
    <w:p w:rsidR="00C85DDB" w:rsidRPr="006578DE" w:rsidRDefault="00C85DDB" w:rsidP="006578DE">
      <w:pPr>
        <w:pStyle w:val="Tekstprzypisudolnego"/>
        <w:jc w:val="both"/>
        <w:rPr>
          <w:rFonts w:cstheme="minorHAnsi"/>
          <w:sz w:val="14"/>
          <w:szCs w:val="14"/>
        </w:rPr>
      </w:pPr>
    </w:p>
  </w:footnote>
  <w:footnote w:id="2">
    <w:p w:rsidR="00E0048B" w:rsidRPr="006578DE" w:rsidRDefault="00E0048B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ograniczenia emisyjności i ingerencji w środowisko:</w:t>
      </w:r>
    </w:p>
    <w:p w:rsidR="00EE390D" w:rsidRPr="006578DE" w:rsidRDefault="00EE390D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spadek średniej emisji spalin posiadanego taboru w oparciu o średnią wieku taboru</w:t>
      </w:r>
      <w:r w:rsidR="00180650">
        <w:rPr>
          <w:rFonts w:cstheme="minorHAnsi"/>
          <w:sz w:val="14"/>
          <w:szCs w:val="14"/>
        </w:rPr>
        <w:t xml:space="preserve"> – wskazanie o ile odmłodzono </w:t>
      </w:r>
      <w:r w:rsidR="00E123E8">
        <w:rPr>
          <w:rFonts w:cstheme="minorHAnsi"/>
          <w:sz w:val="14"/>
          <w:szCs w:val="14"/>
        </w:rPr>
        <w:t>wiek taboru.</w:t>
      </w:r>
      <w:r w:rsidR="00180650">
        <w:rPr>
          <w:rFonts w:cstheme="minorHAnsi"/>
          <w:sz w:val="14"/>
          <w:szCs w:val="14"/>
        </w:rPr>
        <w:t xml:space="preserve"> W przypadku wcześniejszego braku taboru  –</w:t>
      </w:r>
      <w:r w:rsidRPr="006578DE">
        <w:rPr>
          <w:rFonts w:cstheme="minorHAnsi"/>
          <w:sz w:val="14"/>
          <w:szCs w:val="14"/>
        </w:rPr>
        <w:t xml:space="preserve"> </w:t>
      </w:r>
      <w:r w:rsidR="00180650">
        <w:rPr>
          <w:rFonts w:cstheme="minorHAnsi"/>
          <w:sz w:val="14"/>
          <w:szCs w:val="14"/>
        </w:rPr>
        <w:t>wskazanie tej informacji</w:t>
      </w:r>
      <w:r w:rsidR="00353440" w:rsidRPr="006578DE">
        <w:rPr>
          <w:rFonts w:cstheme="minorHAnsi"/>
          <w:sz w:val="14"/>
          <w:szCs w:val="14"/>
        </w:rPr>
        <w:t>;</w:t>
      </w:r>
    </w:p>
    <w:p w:rsidR="00353440" w:rsidRPr="006578DE" w:rsidRDefault="00C42C2B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 xml:space="preserve">czy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zużycie energii na 1 wozokilometr </w:t>
      </w:r>
      <w:r>
        <w:rPr>
          <w:rFonts w:cstheme="minorHAnsi"/>
          <w:color w:val="000000"/>
          <w:sz w:val="14"/>
          <w:szCs w:val="14"/>
        </w:rPr>
        <w:t xml:space="preserve">będzie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niższe niż najbardziej wydajny tramwaj posiadany przez przewoźnika, </w:t>
      </w:r>
      <w:r>
        <w:rPr>
          <w:rFonts w:cstheme="minorHAnsi"/>
          <w:color w:val="000000"/>
          <w:sz w:val="14"/>
          <w:szCs w:val="14"/>
        </w:rPr>
        <w:t xml:space="preserve">czy tabor będzie posiadał </w:t>
      </w:r>
      <w:r w:rsidR="00353440" w:rsidRPr="006578DE">
        <w:rPr>
          <w:rFonts w:cstheme="minorHAnsi"/>
          <w:color w:val="000000"/>
          <w:sz w:val="14"/>
          <w:szCs w:val="14"/>
        </w:rPr>
        <w:t>zdolność od</w:t>
      </w:r>
      <w:r>
        <w:rPr>
          <w:rFonts w:cstheme="minorHAnsi"/>
          <w:color w:val="000000"/>
          <w:sz w:val="14"/>
          <w:szCs w:val="14"/>
        </w:rPr>
        <w:t>zysku energii z hamowania lepszą niż najbardziej wydajny posiadany tramwaj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, </w:t>
      </w:r>
      <w:r>
        <w:rPr>
          <w:rFonts w:cstheme="minorHAnsi"/>
          <w:color w:val="000000"/>
          <w:sz w:val="14"/>
          <w:szCs w:val="14"/>
        </w:rPr>
        <w:t>wskazanie przewidywanego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potok</w:t>
      </w:r>
      <w:r>
        <w:rPr>
          <w:rFonts w:cstheme="minorHAnsi"/>
          <w:color w:val="000000"/>
          <w:sz w:val="14"/>
          <w:szCs w:val="14"/>
        </w:rPr>
        <w:t>u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pasażerski</w:t>
      </w:r>
      <w:r>
        <w:rPr>
          <w:rFonts w:cstheme="minorHAnsi"/>
          <w:color w:val="000000"/>
          <w:sz w:val="14"/>
          <w:szCs w:val="14"/>
        </w:rPr>
        <w:t>ego (przy wielu liniach, podanie średniej liczby</w:t>
      </w:r>
      <w:r w:rsidR="00353440" w:rsidRPr="006578DE">
        <w:rPr>
          <w:rFonts w:cstheme="minorHAnsi"/>
          <w:color w:val="000000"/>
          <w:sz w:val="14"/>
          <w:szCs w:val="14"/>
        </w:rPr>
        <w:t>)</w:t>
      </w:r>
      <w:r w:rsidR="0057501A">
        <w:rPr>
          <w:rFonts w:cstheme="minorHAnsi"/>
          <w:color w:val="000000"/>
          <w:sz w:val="14"/>
          <w:szCs w:val="14"/>
        </w:rPr>
        <w:t>;</w:t>
      </w:r>
    </w:p>
    <w:p w:rsidR="00C56756" w:rsidRPr="004F239E" w:rsidRDefault="004F239E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C56756" w:rsidRPr="004F239E">
        <w:rPr>
          <w:rFonts w:cstheme="minorHAnsi"/>
          <w:sz w:val="14"/>
          <w:szCs w:val="14"/>
        </w:rPr>
        <w:t>dostosowanie budynku</w:t>
      </w:r>
      <w:r w:rsidRPr="004F239E">
        <w:rPr>
          <w:rFonts w:cstheme="minorHAnsi"/>
          <w:sz w:val="14"/>
          <w:szCs w:val="14"/>
        </w:rPr>
        <w:t xml:space="preserve">/ów do norm dyrektywy </w:t>
      </w:r>
      <w:r w:rsidRPr="004F239E">
        <w:rPr>
          <w:bCs/>
          <w:color w:val="000000"/>
          <w:sz w:val="14"/>
          <w:szCs w:val="14"/>
        </w:rPr>
        <w:t xml:space="preserve">Parlamentu Europejskiego i Rady 2009/125/WE w odniesieniu do wymogów dotyczących </w:t>
      </w:r>
      <w:proofErr w:type="spellStart"/>
      <w:r w:rsidRPr="004F239E">
        <w:rPr>
          <w:bCs/>
          <w:color w:val="000000"/>
          <w:sz w:val="14"/>
          <w:szCs w:val="14"/>
        </w:rPr>
        <w:t>ekoprojektu</w:t>
      </w:r>
      <w:proofErr w:type="spellEnd"/>
      <w:r w:rsidRPr="004F239E">
        <w:rPr>
          <w:bCs/>
          <w:color w:val="000000"/>
          <w:sz w:val="14"/>
          <w:szCs w:val="14"/>
        </w:rPr>
        <w:t xml:space="preserve"> dla kotłów na paliwo stałe</w:t>
      </w:r>
      <w:r w:rsidR="00C56756" w:rsidRPr="004F239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dodatkowe nieemisyjne źródła</w:t>
      </w:r>
      <w:r w:rsidR="00C56756" w:rsidRPr="004F239E">
        <w:rPr>
          <w:rFonts w:cstheme="minorHAnsi"/>
          <w:sz w:val="14"/>
          <w:szCs w:val="14"/>
        </w:rPr>
        <w:t xml:space="preserve"> ciepła</w:t>
      </w:r>
      <w:r w:rsidR="003F6EA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panele fotowoltaiczne i</w:t>
      </w:r>
      <w:r w:rsidR="00C56756" w:rsidRPr="004F239E">
        <w:rPr>
          <w:rFonts w:cstheme="minorHAnsi"/>
          <w:sz w:val="14"/>
          <w:szCs w:val="14"/>
        </w:rPr>
        <w:t xml:space="preserve"> o </w:t>
      </w:r>
      <w:r w:rsidR="00516F8F">
        <w:rPr>
          <w:rFonts w:cstheme="minorHAnsi"/>
          <w:sz w:val="14"/>
          <w:szCs w:val="14"/>
        </w:rPr>
        <w:t>jakiej mocy;</w:t>
      </w:r>
    </w:p>
    <w:p w:rsidR="00A56022" w:rsidRDefault="00A56022" w:rsidP="00A56022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infrastruktury rowerowej:</w:t>
      </w:r>
      <w:r w:rsidRPr="006578DE"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 xml:space="preserve">liczba kilometrów nowych dróg rowerowych przypadających na 10 tys. </w:t>
      </w:r>
      <w:r w:rsidR="009E04AF">
        <w:rPr>
          <w:rFonts w:cstheme="minorHAnsi"/>
          <w:sz w:val="14"/>
          <w:szCs w:val="14"/>
        </w:rPr>
        <w:t>m</w:t>
      </w:r>
      <w:r>
        <w:rPr>
          <w:rFonts w:cstheme="minorHAnsi"/>
          <w:sz w:val="14"/>
          <w:szCs w:val="14"/>
        </w:rPr>
        <w:t>ieszkańców</w:t>
      </w:r>
      <w:r w:rsidR="009E04AF">
        <w:rPr>
          <w:rFonts w:cstheme="minorHAnsi"/>
          <w:sz w:val="14"/>
          <w:szCs w:val="14"/>
        </w:rPr>
        <w:t>;</w:t>
      </w:r>
      <w:r>
        <w:rPr>
          <w:rFonts w:cstheme="minorHAnsi"/>
          <w:sz w:val="14"/>
          <w:szCs w:val="14"/>
        </w:rPr>
        <w:t xml:space="preserve"> </w:t>
      </w:r>
    </w:p>
    <w:p w:rsidR="00C56756" w:rsidRPr="006578DE" w:rsidRDefault="00A56022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instalacji nowych latarni: czy zainstalowano panele fotowoltaiczne, jaka jest ich moc oraz pokrycie zapotrzebowania nowych latarni;</w:t>
      </w:r>
    </w:p>
    <w:p w:rsidR="0081306A" w:rsidRDefault="00115B76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A56022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A56022">
        <w:rPr>
          <w:rFonts w:cstheme="minorHAnsi"/>
          <w:i/>
          <w:sz w:val="14"/>
          <w:szCs w:val="14"/>
        </w:rPr>
        <w:t>ride</w:t>
      </w:r>
      <w:proofErr w:type="spellEnd"/>
      <w:r w:rsidR="00A56022">
        <w:rPr>
          <w:rFonts w:cstheme="minorHAnsi"/>
          <w:sz w:val="14"/>
          <w:szCs w:val="14"/>
        </w:rPr>
        <w:t xml:space="preserve"> – liczba miejsc postojowych</w:t>
      </w:r>
      <w:r>
        <w:rPr>
          <w:rFonts w:cstheme="minorHAnsi"/>
          <w:sz w:val="14"/>
          <w:szCs w:val="14"/>
        </w:rPr>
        <w:t xml:space="preserve">; </w:t>
      </w:r>
    </w:p>
    <w:p w:rsidR="00244909" w:rsidRPr="006578DE" w:rsidRDefault="00115B76" w:rsidP="00A94A0E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w przypadku zakładów przetwarzania odpadów </w:t>
      </w:r>
      <w:r w:rsidR="00A94A0E">
        <w:rPr>
          <w:rFonts w:cstheme="minorHAnsi"/>
          <w:sz w:val="14"/>
          <w:szCs w:val="14"/>
        </w:rPr>
        <w:t>–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A94A0E">
        <w:rPr>
          <w:rFonts w:cstheme="minorHAnsi"/>
          <w:sz w:val="14"/>
          <w:szCs w:val="14"/>
        </w:rPr>
        <w:t>i o ile.</w:t>
      </w:r>
      <w:r w:rsidR="00A94A0E" w:rsidRPr="006578DE">
        <w:rPr>
          <w:rFonts w:cstheme="minorHAnsi"/>
          <w:sz w:val="14"/>
          <w:szCs w:val="14"/>
        </w:rPr>
        <w:t xml:space="preserve"> </w:t>
      </w:r>
    </w:p>
  </w:footnote>
  <w:footnote w:id="3">
    <w:p w:rsidR="00EF4D0C" w:rsidRPr="006578DE" w:rsidRDefault="00EF4D0C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spodziewanego efektu inwestycji: </w:t>
      </w:r>
    </w:p>
    <w:p w:rsidR="00B23002" w:rsidRPr="006578DE" w:rsidRDefault="00B23002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wzrost odsetka taboru ogółem;</w:t>
      </w:r>
    </w:p>
    <w:p w:rsidR="00447743" w:rsidRPr="006578DE" w:rsidRDefault="0044774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color w:val="000000"/>
          <w:sz w:val="14"/>
          <w:szCs w:val="14"/>
        </w:rPr>
        <w:t xml:space="preserve">przyrost ogólnej liczby tramwajów </w:t>
      </w:r>
      <w:r w:rsidR="00A94A0E">
        <w:rPr>
          <w:rFonts w:cstheme="minorHAnsi"/>
          <w:color w:val="000000"/>
          <w:sz w:val="14"/>
          <w:szCs w:val="14"/>
        </w:rPr>
        <w:t>w okresie pięciu lat po zakupie</w:t>
      </w:r>
      <w:r w:rsidRPr="006578DE">
        <w:rPr>
          <w:rFonts w:cstheme="minorHAnsi"/>
          <w:color w:val="000000"/>
          <w:sz w:val="14"/>
          <w:szCs w:val="14"/>
        </w:rPr>
        <w:t>, wzrost średniej nominalnej pojemności posiadanych</w:t>
      </w:r>
      <w:r w:rsidR="00A94A0E">
        <w:rPr>
          <w:rFonts w:cstheme="minorHAnsi"/>
          <w:color w:val="000000"/>
          <w:sz w:val="14"/>
          <w:szCs w:val="14"/>
        </w:rPr>
        <w:t xml:space="preserve"> tramwajów</w:t>
      </w:r>
      <w:r w:rsidRPr="006578DE">
        <w:rPr>
          <w:rFonts w:cstheme="minorHAnsi"/>
          <w:color w:val="000000"/>
          <w:sz w:val="14"/>
          <w:szCs w:val="14"/>
        </w:rPr>
        <w:t>, zakup tramwajów powyżej 10 maszyn, podniesienie liczby maszyn z niską podłogą</w:t>
      </w:r>
      <w:r w:rsidR="00A94A0E">
        <w:rPr>
          <w:rFonts w:cstheme="minorHAnsi"/>
          <w:color w:val="000000"/>
          <w:sz w:val="14"/>
          <w:szCs w:val="14"/>
        </w:rPr>
        <w:t>, wydłużenie linii tramwajowej i o ile;</w:t>
      </w:r>
    </w:p>
    <w:p w:rsidR="00B23002" w:rsidRPr="006578DE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 - </w:t>
      </w:r>
      <w:r w:rsidR="00B23002" w:rsidRPr="006578DE">
        <w:rPr>
          <w:rFonts w:cstheme="minorHAnsi"/>
          <w:sz w:val="14"/>
          <w:szCs w:val="14"/>
        </w:rPr>
        <w:t xml:space="preserve"> wzrost odsetka liczby osób, które mieszkają w zasobie komunalnym;</w:t>
      </w:r>
    </w:p>
    <w:p w:rsidR="00DE49A8" w:rsidRPr="00105072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105072">
        <w:rPr>
          <w:rFonts w:cstheme="minorHAnsi"/>
          <w:sz w:val="14"/>
          <w:szCs w:val="14"/>
        </w:rPr>
        <w:t>w przypadku inwestycji rowerowych</w:t>
      </w:r>
      <w:r w:rsidR="009E04AF">
        <w:rPr>
          <w:rFonts w:cstheme="minorHAnsi"/>
          <w:sz w:val="14"/>
          <w:szCs w:val="14"/>
        </w:rPr>
        <w:t>:</w:t>
      </w:r>
      <w:r w:rsidRPr="00105072">
        <w:rPr>
          <w:rFonts w:cstheme="minorHAnsi"/>
          <w:sz w:val="14"/>
          <w:szCs w:val="14"/>
        </w:rPr>
        <w:t xml:space="preserve"> </w:t>
      </w:r>
      <w:r w:rsidR="00DE49A8" w:rsidRPr="00105072">
        <w:rPr>
          <w:rFonts w:cstheme="minorHAnsi"/>
          <w:sz w:val="14"/>
          <w:szCs w:val="14"/>
        </w:rPr>
        <w:t xml:space="preserve">długość </w:t>
      </w:r>
      <w:r w:rsidR="00EA7C6C" w:rsidRPr="00105072">
        <w:rPr>
          <w:rFonts w:cstheme="minorHAnsi"/>
          <w:sz w:val="14"/>
          <w:szCs w:val="14"/>
        </w:rPr>
        <w:t xml:space="preserve">mających być </w:t>
      </w:r>
      <w:r w:rsidR="00DE49A8" w:rsidRPr="00105072">
        <w:rPr>
          <w:rFonts w:cstheme="minorHAnsi"/>
          <w:sz w:val="14"/>
          <w:szCs w:val="14"/>
        </w:rPr>
        <w:t>zrealizowan</w:t>
      </w:r>
      <w:r w:rsidR="009E04AF">
        <w:rPr>
          <w:rFonts w:cstheme="minorHAnsi"/>
          <w:sz w:val="14"/>
          <w:szCs w:val="14"/>
        </w:rPr>
        <w:t>e</w:t>
      </w:r>
      <w:r w:rsidR="00DE49A8" w:rsidRPr="00105072">
        <w:rPr>
          <w:rFonts w:cstheme="minorHAnsi"/>
          <w:sz w:val="14"/>
          <w:szCs w:val="14"/>
        </w:rPr>
        <w:t xml:space="preserve"> ciąg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DE49A8" w:rsidRPr="00105072">
        <w:rPr>
          <w:rFonts w:cstheme="minorHAnsi"/>
          <w:sz w:val="14"/>
          <w:szCs w:val="14"/>
        </w:rPr>
        <w:t>w rowerowych</w:t>
      </w:r>
      <w:r w:rsidR="00EA7C6C" w:rsidRPr="00105072">
        <w:rPr>
          <w:rFonts w:cstheme="minorHAnsi"/>
          <w:sz w:val="14"/>
          <w:szCs w:val="14"/>
        </w:rPr>
        <w:t xml:space="preserve"> w stosunku do</w:t>
      </w:r>
      <w:r w:rsidR="00DE49A8" w:rsidRPr="00105072">
        <w:rPr>
          <w:rFonts w:cstheme="minorHAnsi"/>
          <w:sz w:val="14"/>
          <w:szCs w:val="14"/>
        </w:rPr>
        <w:t xml:space="preserve"> zakontraktowanych do realizacji na obszarze gminy w okresie 5 lat przed zgłoszeniem wniosku długości dr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EA7C6C" w:rsidRPr="00105072">
        <w:rPr>
          <w:rFonts w:cstheme="minorHAnsi"/>
          <w:sz w:val="14"/>
          <w:szCs w:val="14"/>
        </w:rPr>
        <w:t>g samochodowych;</w:t>
      </w:r>
    </w:p>
    <w:p w:rsidR="002157EC" w:rsidRPr="006578DE" w:rsidRDefault="002157EC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zmniejszenie zapotrzebowania na energię na oświetlenie ulic </w:t>
      </w:r>
      <w:r w:rsidR="00EA7C6C">
        <w:rPr>
          <w:rFonts w:cstheme="minorHAnsi"/>
          <w:sz w:val="14"/>
          <w:szCs w:val="14"/>
        </w:rPr>
        <w:t xml:space="preserve">i o ile procent; </w:t>
      </w:r>
    </w:p>
    <w:p w:rsidR="00133CEF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budowy szkoły:</w:t>
      </w:r>
      <w:r w:rsidR="00133CEF" w:rsidRPr="006578DE">
        <w:rPr>
          <w:rFonts w:cstheme="minorHAnsi"/>
          <w:sz w:val="14"/>
          <w:szCs w:val="14"/>
        </w:rPr>
        <w:t xml:space="preserve"> wzrost wydatków gminy w budżecie na jednego ucznia</w:t>
      </w:r>
      <w:r w:rsidR="007111A9" w:rsidRPr="006578DE">
        <w:rPr>
          <w:rFonts w:cstheme="minorHAnsi"/>
          <w:sz w:val="14"/>
          <w:szCs w:val="14"/>
        </w:rPr>
        <w:t>;</w:t>
      </w:r>
    </w:p>
    <w:p w:rsidR="007111A9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EA7C6C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EA7C6C">
        <w:rPr>
          <w:rFonts w:cstheme="minorHAnsi"/>
          <w:i/>
          <w:sz w:val="14"/>
          <w:szCs w:val="14"/>
        </w:rPr>
        <w:t>ride</w:t>
      </w:r>
      <w:proofErr w:type="spellEnd"/>
      <w:r w:rsidR="00EA7C6C">
        <w:rPr>
          <w:rFonts w:cstheme="minorHAnsi"/>
          <w:sz w:val="14"/>
          <w:szCs w:val="14"/>
        </w:rPr>
        <w:t xml:space="preserve"> -</w:t>
      </w:r>
      <w:r w:rsidR="007111A9" w:rsidRPr="006578DE">
        <w:rPr>
          <w:rFonts w:cstheme="minorHAnsi"/>
          <w:sz w:val="14"/>
          <w:szCs w:val="14"/>
        </w:rPr>
        <w:t xml:space="preserve"> prz</w:t>
      </w:r>
      <w:r w:rsidR="00EA7C6C">
        <w:rPr>
          <w:rFonts w:cstheme="minorHAnsi"/>
          <w:sz w:val="14"/>
          <w:szCs w:val="14"/>
        </w:rPr>
        <w:t>yrost miejsc postojowych</w:t>
      </w:r>
      <w:r w:rsidR="003D2A69">
        <w:rPr>
          <w:rFonts w:cstheme="minorHAnsi"/>
          <w:sz w:val="14"/>
          <w:szCs w:val="14"/>
        </w:rPr>
        <w:t>;</w:t>
      </w:r>
    </w:p>
    <w:p w:rsidR="009D031D" w:rsidRDefault="009D031D" w:rsidP="006F4274">
      <w:pPr>
        <w:pStyle w:val="Tekstprzypisudolnego"/>
        <w:numPr>
          <w:ilvl w:val="0"/>
          <w:numId w:val="8"/>
        </w:numPr>
        <w:jc w:val="both"/>
      </w:pPr>
      <w:r w:rsidRPr="006578DE">
        <w:rPr>
          <w:rFonts w:cstheme="minorHAnsi"/>
          <w:sz w:val="14"/>
          <w:szCs w:val="14"/>
        </w:rPr>
        <w:t>w przypadku zakładów przetwarzania odpadów</w:t>
      </w:r>
      <w:r w:rsidR="00EA7C6C">
        <w:rPr>
          <w:rFonts w:cstheme="minorHAnsi"/>
          <w:sz w:val="14"/>
          <w:szCs w:val="14"/>
        </w:rPr>
        <w:t>-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EA7C6C">
        <w:rPr>
          <w:rFonts w:cstheme="minorHAnsi"/>
          <w:sz w:val="14"/>
          <w:szCs w:val="14"/>
        </w:rPr>
        <w:t xml:space="preserve">i </w:t>
      </w:r>
      <w:r w:rsidRPr="006578DE">
        <w:rPr>
          <w:rFonts w:cstheme="minorHAnsi"/>
          <w:sz w:val="14"/>
          <w:szCs w:val="14"/>
        </w:rPr>
        <w:t>o</w:t>
      </w:r>
      <w:r w:rsidR="00EA7C6C">
        <w:rPr>
          <w:rFonts w:cstheme="minorHAnsi"/>
          <w:sz w:val="14"/>
          <w:szCs w:val="14"/>
        </w:rPr>
        <w:t xml:space="preserve"> ile.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FC1"/>
    <w:multiLevelType w:val="hybridMultilevel"/>
    <w:tmpl w:val="2D161B90"/>
    <w:numStyleLink w:val="Punktor"/>
  </w:abstractNum>
  <w:abstractNum w:abstractNumId="1" w15:restartNumberingAfterBreak="0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3E5B6CF8"/>
    <w:multiLevelType w:val="hybridMultilevel"/>
    <w:tmpl w:val="82C2D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D05E2"/>
    <w:multiLevelType w:val="hybridMultilevel"/>
    <w:tmpl w:val="1862B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53"/>
    <w:rsid w:val="00007C10"/>
    <w:rsid w:val="00032D61"/>
    <w:rsid w:val="000455BA"/>
    <w:rsid w:val="00071102"/>
    <w:rsid w:val="00076597"/>
    <w:rsid w:val="000843F6"/>
    <w:rsid w:val="000A7EEF"/>
    <w:rsid w:val="000C4223"/>
    <w:rsid w:val="000D0E63"/>
    <w:rsid w:val="000D2569"/>
    <w:rsid w:val="000D4B85"/>
    <w:rsid w:val="000D68DE"/>
    <w:rsid w:val="000E029F"/>
    <w:rsid w:val="000F18B6"/>
    <w:rsid w:val="000F77F9"/>
    <w:rsid w:val="00105072"/>
    <w:rsid w:val="00115B76"/>
    <w:rsid w:val="001172FC"/>
    <w:rsid w:val="00120CA6"/>
    <w:rsid w:val="00133CEF"/>
    <w:rsid w:val="001365FC"/>
    <w:rsid w:val="0013794F"/>
    <w:rsid w:val="00150CAF"/>
    <w:rsid w:val="001613EC"/>
    <w:rsid w:val="001702C7"/>
    <w:rsid w:val="00180650"/>
    <w:rsid w:val="00180B12"/>
    <w:rsid w:val="00182032"/>
    <w:rsid w:val="0019028F"/>
    <w:rsid w:val="00194E1D"/>
    <w:rsid w:val="00197842"/>
    <w:rsid w:val="001D7F9E"/>
    <w:rsid w:val="001E0A1E"/>
    <w:rsid w:val="00200D05"/>
    <w:rsid w:val="002157EC"/>
    <w:rsid w:val="00244909"/>
    <w:rsid w:val="00245359"/>
    <w:rsid w:val="00252E8B"/>
    <w:rsid w:val="0026034C"/>
    <w:rsid w:val="0028023F"/>
    <w:rsid w:val="00281A80"/>
    <w:rsid w:val="00291CD7"/>
    <w:rsid w:val="00292637"/>
    <w:rsid w:val="0029648B"/>
    <w:rsid w:val="002C4587"/>
    <w:rsid w:val="002D01EE"/>
    <w:rsid w:val="002D03FB"/>
    <w:rsid w:val="002D4268"/>
    <w:rsid w:val="002D7819"/>
    <w:rsid w:val="002F32C3"/>
    <w:rsid w:val="00305143"/>
    <w:rsid w:val="00323453"/>
    <w:rsid w:val="003274FC"/>
    <w:rsid w:val="00331BFE"/>
    <w:rsid w:val="00336896"/>
    <w:rsid w:val="003440B4"/>
    <w:rsid w:val="00346210"/>
    <w:rsid w:val="00351912"/>
    <w:rsid w:val="00353440"/>
    <w:rsid w:val="003662CA"/>
    <w:rsid w:val="00380195"/>
    <w:rsid w:val="00386411"/>
    <w:rsid w:val="003865B2"/>
    <w:rsid w:val="003A079A"/>
    <w:rsid w:val="003A38BD"/>
    <w:rsid w:val="003A442D"/>
    <w:rsid w:val="003C17B7"/>
    <w:rsid w:val="003D2A69"/>
    <w:rsid w:val="003E6756"/>
    <w:rsid w:val="003F07F5"/>
    <w:rsid w:val="003F29BA"/>
    <w:rsid w:val="003F3BD9"/>
    <w:rsid w:val="003F6EAE"/>
    <w:rsid w:val="00405987"/>
    <w:rsid w:val="004077C3"/>
    <w:rsid w:val="004151D7"/>
    <w:rsid w:val="00420B6C"/>
    <w:rsid w:val="004239CE"/>
    <w:rsid w:val="00447743"/>
    <w:rsid w:val="00454615"/>
    <w:rsid w:val="0047244A"/>
    <w:rsid w:val="00476F8C"/>
    <w:rsid w:val="00494C93"/>
    <w:rsid w:val="004A3B1B"/>
    <w:rsid w:val="004B0603"/>
    <w:rsid w:val="004B60A7"/>
    <w:rsid w:val="004C01CA"/>
    <w:rsid w:val="004E7595"/>
    <w:rsid w:val="004F0251"/>
    <w:rsid w:val="004F111E"/>
    <w:rsid w:val="004F239E"/>
    <w:rsid w:val="00503391"/>
    <w:rsid w:val="00516F8F"/>
    <w:rsid w:val="00526B0B"/>
    <w:rsid w:val="005317FF"/>
    <w:rsid w:val="00563F0D"/>
    <w:rsid w:val="0057501A"/>
    <w:rsid w:val="005A4393"/>
    <w:rsid w:val="005A4C64"/>
    <w:rsid w:val="005A4D47"/>
    <w:rsid w:val="005B2611"/>
    <w:rsid w:val="005B5671"/>
    <w:rsid w:val="005D1128"/>
    <w:rsid w:val="005D604C"/>
    <w:rsid w:val="005E0A28"/>
    <w:rsid w:val="005F728C"/>
    <w:rsid w:val="0060314A"/>
    <w:rsid w:val="006032E0"/>
    <w:rsid w:val="00613913"/>
    <w:rsid w:val="0063140C"/>
    <w:rsid w:val="00646D9B"/>
    <w:rsid w:val="006578DE"/>
    <w:rsid w:val="006622BD"/>
    <w:rsid w:val="00674D0B"/>
    <w:rsid w:val="00687D57"/>
    <w:rsid w:val="00695AF3"/>
    <w:rsid w:val="006A6696"/>
    <w:rsid w:val="006B0DBC"/>
    <w:rsid w:val="006C1A90"/>
    <w:rsid w:val="006D5CD0"/>
    <w:rsid w:val="006F27DF"/>
    <w:rsid w:val="006F4274"/>
    <w:rsid w:val="00700C18"/>
    <w:rsid w:val="007111A9"/>
    <w:rsid w:val="00721A67"/>
    <w:rsid w:val="0072256B"/>
    <w:rsid w:val="00723732"/>
    <w:rsid w:val="00732496"/>
    <w:rsid w:val="00750BA3"/>
    <w:rsid w:val="007615F5"/>
    <w:rsid w:val="0076544C"/>
    <w:rsid w:val="00772F3F"/>
    <w:rsid w:val="00780074"/>
    <w:rsid w:val="007814BB"/>
    <w:rsid w:val="00783BB3"/>
    <w:rsid w:val="00784FDC"/>
    <w:rsid w:val="007870A8"/>
    <w:rsid w:val="007914AC"/>
    <w:rsid w:val="00793B57"/>
    <w:rsid w:val="007964C8"/>
    <w:rsid w:val="00796DCC"/>
    <w:rsid w:val="007A3282"/>
    <w:rsid w:val="007A69E9"/>
    <w:rsid w:val="007B47EE"/>
    <w:rsid w:val="007C17B2"/>
    <w:rsid w:val="007D4B39"/>
    <w:rsid w:val="007E28DA"/>
    <w:rsid w:val="007E3C8D"/>
    <w:rsid w:val="008005E8"/>
    <w:rsid w:val="00800FFD"/>
    <w:rsid w:val="00803173"/>
    <w:rsid w:val="0081306A"/>
    <w:rsid w:val="0081663B"/>
    <w:rsid w:val="008378DE"/>
    <w:rsid w:val="008446DB"/>
    <w:rsid w:val="00853942"/>
    <w:rsid w:val="008543B7"/>
    <w:rsid w:val="00855B01"/>
    <w:rsid w:val="00857116"/>
    <w:rsid w:val="008654AD"/>
    <w:rsid w:val="008769B9"/>
    <w:rsid w:val="008915A3"/>
    <w:rsid w:val="008A433D"/>
    <w:rsid w:val="008A7D86"/>
    <w:rsid w:val="008B6751"/>
    <w:rsid w:val="008B72DC"/>
    <w:rsid w:val="009200D3"/>
    <w:rsid w:val="00925C23"/>
    <w:rsid w:val="0094276C"/>
    <w:rsid w:val="00943743"/>
    <w:rsid w:val="00950013"/>
    <w:rsid w:val="00961170"/>
    <w:rsid w:val="00966E09"/>
    <w:rsid w:val="00974BB4"/>
    <w:rsid w:val="00976863"/>
    <w:rsid w:val="00984907"/>
    <w:rsid w:val="00986312"/>
    <w:rsid w:val="009940BE"/>
    <w:rsid w:val="009A011F"/>
    <w:rsid w:val="009A733A"/>
    <w:rsid w:val="009B39B2"/>
    <w:rsid w:val="009B4AE3"/>
    <w:rsid w:val="009C1AB4"/>
    <w:rsid w:val="009C6C29"/>
    <w:rsid w:val="009D031D"/>
    <w:rsid w:val="009E04AF"/>
    <w:rsid w:val="009E2605"/>
    <w:rsid w:val="009E37F7"/>
    <w:rsid w:val="009E5D8B"/>
    <w:rsid w:val="009F2F05"/>
    <w:rsid w:val="00A0272C"/>
    <w:rsid w:val="00A30BA3"/>
    <w:rsid w:val="00A32F91"/>
    <w:rsid w:val="00A40224"/>
    <w:rsid w:val="00A47529"/>
    <w:rsid w:val="00A520F6"/>
    <w:rsid w:val="00A551BC"/>
    <w:rsid w:val="00A56022"/>
    <w:rsid w:val="00A66502"/>
    <w:rsid w:val="00A73C9C"/>
    <w:rsid w:val="00A94A0E"/>
    <w:rsid w:val="00AA211B"/>
    <w:rsid w:val="00AA3FBB"/>
    <w:rsid w:val="00AA765B"/>
    <w:rsid w:val="00AA7B94"/>
    <w:rsid w:val="00AA7FA1"/>
    <w:rsid w:val="00AB3A48"/>
    <w:rsid w:val="00AB65DA"/>
    <w:rsid w:val="00AC2560"/>
    <w:rsid w:val="00AC622E"/>
    <w:rsid w:val="00AE2549"/>
    <w:rsid w:val="00AE3C31"/>
    <w:rsid w:val="00B14116"/>
    <w:rsid w:val="00B23002"/>
    <w:rsid w:val="00B31393"/>
    <w:rsid w:val="00B4313C"/>
    <w:rsid w:val="00B44D61"/>
    <w:rsid w:val="00B45A8D"/>
    <w:rsid w:val="00B62AF1"/>
    <w:rsid w:val="00B90AAD"/>
    <w:rsid w:val="00BA2539"/>
    <w:rsid w:val="00BA468F"/>
    <w:rsid w:val="00BD1654"/>
    <w:rsid w:val="00BE40DB"/>
    <w:rsid w:val="00BE6B85"/>
    <w:rsid w:val="00C004A0"/>
    <w:rsid w:val="00C14B01"/>
    <w:rsid w:val="00C162F3"/>
    <w:rsid w:val="00C27110"/>
    <w:rsid w:val="00C42C2B"/>
    <w:rsid w:val="00C502CD"/>
    <w:rsid w:val="00C54271"/>
    <w:rsid w:val="00C56756"/>
    <w:rsid w:val="00C76932"/>
    <w:rsid w:val="00C83F84"/>
    <w:rsid w:val="00C85DDB"/>
    <w:rsid w:val="00C95434"/>
    <w:rsid w:val="00CB0B12"/>
    <w:rsid w:val="00CB4BB2"/>
    <w:rsid w:val="00CB61C1"/>
    <w:rsid w:val="00CC3001"/>
    <w:rsid w:val="00CD12AB"/>
    <w:rsid w:val="00CD72A6"/>
    <w:rsid w:val="00CF5C74"/>
    <w:rsid w:val="00D14C9A"/>
    <w:rsid w:val="00D53B2F"/>
    <w:rsid w:val="00D54D53"/>
    <w:rsid w:val="00D552FC"/>
    <w:rsid w:val="00D56573"/>
    <w:rsid w:val="00D70995"/>
    <w:rsid w:val="00D903E3"/>
    <w:rsid w:val="00D90433"/>
    <w:rsid w:val="00DB1A58"/>
    <w:rsid w:val="00DB3AE1"/>
    <w:rsid w:val="00DC57C9"/>
    <w:rsid w:val="00DE1B50"/>
    <w:rsid w:val="00DE49A8"/>
    <w:rsid w:val="00E0048B"/>
    <w:rsid w:val="00E01B5A"/>
    <w:rsid w:val="00E123E8"/>
    <w:rsid w:val="00E13217"/>
    <w:rsid w:val="00E14F69"/>
    <w:rsid w:val="00E31F45"/>
    <w:rsid w:val="00E37A89"/>
    <w:rsid w:val="00E60BBD"/>
    <w:rsid w:val="00E64C3B"/>
    <w:rsid w:val="00E815F3"/>
    <w:rsid w:val="00E96803"/>
    <w:rsid w:val="00EA1E58"/>
    <w:rsid w:val="00EA7C6C"/>
    <w:rsid w:val="00EB58A3"/>
    <w:rsid w:val="00ED1D94"/>
    <w:rsid w:val="00ED5E96"/>
    <w:rsid w:val="00ED738E"/>
    <w:rsid w:val="00EE390D"/>
    <w:rsid w:val="00EF4D0C"/>
    <w:rsid w:val="00F07119"/>
    <w:rsid w:val="00F13E51"/>
    <w:rsid w:val="00F159D3"/>
    <w:rsid w:val="00F368E1"/>
    <w:rsid w:val="00F40B2D"/>
    <w:rsid w:val="00F53655"/>
    <w:rsid w:val="00F54068"/>
    <w:rsid w:val="00F623CD"/>
    <w:rsid w:val="00F67D6A"/>
    <w:rsid w:val="00F742FA"/>
    <w:rsid w:val="00F832BD"/>
    <w:rsid w:val="00F866EE"/>
    <w:rsid w:val="00F935C2"/>
    <w:rsid w:val="00FC10A7"/>
    <w:rsid w:val="00FD37EA"/>
    <w:rsid w:val="00FD3E1C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A160"/>
  <w15:docId w15:val="{71E41C64-9FC4-4ACD-9E38-2A72FF8B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4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aliases w:val="Obiekt,List Paragraph1,BulletC,Akapit z listą31,List Paragraph,normalny tekst,NOWY,Eko punkty,podpunkt,Kolorowa lista — akcent 11,Wypunktowanie,Akapit z listą1,Akapit z listą11,Numerowanie"/>
    <w:basedOn w:val="Normalny"/>
    <w:link w:val="AkapitzlistZnak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  <w:style w:type="character" w:customStyle="1" w:styleId="AkapitzlistZnak">
    <w:name w:val="Akapit z listą Znak"/>
    <w:aliases w:val="Obiekt Znak,List Paragraph1 Znak,BulletC Znak,Akapit z listą31 Znak,List Paragraph Znak,normalny tekst Znak,NOWY Znak,Eko punkty Znak,podpunkt Znak,Kolorowa lista — akcent 11 Znak,Wypunktowanie Znak,Akapit z listą1 Znak"/>
    <w:link w:val="Akapitzlist"/>
    <w:uiPriority w:val="34"/>
    <w:rsid w:val="005B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2978-33BE-41CA-8796-E3FA7553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Marciniak</dc:creator>
  <cp:lastModifiedBy>Renata Górczyńska</cp:lastModifiedBy>
  <cp:revision>5</cp:revision>
  <cp:lastPrinted>2020-12-16T09:28:00Z</cp:lastPrinted>
  <dcterms:created xsi:type="dcterms:W3CDTF">2020-12-18T13:51:00Z</dcterms:created>
  <dcterms:modified xsi:type="dcterms:W3CDTF">2020-12-18T14:13:00Z</dcterms:modified>
</cp:coreProperties>
</file>