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8177" w14:textId="5A869683" w:rsidR="00DB1EC9" w:rsidRDefault="00DB1EC9" w:rsidP="00DB1EC9">
      <w:pPr>
        <w:pStyle w:val="Nagwek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Załącznik nr 1b</w:t>
      </w:r>
    </w:p>
    <w:p w14:paraId="61047AE9" w14:textId="77777777" w:rsidR="00DB1EC9" w:rsidRDefault="00DB1EC9" w:rsidP="00DB1EC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zapytania</w:t>
      </w:r>
    </w:p>
    <w:p w14:paraId="457B6956" w14:textId="66ACCEBB" w:rsidR="00EE687C" w:rsidRDefault="00EE687C" w:rsidP="00CE03BB">
      <w:pPr>
        <w:pStyle w:val="Nagwek1"/>
        <w:jc w:val="center"/>
      </w:pPr>
      <w:r>
        <w:t>Specyfikacja monitora (20 szt.)</w:t>
      </w:r>
    </w:p>
    <w:p w14:paraId="1734988F" w14:textId="77777777" w:rsidR="0021405E" w:rsidRDefault="0021405E" w:rsidP="0021405E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6"/>
      </w:tblGrid>
      <w:tr w:rsidR="0021405E" w14:paraId="1C1EBD3C" w14:textId="77777777" w:rsidTr="00EE687C"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6D95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Typ i rozmiar ekranu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C4FB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24”(61 cm) - matryca aktywna na tranzystorach cienkowarstwowych (TFT), wyświetlacz ciekłokrystaliczny (LCD) o wytrzymałości min. 30 tys godzin ze sterowaniem podświetleniem wyłącznie metodą stałoprądową (DC). Powłoka panelu o poziomie zamglenia 25% i twardości 3H. </w:t>
            </w:r>
          </w:p>
        </w:tc>
      </w:tr>
      <w:tr w:rsidR="0021405E" w14:paraId="145237C6" w14:textId="77777777" w:rsidTr="00EE687C"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5793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Proporcje obrazu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85C1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</w:tr>
      <w:tr w:rsidR="0021405E" w14:paraId="4BA9F111" w14:textId="77777777" w:rsidTr="00EE687C"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67BE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Rozdzielczość optymalna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C26E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 x 1200 przy 60 Hz</w:t>
            </w:r>
          </w:p>
        </w:tc>
      </w:tr>
      <w:tr w:rsidR="0021405E" w14:paraId="036EF687" w14:textId="77777777" w:rsidTr="00EE687C"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03CC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Zagęszczenie pikseli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9527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min. 95px / cal </w:t>
            </w:r>
          </w:p>
        </w:tc>
      </w:tr>
      <w:tr w:rsidR="0021405E" w14:paraId="1A236AC1" w14:textId="77777777" w:rsidTr="00EE687C"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4819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Standardowa luminancja biała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C39F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cd/m2</w:t>
            </w:r>
          </w:p>
        </w:tc>
      </w:tr>
      <w:tr w:rsidR="0021405E" w14:paraId="2B4648C4" w14:textId="77777777" w:rsidTr="00EE687C"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263C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Rozmiar Gamutu Barwowego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B302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 AdobeRGB</w:t>
            </w:r>
          </w:p>
        </w:tc>
      </w:tr>
      <w:tr w:rsidR="0021405E" w14:paraId="09DE210A" w14:textId="77777777" w:rsidTr="00EE687C"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5667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Kolory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8708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bit + A-FRC lub 8 bit</w:t>
            </w:r>
          </w:p>
        </w:tc>
      </w:tr>
      <w:tr w:rsidR="0021405E" w14:paraId="3E169D33" w14:textId="77777777" w:rsidTr="00EE687C">
        <w:trPr>
          <w:trHeight w:val="254"/>
        </w:trPr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3C06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Złącza wideo (wejściowe)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7F47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USB-C (video, dźwięk, dane, zasilanie 65W)</w:t>
            </w:r>
          </w:p>
          <w:p w14:paraId="2974C37A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DisplayPort v1.2 (RGB) (HDCP 1.3)</w:t>
            </w:r>
          </w:p>
          <w:p w14:paraId="7F7BDC62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HDMI v1.4 (YUV/RGB) (HDCP)</w:t>
            </w:r>
          </w:p>
          <w:p w14:paraId="4DC29D3A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Min. jedno złącze z kolorymetrią YUV/RGB 4.4.4</w:t>
            </w:r>
          </w:p>
        </w:tc>
      </w:tr>
      <w:tr w:rsidR="0021405E" w14:paraId="1E2E004C" w14:textId="77777777" w:rsidTr="00EE687C">
        <w:trPr>
          <w:trHeight w:val="254"/>
        </w:trPr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9349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Złącza wideo wyjściowe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FE43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DisplayPort</w:t>
            </w:r>
          </w:p>
        </w:tc>
      </w:tr>
      <w:tr w:rsidR="0021405E" w14:paraId="0A86F8FD" w14:textId="77777777" w:rsidTr="00EE687C">
        <w:trPr>
          <w:trHeight w:val="254"/>
        </w:trPr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20AD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Pozostałe złącza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681D" w14:textId="77777777" w:rsidR="0021405E" w:rsidRPr="00FB357D" w:rsidRDefault="0021405E" w:rsidP="00C8404D">
            <w:pPr>
              <w:rPr>
                <w:sz w:val="24"/>
                <w:szCs w:val="24"/>
                <w:lang w:val="en-US"/>
              </w:rPr>
            </w:pPr>
            <w:r w:rsidRPr="00FB357D">
              <w:rPr>
                <w:sz w:val="24"/>
                <w:szCs w:val="24"/>
                <w:lang w:val="en-US"/>
              </w:rPr>
              <w:t>USB 3.1 (2 porty downstream i 1 port upstream),</w:t>
            </w:r>
          </w:p>
          <w:p w14:paraId="364EDD27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wyjście słuchawkowe</w:t>
            </w:r>
          </w:p>
        </w:tc>
      </w:tr>
      <w:tr w:rsidR="0021405E" w14:paraId="20833D51" w14:textId="77777777" w:rsidTr="00EE687C">
        <w:trPr>
          <w:trHeight w:val="254"/>
        </w:trPr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B0E3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Złącze LAN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F065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RJ45 (działające jako hub dla połączenia przez USB-C)</w:t>
            </w:r>
          </w:p>
        </w:tc>
      </w:tr>
      <w:tr w:rsidR="0021405E" w14:paraId="780B7152" w14:textId="77777777" w:rsidTr="00EE687C">
        <w:trPr>
          <w:trHeight w:val="947"/>
        </w:trPr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122F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Możliwości regulacyjne ekranu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730A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Wysokość, w zakresie do 150mm</w:t>
            </w:r>
          </w:p>
          <w:p w14:paraId="58ABF191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Obrót poziomy od -170 do 170 stopni</w:t>
            </w:r>
          </w:p>
          <w:p w14:paraId="575F2496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Funkcja PIVOT</w:t>
            </w:r>
          </w:p>
        </w:tc>
      </w:tr>
      <w:tr w:rsidR="0021405E" w14:paraId="1DC30556" w14:textId="77777777" w:rsidTr="00EE687C"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4708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Zasilacz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DBA5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Zintegrowany wewnątrz monitora</w:t>
            </w:r>
          </w:p>
        </w:tc>
      </w:tr>
      <w:tr w:rsidR="0021405E" w14:paraId="58DA09D1" w14:textId="77777777" w:rsidTr="00EE687C"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7727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Kolor obudowy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F4E0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czarny</w:t>
            </w:r>
          </w:p>
        </w:tc>
      </w:tr>
      <w:tr w:rsidR="0021405E" w14:paraId="339D4909" w14:textId="77777777" w:rsidTr="00EE687C"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8BF7" w14:textId="77777777" w:rsidR="0021405E" w:rsidRDefault="0021405E" w:rsidP="00C8404D">
            <w:pPr>
              <w:rPr>
                <w:b/>
              </w:rPr>
            </w:pPr>
            <w:r>
              <w:rPr>
                <w:b/>
              </w:rPr>
              <w:t>Wyposażenie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51ED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Kabel USB-C; kabel USB A (upstream), kabel DisplayPort, kabel zasilający. </w:t>
            </w:r>
          </w:p>
          <w:p w14:paraId="1F30F114" w14:textId="77777777" w:rsidR="0021405E" w:rsidRDefault="0021405E" w:rsidP="00C8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Wszystkie kable o długości co najmniej 2 m.</w:t>
            </w:r>
          </w:p>
        </w:tc>
      </w:tr>
      <w:tr w:rsidR="006A6FEF" w14:paraId="06B1FB1A" w14:textId="77777777" w:rsidTr="00EE687C">
        <w:tc>
          <w:tcPr>
            <w:tcW w:w="3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3DD8" w14:textId="166F88F3" w:rsidR="006A6FEF" w:rsidRDefault="006A6FEF" w:rsidP="006A6FEF">
            <w:pPr>
              <w:rPr>
                <w:b/>
              </w:rPr>
            </w:pPr>
            <w:r>
              <w:rPr>
                <w:kern w:val="2"/>
                <w:lang w:eastAsia="en-US"/>
              </w:rPr>
              <w:t>Gwarancja producenta</w:t>
            </w:r>
          </w:p>
        </w:tc>
        <w:tc>
          <w:tcPr>
            <w:tcW w:w="59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54B9" w14:textId="73AA7B69" w:rsidR="006A6FEF" w:rsidRPr="006A6FEF" w:rsidRDefault="006A6FEF" w:rsidP="006A6FEF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Minimum 36 miesięcy</w:t>
            </w:r>
          </w:p>
        </w:tc>
      </w:tr>
      <w:tr w:rsidR="0021405E" w14:paraId="201C27DA" w14:textId="77777777" w:rsidTr="00EE687C">
        <w:trPr>
          <w:trHeight w:val="1609"/>
        </w:trPr>
        <w:tc>
          <w:tcPr>
            <w:tcW w:w="906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9DA9" w14:textId="77777777" w:rsidR="0021405E" w:rsidRDefault="0021405E" w:rsidP="00C8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cs="Calibri"/>
                <w:color w:val="000000"/>
                <w:sz w:val="24"/>
                <w:szCs w:val="24"/>
              </w:rPr>
            </w:pPr>
          </w:p>
          <w:p w14:paraId="2338297F" w14:textId="77777777" w:rsidR="0021405E" w:rsidRDefault="0021405E" w:rsidP="00C840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Sprzętowa kalibracja kolorów, za pomocą zintegrowanej tablicy LUT, w zakresie skorelowanej temperatury barwowej, jasności bieli, czerni oraz krzywej EOTF</w:t>
            </w:r>
          </w:p>
          <w:p w14:paraId="3C9CC374" w14:textId="77777777" w:rsidR="0021405E" w:rsidRDefault="0021405E" w:rsidP="00C840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Zgodność odwzorowania barw o współczynniku deltaE nie większym niż 2</w:t>
            </w:r>
          </w:p>
          <w:p w14:paraId="65031C92" w14:textId="77777777" w:rsidR="0021405E" w:rsidRDefault="0021405E" w:rsidP="00C840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Dynamiczna regulacja jasności podświetlenia, w oparciu o pomiary natężenia oświetlenia otoczenia, wykonane przez zintegrowany w monitor czujnik </w:t>
            </w:r>
          </w:p>
          <w:p w14:paraId="436BE84D" w14:textId="77777777" w:rsidR="0021405E" w:rsidRDefault="0021405E" w:rsidP="00C840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Zintegrowany czujnik obecności, który wyłączy podświetlenie, przy wykryciu braku użytkownika przed monitorem</w:t>
            </w:r>
          </w:p>
          <w:p w14:paraId="1DBBB4F5" w14:textId="77777777" w:rsidR="0021405E" w:rsidRDefault="0021405E" w:rsidP="00C840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Technologia chroniąca oczy przed nadmiernym wysiłkiem, eliminująca migotanie, oraz emisję światła niebieskiego (dedykowany preset w monitorze)</w:t>
            </w:r>
          </w:p>
          <w:p w14:paraId="4519CC75" w14:textId="77777777" w:rsidR="0021405E" w:rsidRDefault="0021405E" w:rsidP="00C840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4"/>
                <w:szCs w:val="24"/>
              </w:rPr>
            </w:pPr>
            <w:r w:rsidRPr="004C667C">
              <w:rPr>
                <w:rFonts w:cs="Calibri"/>
                <w:color w:val="000000"/>
                <w:sz w:val="24"/>
                <w:szCs w:val="24"/>
              </w:rPr>
              <w:t xml:space="preserve">Technologia pozwalająca na synchronizację ustawień do 6 monitorów </w:t>
            </w:r>
          </w:p>
          <w:p w14:paraId="09C579DA" w14:textId="77777777" w:rsidR="0021405E" w:rsidRPr="004C667C" w:rsidRDefault="0021405E" w:rsidP="00C840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4"/>
                <w:szCs w:val="24"/>
              </w:rPr>
            </w:pPr>
            <w:r w:rsidRPr="004C667C">
              <w:rPr>
                <w:rFonts w:cs="Calibri"/>
                <w:color w:val="000000"/>
                <w:sz w:val="24"/>
                <w:szCs w:val="24"/>
              </w:rPr>
              <w:lastRenderedPageBreak/>
              <w:t>Sterowanie monitorem przez sieć LAN za pomocą dedykowanego oprogramowania producenta, realizowane przez komunikację sieciową podłączonego do monitora komputera. Połączenie komputer-monitor realizowane przez dwukierunkową komunikację, realizowaną interfejsem video.</w:t>
            </w:r>
          </w:p>
          <w:p w14:paraId="77E04F66" w14:textId="77777777" w:rsidR="0021405E" w:rsidRDefault="0021405E" w:rsidP="00C8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4"/>
                <w:szCs w:val="24"/>
              </w:rPr>
            </w:pPr>
          </w:p>
          <w:p w14:paraId="7352E686" w14:textId="77777777" w:rsidR="0021405E" w:rsidRPr="00721B37" w:rsidRDefault="0021405E" w:rsidP="00C8404D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4"/>
                <w:szCs w:val="24"/>
              </w:rPr>
            </w:pPr>
            <w:r w:rsidRPr="00721B37">
              <w:rPr>
                <w:rFonts w:cs="Calibri"/>
                <w:color w:val="000000"/>
                <w:sz w:val="24"/>
                <w:szCs w:val="24"/>
              </w:rPr>
              <w:t xml:space="preserve">Oferent musi mieć status autoryzowanego partnera producenta na terenie </w:t>
            </w:r>
            <w:r>
              <w:rPr>
                <w:rFonts w:cs="Calibri"/>
                <w:color w:val="000000"/>
                <w:sz w:val="24"/>
                <w:szCs w:val="24"/>
              </w:rPr>
              <w:t>P</w:t>
            </w:r>
            <w:r w:rsidRPr="00721B37">
              <w:rPr>
                <w:rFonts w:cs="Calibri"/>
                <w:color w:val="000000"/>
                <w:sz w:val="24"/>
                <w:szCs w:val="24"/>
              </w:rPr>
              <w:t>olski potwierdzony pisemnie przez producenta</w:t>
            </w:r>
          </w:p>
          <w:p w14:paraId="4E62A73A" w14:textId="77777777" w:rsidR="0021405E" w:rsidRPr="00590B41" w:rsidRDefault="0021405E" w:rsidP="00C8404D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4"/>
                <w:szCs w:val="24"/>
              </w:rPr>
            </w:pPr>
            <w:r w:rsidRPr="00721B37">
              <w:rPr>
                <w:rFonts w:cs="Calibri"/>
                <w:color w:val="000000"/>
                <w:sz w:val="24"/>
                <w:szCs w:val="24"/>
              </w:rPr>
              <w:t>Przejęcie serwisu przez producenta w wypadku gdy oferent nie może wywiązać się z obowiązków gwarancyjnych</w:t>
            </w:r>
          </w:p>
          <w:p w14:paraId="39B64259" w14:textId="77777777" w:rsidR="0021405E" w:rsidRDefault="0021405E" w:rsidP="00C8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0E09D3D7" w14:textId="690769A2" w:rsidR="001018E8" w:rsidRDefault="001018E8"/>
    <w:p w14:paraId="780DD9BC" w14:textId="51740AF3" w:rsidR="00D16F7D" w:rsidRDefault="00D16F7D" w:rsidP="00A06716">
      <w:pPr>
        <w:tabs>
          <w:tab w:val="left" w:pos="1701"/>
        </w:tabs>
      </w:pPr>
    </w:p>
    <w:sectPr w:rsidR="00D16F7D" w:rsidSect="0021405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5CB6"/>
    <w:multiLevelType w:val="multilevel"/>
    <w:tmpl w:val="E6284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2A6129"/>
    <w:multiLevelType w:val="hybridMultilevel"/>
    <w:tmpl w:val="3800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A0C96"/>
    <w:multiLevelType w:val="multilevel"/>
    <w:tmpl w:val="03DC7A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582148">
    <w:abstractNumId w:val="0"/>
  </w:num>
  <w:num w:numId="2" w16cid:durableId="633869122">
    <w:abstractNumId w:val="2"/>
  </w:num>
  <w:num w:numId="3" w16cid:durableId="85415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5E"/>
    <w:rsid w:val="00045407"/>
    <w:rsid w:val="001018E8"/>
    <w:rsid w:val="001E3EA6"/>
    <w:rsid w:val="001E5B20"/>
    <w:rsid w:val="0021405E"/>
    <w:rsid w:val="003444B0"/>
    <w:rsid w:val="00354DFA"/>
    <w:rsid w:val="004167A8"/>
    <w:rsid w:val="005D2827"/>
    <w:rsid w:val="0063241C"/>
    <w:rsid w:val="006400E4"/>
    <w:rsid w:val="006A6236"/>
    <w:rsid w:val="006A6FEF"/>
    <w:rsid w:val="006E06BA"/>
    <w:rsid w:val="009140B6"/>
    <w:rsid w:val="00A06716"/>
    <w:rsid w:val="00B72CC2"/>
    <w:rsid w:val="00BC3F46"/>
    <w:rsid w:val="00CE03BB"/>
    <w:rsid w:val="00D16F7D"/>
    <w:rsid w:val="00DB1EC9"/>
    <w:rsid w:val="00EE687C"/>
    <w:rsid w:val="00F82FE3"/>
    <w:rsid w:val="00FB357D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2BDC"/>
  <w15:chartTrackingRefBased/>
  <w15:docId w15:val="{841D6918-4125-4F42-B3FB-BED92295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05E"/>
    <w:pPr>
      <w:spacing w:after="0" w:line="240" w:lineRule="auto"/>
    </w:pPr>
    <w:rPr>
      <w:rFonts w:ascii="Calibri" w:eastAsia="Calibri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0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0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0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0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0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0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0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0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0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0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0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4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40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0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40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0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Śliwiński</dc:creator>
  <cp:keywords/>
  <dc:description/>
  <cp:lastModifiedBy>Cezary Hollitzer</cp:lastModifiedBy>
  <cp:revision>10</cp:revision>
  <cp:lastPrinted>2024-07-24T13:02:00Z</cp:lastPrinted>
  <dcterms:created xsi:type="dcterms:W3CDTF">2024-09-05T09:14:00Z</dcterms:created>
  <dcterms:modified xsi:type="dcterms:W3CDTF">2024-09-06T06:26:00Z</dcterms:modified>
</cp:coreProperties>
</file>