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EB73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337448">
            <w:pPr>
              <w:ind w:left="6236"/>
              <w:jc w:val="left"/>
            </w:pPr>
            <w:r>
              <w:t>Druk Nr 191/2021</w:t>
            </w:r>
          </w:p>
          <w:p w:rsidR="00A77B3E" w:rsidRDefault="00337448">
            <w:pPr>
              <w:ind w:left="6236"/>
              <w:jc w:val="left"/>
            </w:pPr>
            <w:r>
              <w:t>Projekt z dnia 11 czerwca 2021 r.</w:t>
            </w:r>
          </w:p>
          <w:p w:rsidR="00A77B3E" w:rsidRDefault="00A77B3E">
            <w:pPr>
              <w:ind w:left="6236"/>
              <w:jc w:val="left"/>
            </w:pPr>
          </w:p>
        </w:tc>
      </w:tr>
    </w:tbl>
    <w:p w:rsidR="00A77B3E" w:rsidRDefault="00A77B3E"/>
    <w:p w:rsidR="00A77B3E" w:rsidRDefault="0033744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33744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2021 r.</w:t>
      </w:r>
    </w:p>
    <w:p w:rsidR="00A77B3E" w:rsidRDefault="00337448">
      <w:pPr>
        <w:keepNext/>
        <w:spacing w:after="240"/>
      </w:pPr>
      <w:r>
        <w:rPr>
          <w:b/>
        </w:rPr>
        <w:t xml:space="preserve">w sprawie ustalenia lokalizacji inwestycji mieszkaniowej i inwestycji towarzyszącej przy ul. Piotrkowskiej </w:t>
      </w:r>
      <w:r>
        <w:rPr>
          <w:b/>
        </w:rPr>
        <w:t>242/250 w Łodzi.</w:t>
      </w:r>
    </w:p>
    <w:p w:rsidR="00A77B3E" w:rsidRDefault="00337448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2020 r. poz. 713 i 1378 oraz z 2021 r. poz. 1038) oraz art. 7 ust. 4 i art. 8 ust. 1-3 ustawy z dnia 5 lipca 2018 r. o ułatwieniach w przygoto</w:t>
      </w:r>
      <w:r>
        <w:t>waniu i realizacji inwestycji mieszkaniowych oraz inwestycji towarzyszących (Dz. U. z 2020 r. poz. 219 i 471 oraz z 2021 r. poz. 922), Rada Miejska w Łodzi</w:t>
      </w:r>
    </w:p>
    <w:p w:rsidR="00A77B3E" w:rsidRDefault="00337448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337448">
      <w:pPr>
        <w:keepLines/>
        <w:spacing w:before="240" w:after="120"/>
        <w:ind w:firstLine="567"/>
        <w:jc w:val="both"/>
      </w:pPr>
      <w:r>
        <w:t>§ 1. </w:t>
      </w:r>
      <w:r>
        <w:t xml:space="preserve">Ustala się na rzecz wnioskodawcy AQUARIUS Sp. z o.o., sp.k., z siedzibą </w:t>
      </w:r>
      <w:r>
        <w:t xml:space="preserve">w Łodzi przy ul. Piotrkowskiej 242/250 – lokalizację inwestycji mieszkaniowej polegającej na budowie zabudowy wielorodzinnej wraz z infrastrukturą towarzyszącą na nieruchomości złożonej z działki nr 77/28 oraz na części nieruchomości złożonej z działek nr </w:t>
      </w:r>
      <w:r>
        <w:t>77/26 i 77/27, w obrębie S-9, zlokalizowanych przy ul. Piotrkowskiej 242/250 w Łodzi w granicach określonych na załączniku Nr 1 do uchwały sporządzonym na mapie w skali 1:1000, a także lokalizację inwestycji towarzyszącej polegającej na budowie sieci wodoc</w:t>
      </w:r>
      <w:r>
        <w:t>iągowej na nieruchomości złożonej z działki nr 77/28 oraz na części nieruchomości złożonej z działek nr 76/8 i 76/18, w obrębie S-9.</w:t>
      </w:r>
    </w:p>
    <w:p w:rsidR="00A77B3E" w:rsidRDefault="00337448">
      <w:pPr>
        <w:keepLines/>
        <w:spacing w:before="240" w:after="120"/>
        <w:ind w:firstLine="567"/>
        <w:jc w:val="both"/>
      </w:pPr>
      <w:r>
        <w:t>§ 2. </w:t>
      </w:r>
      <w:r>
        <w:t xml:space="preserve">Określa się granice terenu objętego inwestycją mieszkaniową przedstawione na kopii mapy zasadniczej w skali 1:1000 – </w:t>
      </w:r>
      <w:r>
        <w:t>zgodnie z załącznikiem Nr 1 do uchwały.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powierzchnię użytkową mieszkań – 22 000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powierzchnię użytkową mieszkań – 23 000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430  i maksymalną liczbę mieszkań – 450.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budowie budynku mieszkalnego wielorodzinnego z jednokondygnacyjnym garażem podziemnym;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wewnętrznego układu drogowego z wjazdami na teren w m</w:t>
      </w:r>
      <w:r>
        <w:rPr>
          <w:color w:val="000000"/>
          <w:u w:color="000000"/>
        </w:rPr>
        <w:t>iejscach istniejących: dwóch wjazdów z ul. Piotrkowskiej oraz jednego wjazdu z ul. Sienkiewicza, a także</w:t>
      </w:r>
      <w:r>
        <w:rPr>
          <w:color w:val="000000"/>
          <w:u w:color="000000"/>
        </w:rPr>
        <w:br/>
        <w:t>naziemnych miejsc postojowych;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rozbiórce pozostałości budynków poprzemysłowych o dawnej funkcji magazynowo-produkcyjno-biurowej;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rozbiórce istnie</w:t>
      </w:r>
      <w:r>
        <w:rPr>
          <w:color w:val="000000"/>
          <w:u w:color="000000"/>
        </w:rPr>
        <w:t>jącej trafostacji przy północnej granicy nieruchomości;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utworzeniu terenów zielonych w formie zieleni niskiej, w postaci trawników i krzewów oraz zieleni w donicach; uzyskana decyzja o środowiskowych uwarunkowaniach realizacji </w:t>
      </w:r>
      <w:r>
        <w:rPr>
          <w:color w:val="000000"/>
          <w:u w:color="000000"/>
        </w:rPr>
        <w:lastRenderedPageBreak/>
        <w:t>przedsięwzięcia wymieniona</w:t>
      </w:r>
      <w:r>
        <w:rPr>
          <w:color w:val="000000"/>
          <w:u w:color="000000"/>
        </w:rPr>
        <w:t xml:space="preserve"> w § 7 pkt 3 lit. b  stwierdza przewidywaną wycinkę 24 drzew z kompensacją przyrodniczą za wycięte drzewa w stosunku 1:2;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budowie nowych odcinków i przebudowie istniejących instalacji i sieci infrastruktury technicznej: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cieplnej,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kanalizacji ogóln</w:t>
      </w:r>
      <w:r>
        <w:rPr>
          <w:color w:val="000000"/>
          <w:u w:color="000000"/>
        </w:rPr>
        <w:t>ospławnej,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wodnej,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elektrycznej,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teletechnicznej i informatycznej,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innych niezbędnych do realizacji inwestycji.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 powiązanie inwestycji mieszkaniowej z istniejącym i planowanym uzbrojeniem terenu. Inwestycja wyposażona będzie w </w:t>
      </w:r>
      <w:r>
        <w:rPr>
          <w:color w:val="000000"/>
          <w:u w:color="000000"/>
        </w:rPr>
        <w:t>następujące media: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instalacja elektroenergetyczna – zasilanie odbywać się będzię zgodnie z oświadczeniem o zapewnieniu dostaw PGE Dystrybucja S.A. z dnia 16.12.2019 r., projektuje się dwie stacje transformatorowe  SN/NN – pierwsza z nich obsługiwać będz</w:t>
      </w:r>
      <w:r>
        <w:rPr>
          <w:color w:val="000000"/>
          <w:u w:color="000000"/>
        </w:rPr>
        <w:t>ie budynek mieszkalny wraz z garażami podziemnymi i stanowić będzie rezerwę na cele ppoż. dla zasilania drugiej stacji transformatorowej, a druga stacja transformatorowa zasilać będzie istniejące budynki na działkach nr 77/26 i 77/29, obręb S-9, oraz będzi</w:t>
      </w:r>
      <w:r>
        <w:rPr>
          <w:color w:val="000000"/>
          <w:u w:color="000000"/>
        </w:rPr>
        <w:t>e rezerwą na cele ppoż. dla zasilania pierwszej stacji transformatorowej – stacje zlokalizowane będą na kondygnacji garażu podziemnego przy północnej granicy terenu, planowane jest również wykonanie instalacji oświetlenia zewnętrznego;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teleko</w:t>
      </w:r>
      <w:r>
        <w:rPr>
          <w:color w:val="000000"/>
          <w:u w:color="000000"/>
        </w:rPr>
        <w:t>munikacyjna – istniejąca kanalizacja teletechniczna zostanie zlikwidowana, projektuje się nowe przyłącze telekomunikacyjne od strony ulicy Sienkiewicza, które zapewni normatywny dostęp do infrastruktury telekomunikacyjnej;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instalacja kanalizacji sanitar</w:t>
      </w:r>
      <w:r>
        <w:rPr>
          <w:color w:val="000000"/>
          <w:u w:color="000000"/>
        </w:rPr>
        <w:t>nej i kanalizacji deszczowej – odprowadzenie wód opadowych</w:t>
      </w:r>
      <w:r>
        <w:rPr>
          <w:color w:val="000000"/>
          <w:u w:color="000000"/>
        </w:rPr>
        <w:br/>
        <w:t>i ścieków sanitarnych odbywać się będzie zgodnie z opinią Zakładu Wodociągów</w:t>
      </w:r>
      <w:r>
        <w:rPr>
          <w:color w:val="000000"/>
          <w:u w:color="000000"/>
        </w:rPr>
        <w:br/>
        <w:t>i Kanalizacji Sp. z o.o. WTT.423.296.2019/T/JW./TK w formie kanalizacji ogólnospławnej, która będzie podłączona do istni</w:t>
      </w:r>
      <w:r>
        <w:rPr>
          <w:color w:val="000000"/>
          <w:u w:color="000000"/>
        </w:rPr>
        <w:t>ejącego przyłącza kanalizacji ogólnospławnej przy południowo-wschodnim narożu terenu;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sieć wodociągowa wody użytkowej i do celów ppoż. – doprowadzenie wody</w:t>
      </w:r>
      <w:r>
        <w:rPr>
          <w:color w:val="000000"/>
          <w:u w:color="000000"/>
        </w:rPr>
        <w:br/>
        <w:t>do projektowanego budynku odbywać się będzie zgodnie z opinią Zakładu Wodociągów</w:t>
      </w:r>
      <w:r>
        <w:rPr>
          <w:color w:val="000000"/>
          <w:u w:color="000000"/>
        </w:rPr>
        <w:br/>
        <w:t>i Kanalizacji Sp</w:t>
      </w:r>
      <w:r>
        <w:rPr>
          <w:color w:val="000000"/>
          <w:u w:color="000000"/>
        </w:rPr>
        <w:t>. z o.o. WTT.423.296.2019/T/JW./TK, sieć zrealizowana zostanie poprzez budowę sieci wodociągowej połączonej z miejską siecią wodociągową ф 150 zlokalizowaną w ul. Sienkiewicza i odchodzące od niej przyłącza, opomiarowanie zużycia wody dla całego obiektu bę</w:t>
      </w:r>
      <w:r>
        <w:rPr>
          <w:color w:val="000000"/>
          <w:u w:color="000000"/>
        </w:rPr>
        <w:t>dzie wykonane w wydzielonym pomieszczeniu na kondygnacji        -1 garażu podziemnego;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sieć ciepłownicza – ciepło na potrzeby grzewcze i przygotowania ciepłej wody użytkowej uzyskane będzie z miejskiej sieci ciepłowniczej biegnącej w ulicy Sienkiewicza,</w:t>
      </w:r>
      <w:r>
        <w:rPr>
          <w:color w:val="000000"/>
          <w:u w:color="000000"/>
        </w:rPr>
        <w:t xml:space="preserve"> zgodnie</w:t>
      </w:r>
      <w:r>
        <w:rPr>
          <w:color w:val="000000"/>
          <w:u w:color="000000"/>
        </w:rPr>
        <w:br/>
        <w:t>z promesą HN/AW/4871/2019 Veolia Energia Łódź S.A., przyłącze zlokalizowane będzie od strony północno-wschodniej i zostanie doprowadzone do pomieszczenia węzłów cieplnych na kondygnacji -1 garażu podziemnego.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Charakterystyka inwestycji mieszk</w:t>
      </w:r>
      <w:r>
        <w:rPr>
          <w:color w:val="000000"/>
          <w:u w:color="000000"/>
        </w:rPr>
        <w:t>aniowej: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</w:t>
      </w:r>
      <w:r>
        <w:rPr>
          <w:color w:val="000000"/>
          <w:u w:color="000000"/>
        </w:rPr>
        <w:t>wodociągu miejskiego – 4401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miesiąc, 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ścieki do kanalizacji miejskiej – 4401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miesiąc, ścieki sanitarne będą odprowadzane bezpośrednio do miejskiej sieci ogólnospławnej przez istniejące przyłącze ogólnospławne,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2</w:t>
      </w:r>
      <w:r>
        <w:rPr>
          <w:color w:val="000000"/>
          <w:u w:color="000000"/>
        </w:rPr>
        <w:t>269 kW,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1000 kW,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będą częściowo retencjonowane w zbiorniku retencyjnym pod rampą</w:t>
      </w:r>
      <w:r>
        <w:rPr>
          <w:color w:val="000000"/>
          <w:u w:color="000000"/>
        </w:rPr>
        <w:br/>
        <w:t>w garażu podziemnym, a częściowo odprowadzane bezpośrednio do miejskiej sieci ogólnospławnej, natomiast wody opadowe</w:t>
      </w:r>
      <w:r>
        <w:rPr>
          <w:color w:val="000000"/>
          <w:u w:color="000000"/>
        </w:rPr>
        <w:t xml:space="preserve"> z parkingu i terenu utwardzonego przed odprowadzeniem do sieci miejskiej będą podczyszczone w separatorze ropopochodnym,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łączna liczba co najmniej 381 miejsc postojowych będzie sumą 46 miejsc naziemnych i 335 miejsc zlokalizowanych w garażu wielopoziom</w:t>
      </w:r>
      <w:r>
        <w:rPr>
          <w:color w:val="000000"/>
          <w:u w:color="000000"/>
        </w:rPr>
        <w:t>owym,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składowanie odpadów stałych będzie odbywać się w miejscach wbudowanych</w:t>
      </w:r>
      <w:r>
        <w:rPr>
          <w:color w:val="000000"/>
          <w:u w:color="000000"/>
        </w:rPr>
        <w:br/>
        <w:t>w budynek, na poziomie terenu, wyposażonych w system wentylacji mechanicznej;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</w:t>
      </w:r>
      <w:r>
        <w:rPr>
          <w:color w:val="000000"/>
          <w:u w:color="000000"/>
        </w:rPr>
        <w:t>owania terenu, w tym przeznaczenie projektowanych obiektów budowlanych, przedstawione w formie opisowej i graficznej: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lokalizacja budynku mieszkalnego wielorodzinnego w odległości ok. 53 m</w:t>
      </w:r>
      <w:r>
        <w:rPr>
          <w:color w:val="000000"/>
          <w:u w:color="000000"/>
        </w:rPr>
        <w:br/>
        <w:t xml:space="preserve">od zabytkowego budynku dawnej </w:t>
      </w:r>
      <w:r>
        <w:rPr>
          <w:color w:val="000000"/>
          <w:u w:color="000000"/>
        </w:rPr>
        <w:t>przędzalni Markusa Silbersteina, w układzie trzech skrzydeł równoległych do ww. budynku i wysokości 8 kondygnacji do 24 m połączonych od północy dwoma łącznikami o wysokości 4 kondygnacji, gabaryty poziome zabudowy nie przekraczają płaszczyzny szczytów ww.</w:t>
      </w:r>
      <w:r>
        <w:rPr>
          <w:color w:val="000000"/>
          <w:u w:color="000000"/>
        </w:rPr>
        <w:t xml:space="preserve"> budynku zabytkowego,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miejsca postojowe zostaną zapewnione w jednokondygnacyjnym garażu w części podziemnej budynku mieszkalnego i jednokondygnacyjnym garażu podziemnym zlokalizowanym pod terenem pomiędzy budynkiem mieszkalnym, a zabytkowym budynkiem daw</w:t>
      </w:r>
      <w:r>
        <w:rPr>
          <w:color w:val="000000"/>
          <w:u w:color="000000"/>
        </w:rPr>
        <w:t>nej przędzalni, w jego bezpośrednim sąsiedztwie oraz jako naziemne,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zostanie wybudowany układ komunikacyjny, pieszy i kołowy zapewniający dojazd mieszkańcom i spełniający wymogi ppoż.,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tereny zielone tworzyć będzie zieleń niska w postaci trawników i kr</w:t>
      </w:r>
      <w:r>
        <w:rPr>
          <w:color w:val="000000"/>
          <w:u w:color="000000"/>
        </w:rPr>
        <w:t>zewów, w tym miejsca rekreacji i plac zabaw w dziedzińcach oraz skwer od strony dawnej przędzalni,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ukształtowanie terenu jest zbliżone do płaskiego – rzędne terenu wahają się od 196,34 m n.p.m. w narożu południowo-wschodnim do 198,93 m n.p.m. w pólnocno-</w:t>
      </w:r>
      <w:r>
        <w:rPr>
          <w:color w:val="000000"/>
          <w:u w:color="000000"/>
        </w:rPr>
        <w:t>zachodnim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– określa się zabudowę wolnostojącą</w:t>
      </w:r>
      <w:r>
        <w:rPr>
          <w:color w:val="000000"/>
          <w:u w:color="000000"/>
        </w:rPr>
        <w:br/>
        <w:t>z przeznaczeniem na funkcję mieszkalną wielorodzinną z garażem podziemnym;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</w:t>
      </w:r>
      <w:r>
        <w:rPr>
          <w:color w:val="000000"/>
          <w:u w:color="000000"/>
        </w:rPr>
        <w:t>ę charakterystyczne parametry techniczne inwestycji mieszkaniowej oraz dane charakteryzujące jej wpływ na środowisko (w myśl ustawy z dnia 3 października 2008 r. o udostępnianiu informacji o środowisku i jego ochronie, udziale społeczeństwa w ochronie środ</w:t>
      </w:r>
      <w:r>
        <w:rPr>
          <w:color w:val="000000"/>
          <w:u w:color="000000"/>
        </w:rPr>
        <w:t>owiska oraz o ocenach oddziaływania na środowisko, Dz. U. z 2021 r. poz. 247, 784 i 922):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inwestycja posiada następujące charakterystyczne parametry techniczne: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wynosi: 18 778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zabudowy: do 4,7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utwardzona: do 6,4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 powierzchnie utwardzone ażurowe: do 1,1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czynna: powyżej 5,1 tys.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– na terenie (z uwzględnieniem zieleni na płycie garażowej, na gruncie, dróg ażurowych i dachów </w:t>
      </w:r>
      <w:r>
        <w:rPr>
          <w:color w:val="000000"/>
          <w:u w:color="000000"/>
        </w:rPr>
        <w:t>zielonych),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zabudowy: dla części zabudowy zorientowanych równolegle do ulicy Piotrkowskiej – 8 kondygnacji do 24 m, dla ich łączników – 4 kondygnacje,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dachowych: płaskie do 2º,</w:t>
      </w:r>
    </w:p>
    <w:p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kubatura: do 100,6 tys.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,</w:t>
      </w:r>
    </w:p>
    <w:p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Kartą informacyjną przedsięwzięcia dla decyzji o środowiskowych uwarunkowaniach realizacji przedsięwzięcia Nr 49/U/2019, znak: DPS-OŚR-I.6220.127.2019 wydanej przez Prezydenta Miasta Łodzi w dniu 8.11.2019 r., „planowane przedsięwzięcie nale</w:t>
      </w:r>
      <w:r>
        <w:rPr>
          <w:color w:val="000000"/>
          <w:u w:color="000000"/>
        </w:rPr>
        <w:t>ży do przedsięwzięć mogących potencjalnie znacząco oddziaływać na środowisko, o których mowa w § 3 ust. 1 pkt 56 lit. b rozporządzenia  Rady Ministrów z dnia 9 listopada 2010 r. w sprawie przedsięwzięć mogących znacząco oddziaływać na środowisko (Dz. U. z </w:t>
      </w:r>
      <w:r>
        <w:rPr>
          <w:color w:val="000000"/>
          <w:u w:color="000000"/>
        </w:rPr>
        <w:t>2016 r. poz. 71) tj. garaże, parkingi samochodowe lub zespoły parkingów, w tym na potrzeby planowanych, realizowanych lub zrealizowanych przedsięwzięć w pkt 50, 52-55 i 57 ww. rozporządzenia wraz z towarzyszącą im infrastrukturą, o powierzchni użytkowej ni</w:t>
      </w:r>
      <w:r>
        <w:rPr>
          <w:color w:val="000000"/>
          <w:u w:color="000000"/>
        </w:rPr>
        <w:t>e mniejszej niż 0,5 ha na obszarach innych niż wymienione w lit. a”, dla których uzyskanie decyzji o środowiskowych uwarunkowaniach jest wymagane i przeprowadzenie oceny oddziaływania na środowisko jest fakultatywne; po zakończeniu procesu inwestycyjnego i</w:t>
      </w:r>
      <w:r>
        <w:rPr>
          <w:color w:val="000000"/>
          <w:u w:color="000000"/>
        </w:rPr>
        <w:t>nwestycja będzie źródłem emisji hałasu w porze dziennej i nocnej – oprócz samochodów, lekkich i ciężkich w porze dziennej i tylko lekkich w porze nocnej, źródłami hałasu będą projektowane zewnętrzne źródła hałasu w postaci urządzeń wentylacji bytowej; tere</w:t>
      </w:r>
      <w:r>
        <w:rPr>
          <w:color w:val="000000"/>
          <w:u w:color="000000"/>
        </w:rPr>
        <w:t>n objęty zamierzeniem położony jest poza obszarami chronionymi na podstawie ustawy z dnia 16 kwietnia 2004 r. o ochronie przyrody (Dz. U. z 2020 r. poz. 55, 471 i 1378); oceniając przyjęte założenia projektowe, a także zastosowane działania minimalizujące,</w:t>
      </w:r>
      <w:r>
        <w:rPr>
          <w:color w:val="000000"/>
          <w:u w:color="000000"/>
        </w:rPr>
        <w:t xml:space="preserve"> organ  wydający ww. decyzję stwierdził, że inwestycja nie będzie znacząco oddziaływać na środowisko przyrodnicze; ponadto stwierdził brak możliwości znaczącego oddziaływania na pozostające w zasięgu oddziaływania jednolite części wód i nie stwierdza się n</w:t>
      </w:r>
      <w:r>
        <w:rPr>
          <w:color w:val="000000"/>
          <w:u w:color="000000"/>
        </w:rPr>
        <w:t>egatywnego oddziaływania przedmiotowego przedsięwzięcia na realizację celów środowiskowych, o których mowa w art. 56, art. 57, art. 59 i art. 61 ustawy z dnia 20 lipca 2017 r. – Prawo wodne (Dz. U. z 2021 r. poz. 624 i 784); w konkluzji Karty informacyjnej</w:t>
      </w:r>
      <w:r>
        <w:rPr>
          <w:color w:val="000000"/>
          <w:u w:color="000000"/>
        </w:rPr>
        <w:t xml:space="preserve"> uznano, że eksploatacja projektowanego przedsięwzięcia nie będzie oddziaływać w sposób znaczący na obszary geograficzne i znaczną liczbę ludności, a także stwierdzono brak transgranicznego oddziaływania na środowisko oraz, że nie przewiduje się wystąpieni</w:t>
      </w:r>
      <w:r>
        <w:rPr>
          <w:color w:val="000000"/>
          <w:u w:color="000000"/>
        </w:rPr>
        <w:t>a poważnej awarii lub katastrofy naturalnej i budowlanej; w ww. decyzji wskazano zakresy oddziaływania na środowisko w fazie budowy oraz eksploatacji, w tym emisję hałasu i zanieczyszczeń do powietrza, powstawanie ścieków bytowych i odpadów, wynikające z z</w:t>
      </w:r>
      <w:r>
        <w:rPr>
          <w:color w:val="000000"/>
          <w:u w:color="000000"/>
        </w:rPr>
        <w:t>apotrzebowania na wodę do celów socjalnych, energię elektryczną dla gospodarstw mieszkalnych, energię cieplną dla ogrzania budynków, a w konkluzji decyzja stwierdza, że realizacja inwestycji nie wymaga przeprowadzenia oceny oddziaływania na środowisko, a t</w:t>
      </w:r>
      <w:r>
        <w:rPr>
          <w:color w:val="000000"/>
          <w:u w:color="000000"/>
        </w:rPr>
        <w:t>akże brak potrzeby ustanawiania środowiskowych uwarunkowań w zakresie oddziaływania na: obszary Natura 2000, środowisko przyrodnicze, obiekty zabytkowe objęte rejestrem lub ewidencją zabytków.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Obiekty objęte inwestycją mieszkaniową mają być zlokalizow</w:t>
      </w:r>
      <w:r>
        <w:rPr>
          <w:color w:val="000000"/>
          <w:u w:color="000000"/>
        </w:rPr>
        <w:t>ane na następującej nieruchomości i części nieruchomości, wskazanych według katastru nieruchomości oraz księgi wieczystej: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77/28, obręb S-9 – KW LD1M/00291886/4;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77/26, obręb S-9 – KW LD1M/00094318/1;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działka nr 77/27, obręb </w:t>
      </w:r>
      <w:r>
        <w:rPr>
          <w:color w:val="000000"/>
          <w:u w:color="000000"/>
        </w:rPr>
        <w:t>S-9 – KW LD1M/00094318/1.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Na następującej nieruchomości i części nieruchomości: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76/8, obręb S-9 – KW LD1M/00094377/2,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76/18, obręb S-9 – KW LD1M/00295287/3</w:t>
      </w:r>
    </w:p>
    <w:p w:rsidR="00A77B3E" w:rsidRDefault="00337448">
      <w:pPr>
        <w:keepLines/>
        <w:spacing w:before="120" w:after="120"/>
        <w:ind w:left="227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decyzja o pozwoleniu na budowę inwestycji mieszkaniowej ma wywoła</w:t>
      </w:r>
      <w:r>
        <w:rPr>
          <w:color w:val="000000"/>
          <w:u w:color="000000"/>
        </w:rPr>
        <w:t>ć skutek, o którym mowa w art. 35 ust. 1 ustawy z dnia 5 lipca 2018 r. o ułatwieniach w przygotowaniu i realizacji inwestycji mieszkaniowych oraz inwestycji towarzyszących.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Na następującej nieruchomości i części nieruchomości, o których mowa w art. 3</w:t>
      </w:r>
      <w:r>
        <w:rPr>
          <w:color w:val="000000"/>
          <w:u w:color="000000"/>
        </w:rPr>
        <w:t>8 ust. 1 ustawy z dnia 5 lipca 2018 r. o ułatwieniach w przygotowaniu i realizacji inwestycji mieszkaniowych oraz inwestycji towarzyszących, inwestycja wymaga zajęcia terenów dróg publicznych na potrzeby realizacji sieci uzbrojenia terenu: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76</w:t>
      </w:r>
      <w:r>
        <w:rPr>
          <w:color w:val="000000"/>
          <w:u w:color="000000"/>
        </w:rPr>
        <w:t>/8, obreb S-9 – KW LD1M/00094377/2;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76/18, obręb S-9 – KW LD1M00295287/3.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projektowana inwestycja mieszkaniowa sklasyfikowana została, jako inwestycja mo</w:t>
      </w:r>
      <w:r>
        <w:rPr>
          <w:color w:val="000000"/>
          <w:u w:color="000000"/>
        </w:rPr>
        <w:t>gąca potencjalnie znacząco oddziaływać na środowisko; wnioskodawca uzyskał decyzję o uwarunkowaniach środowiskowych nr 49/U/2019, wydaną przez Prezydenta Miasta Łodzi, znak: DPS-OŚR-I.6220.127.2019, z dnia 8.11.2019 r.;</w:t>
      </w:r>
    </w:p>
    <w:p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znajduje się na obszar</w:t>
      </w:r>
      <w:r>
        <w:rPr>
          <w:color w:val="000000"/>
          <w:u w:color="000000"/>
        </w:rPr>
        <w:t>ze wpisanym do rejestru zabytków jako historyczny układ urbanistyczny ulicy Piotrkowskiej na odcinku od al. Piłsudskiego/al. Mickiewicza</w:t>
      </w:r>
      <w:r>
        <w:rPr>
          <w:color w:val="000000"/>
          <w:u w:color="000000"/>
        </w:rPr>
        <w:br/>
        <w:t>do ul. Pabianickiej pod nr. rej. A/98 z dnia 15.06.2012 r.; inwestycja znajduje się w granicy zabytkowego układu urbani</w:t>
      </w:r>
      <w:r>
        <w:rPr>
          <w:color w:val="000000"/>
          <w:u w:color="000000"/>
        </w:rPr>
        <w:t xml:space="preserve">stycznego oraz krajobrazu kulturowego pn. Osada Łódka, ujętego w gminnej ewidencji zabytków; działka nr 77/26 wpisana jest do rejestru zabytków jako otoczenie zabytkowej tkalni Spółki Akcyjnej Wyrobów Wełnianych i Bawełnianych Marcusa Silbersteina pod nr. </w:t>
      </w:r>
      <w:r>
        <w:rPr>
          <w:color w:val="000000"/>
          <w:u w:color="000000"/>
        </w:rPr>
        <w:t>rej. A/148 z dnia 24.02.2014 r.; inwestycja jest realizowana</w:t>
      </w:r>
      <w:r>
        <w:rPr>
          <w:color w:val="000000"/>
          <w:u w:color="000000"/>
        </w:rPr>
        <w:br/>
        <w:t>na terenie uznanym za Pomnik Historii i określony wpisem „Łódź – wielokulturowy krajobraz miasta poprzemysłowego”; od zachodu teren inwestycji sąsiaduje z istniejącymi budynkami, oddzielającymi g</w:t>
      </w:r>
      <w:r>
        <w:rPr>
          <w:color w:val="000000"/>
          <w:u w:color="000000"/>
        </w:rPr>
        <w:t>o od ul. Piotrkowskiej, a główną bryłę tej zabudowy stanowi budynek dawnej przędzalni Markusa Silbersteina, wpisany do rejestru zabytków jako przykład poprzemysłowej architektury dawnej Łodzi – obecnie w budynku i jego otoczeniu prowadzone są prace konserw</w:t>
      </w:r>
      <w:r>
        <w:rPr>
          <w:color w:val="000000"/>
          <w:u w:color="000000"/>
        </w:rPr>
        <w:t xml:space="preserve">atorskie, natomiast budynki o dawnej funkcji magazynowo-produkcyjno-biurowej zgodnie z oświadczeniem inwestora objęto decyzjami o rozbiórce Wojewódzkiego Urzędu Ochrony Zabytków z dnia 28 stycznia 2011 r. oraz Prezydenta Miasta Łodzi nr UA.II/55/11 z dnia </w:t>
      </w:r>
      <w:r>
        <w:rPr>
          <w:color w:val="000000"/>
          <w:u w:color="000000"/>
        </w:rPr>
        <w:t>31 stycznia 2011 r.; możliwość zabudowy przedmiotowego terenu określono pismem Łódzkiego Wojewódzkiego Konserwatora Zabytków z dnia 13 lutego 2018 r. znak WUOZ-AC.5183.2018.AK, zmienionym pismem</w:t>
      </w:r>
      <w:r>
        <w:rPr>
          <w:color w:val="000000"/>
          <w:u w:color="000000"/>
        </w:rPr>
        <w:br/>
        <w:t>z dnia 15.02.2018 r.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 xml:space="preserve">Niniejsza uchwała nie rodzi praw </w:t>
      </w:r>
      <w:r>
        <w:rPr>
          <w:color w:val="000000"/>
          <w:u w:color="000000"/>
        </w:rPr>
        <w:t>do terenu oraz nie narusza prawa własności i uprawnień osób trzecich.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337448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 xml:space="preserve">Uchwała wchodzi w życie z dniem </w:t>
      </w:r>
      <w:r>
        <w:rPr>
          <w:color w:val="000000"/>
          <w:u w:color="000000"/>
        </w:rPr>
        <w:t>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/>
      </w:tblPr>
      <w:tblGrid>
        <w:gridCol w:w="4541"/>
        <w:gridCol w:w="4541"/>
      </w:tblGrid>
      <w:tr w:rsidR="00EB73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EB7377" w:rsidRDefault="00EB7377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EB7377" w:rsidRDefault="00337448">
            <w:pPr>
              <w:keepLines/>
              <w:spacing w:before="240" w:after="24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</w:r>
            <w:r>
              <w:rPr>
                <w:b/>
                <w:color w:val="000000"/>
              </w:rPr>
              <w:lastRenderedPageBreak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337448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Projektodawcą jest</w:t>
      </w:r>
    </w:p>
    <w:p w:rsidR="00A77B3E" w:rsidRDefault="00337448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EB737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37448">
        <w:rPr>
          <w:color w:val="000000"/>
          <w:u w:color="000000"/>
        </w:rPr>
        <w:t>Załącznik Nr 1 </w:t>
      </w:r>
      <w:r w:rsidR="00337448">
        <w:rPr>
          <w:color w:val="000000"/>
          <w:u w:color="000000"/>
        </w:rPr>
        <w:br/>
        <w:t>do uchwały Nr</w:t>
      </w:r>
      <w:r w:rsidR="00337448">
        <w:rPr>
          <w:color w:val="000000"/>
          <w:u w:color="000000"/>
        </w:rPr>
        <w:br/>
        <w:t xml:space="preserve">Rady </w:t>
      </w:r>
      <w:r w:rsidR="00337448">
        <w:rPr>
          <w:color w:val="000000"/>
          <w:u w:color="000000"/>
        </w:rPr>
        <w:t>Miejskiej w Łodzi</w:t>
      </w:r>
      <w:r w:rsidR="00337448">
        <w:rPr>
          <w:color w:val="000000"/>
          <w:u w:color="000000"/>
        </w:rPr>
        <w:br/>
        <w:t>z dnia                         2021 r.</w:t>
      </w:r>
    </w:p>
    <w:p w:rsidR="00A77B3E" w:rsidRDefault="00337448">
      <w:pPr>
        <w:keepNext/>
        <w:spacing w:after="24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wnioskiem</w:t>
      </w:r>
    </w:p>
    <w:p w:rsidR="00A77B3E" w:rsidRDefault="0033744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8146640"/>
            <wp:effectExtent l="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EB737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37448">
        <w:rPr>
          <w:color w:val="000000"/>
          <w:u w:color="000000"/>
        </w:rPr>
        <w:t>Załącznik Nr 2 </w:t>
      </w:r>
      <w:r w:rsidR="00337448">
        <w:rPr>
          <w:color w:val="000000"/>
          <w:u w:color="000000"/>
        </w:rPr>
        <w:br/>
        <w:t>do uchwały Nr</w:t>
      </w:r>
      <w:r w:rsidR="00337448">
        <w:rPr>
          <w:color w:val="000000"/>
          <w:u w:color="000000"/>
        </w:rPr>
        <w:br/>
        <w:t>Rady Miejskiej w Łodzi</w:t>
      </w:r>
      <w:r w:rsidR="00337448">
        <w:rPr>
          <w:color w:val="000000"/>
          <w:u w:color="000000"/>
        </w:rPr>
        <w:br/>
        <w:t>z dnia                         2021 r.</w:t>
      </w:r>
    </w:p>
    <w:p w:rsidR="00A77B3E" w:rsidRDefault="00337448">
      <w:pPr>
        <w:keepNext/>
        <w:spacing w:after="24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Planowane </w:t>
      </w:r>
      <w:r>
        <w:rPr>
          <w:b/>
          <w:color w:val="000000"/>
          <w:u w:color="000000"/>
        </w:rPr>
        <w:t>zagospodarowanie terenu</w:t>
      </w:r>
    </w:p>
    <w:p w:rsidR="00A77B3E" w:rsidRDefault="0033744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8146640"/>
            <wp:effectExtent l="0" t="0" r="0" b="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EB7377" w:rsidRDefault="00EB7377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EB7377" w:rsidRDefault="00337448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Pełnomocnik inwestora AQU</w:t>
      </w:r>
      <w:r>
        <w:rPr>
          <w:color w:val="000000"/>
          <w:szCs w:val="20"/>
          <w:u w:color="000000"/>
          <w:shd w:val="clear" w:color="auto" w:fill="FFFFFF"/>
        </w:rPr>
        <w:t>A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RIUS Sp. z o.o. sp.k. pismem z dnia 2</w:t>
      </w:r>
      <w:r>
        <w:rPr>
          <w:color w:val="000000"/>
          <w:szCs w:val="20"/>
          <w:u w:color="000000"/>
          <w:shd w:val="clear" w:color="auto" w:fill="FFFFFF"/>
        </w:rPr>
        <w:t>0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.0</w:t>
      </w:r>
      <w:r>
        <w:rPr>
          <w:color w:val="000000"/>
          <w:szCs w:val="20"/>
          <w:u w:color="000000"/>
          <w:shd w:val="clear" w:color="auto" w:fill="FFFFFF"/>
        </w:rPr>
        <w:t>4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.202</w:t>
      </w:r>
      <w:r>
        <w:rPr>
          <w:color w:val="000000"/>
          <w:szCs w:val="20"/>
          <w:u w:color="000000"/>
          <w:shd w:val="clear" w:color="auto" w:fill="FFFFFF"/>
        </w:rPr>
        <w:t>1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 r. wystąpił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za pośrednictwem Prezydenta Miasta Łodzi </w:t>
      </w:r>
      <w:r>
        <w:rPr>
          <w:color w:val="000000"/>
          <w:szCs w:val="20"/>
          <w:u w:color="000000"/>
          <w:shd w:val="clear" w:color="auto" w:fill="FFFFFF"/>
        </w:rPr>
        <w:t>-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Biura Architekta Miasta w Departamencie </w:t>
      </w:r>
      <w:r>
        <w:rPr>
          <w:color w:val="000000"/>
          <w:szCs w:val="20"/>
          <w:u w:color="000000"/>
          <w:shd w:val="clear" w:color="auto" w:fill="FFFFFF"/>
        </w:rPr>
        <w:t>Planowania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i  </w:t>
      </w:r>
      <w:r>
        <w:rPr>
          <w:color w:val="000000"/>
          <w:szCs w:val="20"/>
          <w:u w:color="000000"/>
          <w:shd w:val="clear" w:color="auto" w:fill="FFFFFF"/>
        </w:rPr>
        <w:t xml:space="preserve">Rozwoju Gospodarczego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Urzędu Miasta Łodzi do Rady Miejskiej w Łodzi z wnioskiem</w:t>
      </w:r>
      <w:r>
        <w:rPr>
          <w:color w:val="000000"/>
          <w:szCs w:val="20"/>
          <w:u w:color="000000"/>
          <w:shd w:val="clear" w:color="auto" w:fill="FFFFFF"/>
        </w:rPr>
        <w:t>, zmodyfikowanym w dniu 23.04.2021 r.,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o ustalenie </w:t>
      </w:r>
      <w:r>
        <w:rPr>
          <w:color w:val="000000"/>
          <w:szCs w:val="20"/>
          <w:u w:color="000000"/>
          <w:shd w:val="clear" w:color="auto" w:fill="FFFFFF"/>
        </w:rPr>
        <w:t xml:space="preserve">na podstawie </w:t>
      </w:r>
      <w:r>
        <w:rPr>
          <w:color w:val="000000"/>
          <w:szCs w:val="20"/>
          <w:shd w:val="clear" w:color="auto" w:fill="FFFFFF"/>
          <w:lang w:eastAsia="en-US" w:bidi="ar-SA"/>
        </w:rPr>
        <w:t>ustawy z dnia 5 lipca 2018 r. o ułatwieniach w przygotowaniu i realizacji inwestycji mieszkaniowych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oraz inwestycji towarzyszących (Dz. U. z 2020 r. poz. 219</w:t>
      </w:r>
      <w:r>
        <w:rPr>
          <w:color w:val="000000"/>
          <w:szCs w:val="20"/>
          <w:shd w:val="clear" w:color="auto" w:fill="FFFFFF"/>
        </w:rPr>
        <w:t xml:space="preserve"> z późn. zm.</w:t>
      </w:r>
      <w:r>
        <w:rPr>
          <w:color w:val="000000"/>
          <w:szCs w:val="20"/>
          <w:shd w:val="clear" w:color="auto" w:fill="FFFFFF"/>
          <w:lang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, zwanej dalej specustawą -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lokalizacji inwestycji mieszkaniowej </w:t>
      </w:r>
      <w:r>
        <w:rPr>
          <w:color w:val="000000"/>
          <w:szCs w:val="20"/>
          <w:u w:color="000000"/>
          <w:shd w:val="clear" w:color="auto" w:fill="FFFFFF"/>
        </w:rPr>
        <w:t xml:space="preserve">polegającej na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budow</w:t>
      </w:r>
      <w:r>
        <w:rPr>
          <w:color w:val="000000"/>
          <w:szCs w:val="20"/>
          <w:u w:color="000000"/>
          <w:shd w:val="clear" w:color="auto" w:fill="FFFFFF"/>
        </w:rPr>
        <w:t>ie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zabudowy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mieszka</w:t>
      </w:r>
      <w:r>
        <w:rPr>
          <w:color w:val="000000"/>
          <w:szCs w:val="20"/>
          <w:u w:color="000000"/>
          <w:shd w:val="clear" w:color="auto" w:fill="FFFFFF"/>
        </w:rPr>
        <w:t>niowej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wielorodzinn</w:t>
      </w:r>
      <w:r>
        <w:rPr>
          <w:color w:val="000000"/>
          <w:szCs w:val="20"/>
          <w:u w:color="000000"/>
          <w:shd w:val="clear" w:color="auto" w:fill="FFFFFF"/>
        </w:rPr>
        <w:t>ej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z infrastrukturą towarzyszącą </w:t>
      </w:r>
      <w:r>
        <w:rPr>
          <w:color w:val="000000"/>
          <w:szCs w:val="20"/>
          <w:u w:color="000000"/>
          <w:shd w:val="clear" w:color="auto" w:fill="FFFFFF"/>
        </w:rPr>
        <w:t xml:space="preserve">na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nieruchomości położonej pr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zy ul. Piotrkowskiej 242/250 w Łodzi, na działkach ewidencyjnych n</w:t>
      </w:r>
      <w:r>
        <w:rPr>
          <w:color w:val="000000"/>
          <w:szCs w:val="20"/>
          <w:u w:color="000000"/>
          <w:shd w:val="clear" w:color="auto" w:fill="FFFFFF"/>
        </w:rPr>
        <w:t xml:space="preserve">umer </w:t>
      </w:r>
      <w:r>
        <w:rPr>
          <w:color w:val="000000"/>
          <w:szCs w:val="20"/>
          <w:shd w:val="clear" w:color="auto" w:fill="FFFFFF"/>
          <w:lang w:eastAsia="en-US" w:bidi="ar-SA"/>
        </w:rPr>
        <w:t>77/28 oraz części</w:t>
      </w:r>
      <w:r>
        <w:rPr>
          <w:color w:val="000000"/>
          <w:szCs w:val="20"/>
          <w:shd w:val="clear" w:color="auto" w:fill="FFFFFF"/>
        </w:rPr>
        <w:t>ach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działek nr 77/26 i 77/27 w obrębie S-9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eastAsia="en-US" w:bidi="ar-SA"/>
        </w:rPr>
        <w:t>a także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>lokalizacj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inwestycji towarzyszącej polegającej na budowie sieci wodociągowej, na nieruchomości</w:t>
      </w:r>
      <w:r>
        <w:rPr>
          <w:color w:val="000000"/>
          <w:szCs w:val="20"/>
          <w:shd w:val="clear" w:color="auto" w:fill="FFFFFF"/>
        </w:rPr>
        <w:t xml:space="preserve"> i części nieruchomości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złożonych z działek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nr: 77/28, 76/8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i 76/18 w obrębie S-9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</w:t>
      </w:r>
    </w:p>
    <w:p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dniu </w:t>
      </w:r>
      <w:r>
        <w:rPr>
          <w:color w:val="000000"/>
          <w:szCs w:val="20"/>
          <w:shd w:val="clear" w:color="auto" w:fill="FFFFFF"/>
        </w:rPr>
        <w:t>26.04.2021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wniosek został udostępniony na stronie podmiotowej Biuletynu Informacji Publicznej wraz z informacją o formie, miejscu i terminie składania uwag. Pona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dto,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>w dniu 2</w:t>
      </w:r>
      <w:r>
        <w:rPr>
          <w:color w:val="000000"/>
          <w:szCs w:val="20"/>
          <w:shd w:val="clear" w:color="auto" w:fill="FFFFFF"/>
        </w:rPr>
        <w:t>8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04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.202</w:t>
      </w:r>
      <w:r>
        <w:rPr>
          <w:color w:val="000000"/>
          <w:szCs w:val="20"/>
          <w:shd w:val="clear" w:color="auto" w:fill="FFFFFF"/>
        </w:rPr>
        <w:t>1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w lokalnej prasie codziennej pojawiła się informacja o wpływie przedmiotowego wniosku wraz z informacją o formie, miejscu i terminie składania uwag.</w:t>
      </w:r>
    </w:p>
    <w:p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W wyniku powiadomienia organów opiniujących i uzgadniających przedmiotowy wnios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ek wpłynęły następujące odpowiedzi: </w:t>
      </w:r>
    </w:p>
    <w:p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opinia Łódzkiego Ośrodka Geodezji o braku zastrzeżeń w zakresie ochrony gruntów rolnych oraz koordynacji usytuowania projektowanych sieci uzbrojenia terenu;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opinia Wojewódzkiego Sztabu Wojskowego w Łodzi o braku uwag </w:t>
      </w:r>
      <w:r>
        <w:rPr>
          <w:color w:val="000000"/>
          <w:szCs w:val="20"/>
          <w:shd w:val="clear" w:color="auto" w:fill="FFFFFF"/>
          <w:lang w:val="en-US" w:eastAsia="en-US" w:bidi="en-US"/>
        </w:rPr>
        <w:t>i wniosków;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pismo Zarządu Województwa Łódzkiego (Biura Planowania Przestrzennego Województwa Łódzkiego w Łodzi) o braku możliwości przeprowadzenia oceny i zaopiniowania projektu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z uwagi na fakt, iż BPP nie posiada audytu krajobrazowego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uzgodnienie Łódz</w:t>
      </w:r>
      <w:r>
        <w:rPr>
          <w:color w:val="000000"/>
          <w:szCs w:val="20"/>
          <w:shd w:val="clear" w:color="auto" w:fill="FFFFFF"/>
        </w:rPr>
        <w:t xml:space="preserve">kiego Wojewódzkiego Konserwatora Zabytków, wskazujace </w:t>
      </w:r>
      <w:r>
        <w:rPr>
          <w:color w:val="000000"/>
          <w:szCs w:val="20"/>
          <w:shd w:val="clear" w:color="auto" w:fill="FFFFFF"/>
        </w:rPr>
        <w:br/>
        <w:t xml:space="preserve">w uzasadnieniu, że na spotkaniu z pelnomocnikiem Wnioskodawcy ustalono, iż koncepcja urbanistyczno-architektoniczna stanowiąca załącznik do wniosku nie jest ostateczna </w:t>
      </w:r>
      <w:r>
        <w:rPr>
          <w:color w:val="000000"/>
          <w:szCs w:val="20"/>
          <w:shd w:val="clear" w:color="auto" w:fill="FFFFFF"/>
        </w:rPr>
        <w:br/>
        <w:t>i podczas uzyskiwania wymaganych</w:t>
      </w:r>
      <w:r>
        <w:rPr>
          <w:color w:val="000000"/>
          <w:szCs w:val="20"/>
          <w:shd w:val="clear" w:color="auto" w:fill="FFFFFF"/>
        </w:rPr>
        <w:t xml:space="preserve"> pozwoleń konserwatorskich może zostać zmieniona </w:t>
      </w:r>
      <w:r>
        <w:rPr>
          <w:color w:val="000000"/>
          <w:szCs w:val="20"/>
          <w:shd w:val="clear" w:color="auto" w:fill="FFFFFF"/>
        </w:rPr>
        <w:br/>
        <w:t>w zakresie kolorystyki i zastosowanych materiałów w elewacji nowo projektowanych budynków;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pozytywna opinia Łódzkiego Państwowego Wojewódzkiego Inspektora Sanitarnego pod względem wymagań </w:t>
      </w:r>
      <w:r>
        <w:rPr>
          <w:color w:val="000000"/>
          <w:szCs w:val="20"/>
          <w:shd w:val="clear" w:color="auto" w:fill="FFFFFF"/>
          <w:lang w:val="en-US" w:eastAsia="en-US" w:bidi="en-US"/>
        </w:rPr>
        <w:t>higieniczno–zdrowotnych;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ind w:firstLine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Po upływie ustawowego terminu wpłynęła opinia:</w:t>
      </w:r>
    </w:p>
    <w:p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uchwała </w:t>
      </w:r>
      <w:r>
        <w:rPr>
          <w:color w:val="000000"/>
          <w:szCs w:val="20"/>
          <w:shd w:val="clear" w:color="auto" w:fill="FFFFFF"/>
        </w:rPr>
        <w:t xml:space="preserve">nr 13/VI/2021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Miejskiej Komisji Urbanistyczno-Architektonicznej </w:t>
      </w:r>
      <w:r>
        <w:rPr>
          <w:color w:val="000000"/>
          <w:szCs w:val="20"/>
          <w:shd w:val="clear" w:color="auto" w:fill="FFFFFF"/>
        </w:rPr>
        <w:t xml:space="preserve">z dnia 17 maja 2021 roku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– opinia pozytywna z </w:t>
      </w:r>
      <w:r>
        <w:rPr>
          <w:color w:val="000000"/>
          <w:szCs w:val="20"/>
          <w:shd w:val="clear" w:color="auto" w:fill="FFFFFF"/>
        </w:rPr>
        <w:t>następującymi zaleceniami:</w:t>
      </w:r>
    </w:p>
    <w:p w:rsidR="00EB7377" w:rsidRDefault="00337448">
      <w:pPr>
        <w:contextualSpacing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1) wprowadzenie rozwiązań zwiekszając</w:t>
      </w:r>
      <w:r>
        <w:rPr>
          <w:color w:val="000000"/>
          <w:szCs w:val="20"/>
          <w:shd w:val="clear" w:color="auto" w:fill="FFFFFF"/>
        </w:rPr>
        <w:t>ych stopień retencjonowania wody na obszarze inwestycji,</w:t>
      </w:r>
    </w:p>
    <w:p w:rsidR="00EB7377" w:rsidRDefault="00337448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2) wprowadzenie zmian w projekcie architektonicznym w odniesieniu do gabarytów i formy zabudowy, w celu lepszego wyeksponowania walorów historycznych przedmiotowego terenu oraz zachowania tożsamości </w:t>
      </w:r>
      <w:r>
        <w:rPr>
          <w:color w:val="000000"/>
          <w:szCs w:val="20"/>
          <w:shd w:val="clear" w:color="auto" w:fill="FFFFFF"/>
        </w:rPr>
        <w:t xml:space="preserve">poprzemysłowego charakteru miejsca polegających na poprawie relacji </w:t>
      </w:r>
      <w:r>
        <w:rPr>
          <w:color w:val="000000"/>
          <w:szCs w:val="20"/>
          <w:shd w:val="clear" w:color="auto" w:fill="FFFFFF"/>
        </w:rPr>
        <w:lastRenderedPageBreak/>
        <w:t xml:space="preserve">wysokościowych między budynkami historycznymi i nowo projektowanymi oraz na poprawieniu rozwiązań architektonicznych na poziomie ostatnich kondygnacji budynków i parterów, a także </w:t>
      </w:r>
      <w:r>
        <w:rPr>
          <w:color w:val="000000"/>
          <w:szCs w:val="20"/>
          <w:shd w:val="clear" w:color="auto" w:fill="FFFFFF"/>
        </w:rPr>
        <w:br/>
        <w:t>z podsu</w:t>
      </w:r>
      <w:r>
        <w:rPr>
          <w:color w:val="000000"/>
          <w:szCs w:val="20"/>
          <w:shd w:val="clear" w:color="auto" w:fill="FFFFFF"/>
        </w:rPr>
        <w:t>mowaniem, że w powyższym kontekście rekomenduje się rozważenie dodania funkcji handlowych i usługowych w parterach nowo projektowanych obiektów oraz należy rozważyć obniżenie wysokości zabudowy przez zmniejszenie liczby kondygnacji nowej zabudowy mieszkani</w:t>
      </w:r>
      <w:r>
        <w:rPr>
          <w:color w:val="000000"/>
          <w:szCs w:val="20"/>
          <w:shd w:val="clear" w:color="auto" w:fill="FFFFFF"/>
        </w:rPr>
        <w:t>owej.</w:t>
      </w:r>
    </w:p>
    <w:p w:rsidR="00EB7377" w:rsidRDefault="00EB7377">
      <w:pPr>
        <w:ind w:left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W</w:t>
      </w:r>
      <w:r>
        <w:rPr>
          <w:color w:val="000000"/>
          <w:szCs w:val="20"/>
          <w:shd w:val="clear" w:color="auto" w:fill="FFFFFF"/>
        </w:rPr>
        <w:t xml:space="preserve">yżej </w:t>
      </w:r>
      <w:r>
        <w:rPr>
          <w:color w:val="000000"/>
          <w:szCs w:val="20"/>
          <w:shd w:val="clear" w:color="auto" w:fill="FFFFFF"/>
          <w:lang w:val="en-US" w:eastAsia="en-US" w:bidi="en-US"/>
        </w:rPr>
        <w:t>w</w:t>
      </w:r>
      <w:r>
        <w:rPr>
          <w:color w:val="000000"/>
          <w:szCs w:val="20"/>
          <w:shd w:val="clear" w:color="auto" w:fill="FFFFFF"/>
        </w:rPr>
        <w:t>ymienione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pisma zostały wysłane do Wnioskodawcy.</w:t>
      </w:r>
    </w:p>
    <w:p w:rsidR="00EB7377" w:rsidRDefault="00EB7377">
      <w:pPr>
        <w:ind w:left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ustawowym terminie nie wpłynęły </w:t>
      </w:r>
      <w:r>
        <w:rPr>
          <w:color w:val="000000"/>
          <w:szCs w:val="20"/>
          <w:shd w:val="clear" w:color="auto" w:fill="FFFFFF"/>
        </w:rPr>
        <w:t xml:space="preserve">ponadto </w:t>
      </w:r>
      <w:r>
        <w:rPr>
          <w:color w:val="000000"/>
          <w:szCs w:val="20"/>
          <w:shd w:val="clear" w:color="auto" w:fill="FFFFFF"/>
          <w:lang w:val="en-US" w:eastAsia="en-US" w:bidi="en-US"/>
        </w:rPr>
        <w:t>uzgodnienia i opinie, właściwe według specustawy dla terenu inwestycji: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  <w:t xml:space="preserve">uzgodnienie Zarządu Dróg i Transportu, co do którego zgodnie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>rt. 7 ust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15 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za uzgodnienie wniosku </w:t>
      </w:r>
    </w:p>
    <w:p w:rsidR="00EB7377" w:rsidRDefault="00337448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  <w:t>opinia Prezesa Urzędu Lotnictwa Cywilnego,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ab/>
        <w:t>opinia Komendanta Wojewódzkiego Państwowej Straży Pożarnej w Łodzi,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  <w:t>opinia Komendanta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Wojewódzkiego Policji w Łodzi,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  <w:t>opinia Nadwiślańskiego Oddziału Straży Granicznej,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  <w:t>opinia Agencj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Bezpieczeństwa Wewnętrznego / Dyrektor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Delegatura w Katowicach, </w:t>
      </w:r>
    </w:p>
    <w:p w:rsidR="00EB7377" w:rsidRDefault="00EB7377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co do których zgodnie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>rt. 7 ust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13 nieprzekazanie opinii w terminie 21 od dnia otrz</w:t>
      </w:r>
      <w:r>
        <w:rPr>
          <w:color w:val="000000"/>
          <w:szCs w:val="20"/>
          <w:shd w:val="clear" w:color="auto" w:fill="FFFFFF"/>
          <w:lang w:val="en-US" w:eastAsia="en-US" w:bidi="en-US"/>
        </w:rPr>
        <w:t>ymania powiadomienia uznaje się za brak zastrzeżeń</w:t>
      </w:r>
      <w:r>
        <w:rPr>
          <w:color w:val="000000"/>
          <w:szCs w:val="20"/>
          <w:shd w:val="clear" w:color="auto" w:fill="FFFFFF"/>
        </w:rPr>
        <w:t>. Przepis odnosi się także do opini Miejskiej Komisji Urbanistyczno-Architektonicznej, która wpłynęła po upływie ustawowego terminu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Do projektu uchwały, zgodnie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>rt. 7 ust. 17 specustawy, dołączone zos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tały uzyskane opinie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>i uzgodnienia. Z ich treści wynika, że podmioty opiniujące lub uzgadniające nie wniosły sprzeciwu wobec planowanej inwestycji.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W trakcie trwania procedur nie wpłynęły żadne uwagi do wniosku.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Na obszarze obejmującym teren wniosku ob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owiązuje miejscowy plan zagospodarowania przestrzennego dla części obszaru miasta Łodzi położonej w rejonie ulic: </w:t>
      </w:r>
      <w:r>
        <w:rPr>
          <w:color w:val="000000"/>
          <w:szCs w:val="20"/>
          <w:shd w:val="clear" w:color="auto" w:fill="FFFFFF"/>
        </w:rPr>
        <w:t>Piotrkowskiej, Czerwonej, Wólczańskiej, Radwańskiej, Brzeźnej, Edwarda Abramowskiego, Jana Kilińskiego, Tylnej, Henryka Sienkiewicza i ks. bp.</w:t>
      </w:r>
      <w:r>
        <w:rPr>
          <w:color w:val="000000"/>
          <w:szCs w:val="20"/>
          <w:shd w:val="clear" w:color="auto" w:fill="FFFFFF"/>
        </w:rPr>
        <w:t xml:space="preserve"> Wincentego Tymienieckiego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- uchwała Nr </w:t>
      </w:r>
      <w:r>
        <w:rPr>
          <w:color w:val="000000"/>
          <w:szCs w:val="20"/>
          <w:shd w:val="clear" w:color="auto" w:fill="FFFFFF"/>
        </w:rPr>
        <w:t xml:space="preserve">LXVI/1684/18 </w:t>
      </w:r>
      <w:r>
        <w:rPr>
          <w:color w:val="000000"/>
          <w:szCs w:val="20"/>
          <w:shd w:val="clear" w:color="auto" w:fill="FFFFFF"/>
          <w:lang w:val="en-US" w:eastAsia="en-US" w:bidi="en-US"/>
        </w:rPr>
        <w:t>Rady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Miejskiej w Łodzi z dnia </w:t>
      </w:r>
      <w:r>
        <w:rPr>
          <w:color w:val="000000"/>
          <w:szCs w:val="20"/>
          <w:shd w:val="clear" w:color="auto" w:fill="FFFFFF"/>
        </w:rPr>
        <w:t>25 stycznia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</w:t>
      </w:r>
      <w:r>
        <w:rPr>
          <w:color w:val="000000"/>
          <w:szCs w:val="20"/>
          <w:shd w:val="clear" w:color="auto" w:fill="FFFFFF"/>
        </w:rPr>
        <w:t>18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r., w którym teren objęty wnioskiem przeznaczony jest na tereny</w:t>
      </w:r>
      <w:r>
        <w:rPr>
          <w:color w:val="000000"/>
          <w:szCs w:val="20"/>
          <w:shd w:val="clear" w:color="auto" w:fill="FFFFFF"/>
        </w:rPr>
        <w:t xml:space="preserve"> 5.4.U, 5.5.MW/U, 5.6 MW/U, 5 KDW, 6 KDW i 9 KDL.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Wobec powyższego do projektu uchwały, zgodnie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>rt. 7 ust. 17 specustawy, dołączone zostało opracowanie ekofizjograficzne oraz prognoz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oddziaływania na środowisko sporządzone do ww. planu miejscowego. W zakresie przeznaczenia terenu wniosek jest rozbieżn</w:t>
      </w:r>
      <w:r>
        <w:rPr>
          <w:color w:val="000000"/>
          <w:szCs w:val="20"/>
          <w:shd w:val="clear" w:color="auto" w:fill="FFFFFF"/>
          <w:lang w:val="en-US" w:eastAsia="en-US" w:bidi="en-US"/>
        </w:rPr>
        <w:t>y z ustaleniami ww. planu miejscowego.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Wnioskodawca złożył oświadczenie opisane w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>rt. 7 ust. 8 pkt 2 ww. specustawy, że nie zachodzi kolizja lokalizacji inwestycji mieszkaniowej z inwestycjami, o których mowa w art. 4 pkt 1-12 specustawy i które mają ust</w:t>
      </w:r>
      <w:r>
        <w:rPr>
          <w:color w:val="000000"/>
          <w:szCs w:val="20"/>
          <w:shd w:val="clear" w:color="auto" w:fill="FFFFFF"/>
          <w:lang w:val="en-US" w:eastAsia="en-US" w:bidi="en-US"/>
        </w:rPr>
        <w:t>awowe pierwszeństwo przed inwestycjami mieszkaniowymi.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Zgodnie z art. 5 ust. 4 specustawy ws</w:t>
      </w:r>
      <w:r>
        <w:rPr>
          <w:color w:val="000000"/>
          <w:szCs w:val="20"/>
          <w:shd w:val="clear" w:color="auto" w:fill="FFFFFF"/>
          <w:lang w:val="en-US" w:eastAsia="en-US" w:bidi="en-US"/>
        </w:rPr>
        <w:t>kaza</w:t>
      </w:r>
      <w:r>
        <w:rPr>
          <w:color w:val="000000"/>
          <w:szCs w:val="20"/>
          <w:shd w:val="clear" w:color="auto" w:fill="FFFFFF"/>
        </w:rPr>
        <w:t xml:space="preserve">nie, że planowana inwestycja </w:t>
      </w:r>
      <w:r>
        <w:rPr>
          <w:color w:val="000000"/>
          <w:szCs w:val="20"/>
          <w:shd w:val="clear" w:color="auto" w:fill="FFFFFF"/>
          <w:lang w:val="en-US" w:eastAsia="en-US" w:bidi="en-US"/>
        </w:rPr>
        <w:t>spełni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wym</w:t>
      </w:r>
      <w:r>
        <w:rPr>
          <w:color w:val="000000"/>
          <w:szCs w:val="20"/>
          <w:shd w:val="clear" w:color="auto" w:fill="FFFFFF"/>
        </w:rPr>
        <w:t>óg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5 ust. 3 specustawy w zakresie braku sprzeczności inwestycji ze studium uwarunkowań i kierunków zagospodarowania przestrzennego gminy </w:t>
      </w:r>
      <w:r>
        <w:rPr>
          <w:color w:val="000000"/>
          <w:szCs w:val="20"/>
          <w:shd w:val="clear" w:color="auto" w:fill="FFFFFF"/>
        </w:rPr>
        <w:t>nie dotyczy terenów, które w przeszłości były wykorzystywane jako tereny kolejowe, wojskowe, produkcyjne lub usług poc</w:t>
      </w:r>
      <w:r>
        <w:rPr>
          <w:color w:val="000000"/>
          <w:szCs w:val="20"/>
          <w:shd w:val="clear" w:color="auto" w:fill="FFFFFF"/>
        </w:rPr>
        <w:t>ztowych, a obecnie funkcje te nie są na tych terenach realizowane. Inwestor wskazał, że teren inwestycji jest terenem poprodukcyjnym i warunek niesprzecznosci ze studium uwarunkowań i kierunków zagospodarowania przestrzennego takiego terenu nie dotyczy. Je</w:t>
      </w:r>
      <w:r>
        <w:rPr>
          <w:color w:val="000000"/>
          <w:szCs w:val="20"/>
          <w:shd w:val="clear" w:color="auto" w:fill="FFFFFF"/>
        </w:rPr>
        <w:t xml:space="preserve">dnocześnie w dniu 02.06.2021 r. Inwestor złożył sprostowanie do wniosku, że "w części dotyczącej wskazania braku sprzeczności </w:t>
      </w:r>
      <w:r>
        <w:rPr>
          <w:color w:val="000000"/>
          <w:szCs w:val="20"/>
          <w:shd w:val="clear" w:color="auto" w:fill="FFFFFF"/>
        </w:rPr>
        <w:br/>
        <w:t>ze Studium uwarunkowań i kierunków zagospodaorowani przestrzennego miasta Łodzi podano nieprawidłowe odniesienie do tresci archiw</w:t>
      </w:r>
      <w:r>
        <w:rPr>
          <w:color w:val="000000"/>
          <w:szCs w:val="20"/>
          <w:shd w:val="clear" w:color="auto" w:fill="FFFFFF"/>
        </w:rPr>
        <w:t xml:space="preserve">alnego Studium uwarunkowań i kierunków zagospodarowania przestrzennego Miasta Łodzi z 2010 roku, a nie Studium obowiązującego </w:t>
      </w:r>
      <w:r>
        <w:rPr>
          <w:color w:val="000000"/>
          <w:szCs w:val="20"/>
          <w:shd w:val="clear" w:color="auto" w:fill="FFFFFF"/>
        </w:rPr>
        <w:br/>
        <w:t>z 2018 r.". Wobec braku ww. wymogu sprostowanie nie wpływa na ocenę wniosku.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Teren inwestycji nie jest także objety uchwałą o ut</w:t>
      </w:r>
      <w:r>
        <w:rPr>
          <w:color w:val="000000"/>
          <w:szCs w:val="20"/>
          <w:shd w:val="clear" w:color="auto" w:fill="FFFFFF"/>
        </w:rPr>
        <w:t>worzeniu parku kulturowego.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Wniosek inwestora odpowiada standardom, o których mowa w rozdziale 3 specustawy, </w:t>
      </w:r>
      <w:r>
        <w:rPr>
          <w:color w:val="000000"/>
          <w:szCs w:val="20"/>
          <w:shd w:val="clear" w:color="auto" w:fill="FFFFFF"/>
          <w:lang w:eastAsia="en-US" w:bidi="ar-SA"/>
        </w:rPr>
        <w:t>tzn jest zgodny z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</w:p>
    <w:p w:rsidR="00EB7377" w:rsidRDefault="00337448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 uchwałą Nr LXXVI/2076/18 Rady Miejskiej w Łodzi z dnia 10 października 2018 r. w sprawie lokalnych standardów urbanistyczny</w:t>
      </w:r>
      <w:r>
        <w:rPr>
          <w:color w:val="000000"/>
          <w:szCs w:val="20"/>
          <w:shd w:val="clear" w:color="auto" w:fill="FFFFFF"/>
          <w:lang w:val="en-US" w:eastAsia="en-US" w:bidi="en-US"/>
        </w:rPr>
        <w:t>ch dla Miasta Łodzi;</w:t>
      </w:r>
    </w:p>
    <w:p w:rsidR="00EB7377" w:rsidRDefault="00337448">
      <w:pPr>
        <w:spacing w:after="29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uchwałą Nr III/59/18 Rady Miejskiej w Łodzi z dnia 27 grudnia 2018 r. zmieniającą uchwałę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>w sprawie lokalnych standardów urbanistycznych dla Miasta Łodzi</w:t>
      </w:r>
      <w:r>
        <w:rPr>
          <w:color w:val="000000"/>
          <w:szCs w:val="20"/>
          <w:shd w:val="clear" w:color="auto" w:fill="FFFFFF"/>
        </w:rPr>
        <w:t>;</w:t>
      </w:r>
    </w:p>
    <w:p w:rsidR="00EB7377" w:rsidRDefault="00337448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- uchwałą Nr XXXIII/1093/20 </w:t>
      </w:r>
      <w:r>
        <w:rPr>
          <w:color w:val="000000"/>
          <w:szCs w:val="20"/>
          <w:shd w:val="clear" w:color="auto" w:fill="FFFFFF"/>
          <w:lang w:val="en-US" w:eastAsia="en-US" w:bidi="en-US"/>
        </w:rPr>
        <w:t>Rady Miejskiej w Łodzi z dnia 2 grudnia 20</w:t>
      </w:r>
      <w:r>
        <w:rPr>
          <w:color w:val="000000"/>
          <w:szCs w:val="20"/>
          <w:shd w:val="clear" w:color="auto" w:fill="FFFFFF"/>
        </w:rPr>
        <w:t>20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z</w:t>
      </w:r>
      <w:r>
        <w:rPr>
          <w:color w:val="000000"/>
          <w:szCs w:val="20"/>
          <w:shd w:val="clear" w:color="auto" w:fill="FFFFFF"/>
          <w:lang w:val="en-US" w:eastAsia="en-US" w:bidi="en-US"/>
        </w:rPr>
        <w:t>mieniającą uchwałę w sprawie lokalnych standardów urbanistycznych dla Miasta Łodzi</w:t>
      </w:r>
      <w:r>
        <w:rPr>
          <w:color w:val="000000"/>
          <w:szCs w:val="20"/>
          <w:shd w:val="clear" w:color="auto" w:fill="FFFFFF"/>
        </w:rPr>
        <w:t>;</w:t>
      </w:r>
    </w:p>
    <w:p w:rsidR="00EB7377" w:rsidRDefault="00EB7377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spełniając warunki ww. aktów prawnych </w:t>
      </w:r>
      <w:r>
        <w:rPr>
          <w:color w:val="000000"/>
          <w:szCs w:val="20"/>
          <w:shd w:val="clear" w:color="auto" w:fill="FFFFFF"/>
        </w:rPr>
        <w:t xml:space="preserve"> i specustawy w następujący sposób: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1) 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nwestycja </w:t>
      </w:r>
      <w:r>
        <w:rPr>
          <w:color w:val="000000"/>
          <w:szCs w:val="20"/>
          <w:shd w:val="clear" w:color="auto" w:fill="FFFFFF"/>
        </w:rPr>
        <w:t>ma zapewniony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dostęp do drogi publicznej </w:t>
      </w:r>
      <w:r>
        <w:rPr>
          <w:color w:val="000000"/>
          <w:szCs w:val="20"/>
          <w:shd w:val="clear" w:color="auto" w:fill="FFFFFF"/>
        </w:rPr>
        <w:t>od strony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ul. </w:t>
      </w:r>
      <w:r>
        <w:rPr>
          <w:color w:val="000000"/>
          <w:szCs w:val="20"/>
          <w:shd w:val="clear" w:color="auto" w:fill="FFFFFF"/>
        </w:rPr>
        <w:t xml:space="preserve">Piotrkowskiej oraz </w:t>
      </w:r>
      <w:r>
        <w:rPr>
          <w:color w:val="000000"/>
          <w:szCs w:val="20"/>
          <w:shd w:val="clear" w:color="auto" w:fill="FFFFFF"/>
        </w:rPr>
        <w:br/>
        <w:t>ul. Sienkiewicza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2) 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nwestycja </w:t>
      </w:r>
      <w:r>
        <w:rPr>
          <w:color w:val="000000"/>
          <w:szCs w:val="20"/>
          <w:shd w:val="clear" w:color="auto" w:fill="FFFFFF"/>
        </w:rPr>
        <w:t>ma zapewniony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dostęp do sieci wodociągowej i kanalizacyjnej – </w:t>
      </w:r>
      <w:r>
        <w:rPr>
          <w:color w:val="000000"/>
          <w:szCs w:val="20"/>
          <w:shd w:val="clear" w:color="auto" w:fill="FFFFFF"/>
        </w:rPr>
        <w:t xml:space="preserve">zgodnie z opinią </w:t>
      </w:r>
      <w:r>
        <w:rPr>
          <w:color w:val="000000"/>
          <w:szCs w:val="20"/>
          <w:shd w:val="clear" w:color="auto" w:fill="FFFFFF"/>
          <w:lang w:val="en-US" w:eastAsia="en-US" w:bidi="en-US"/>
        </w:rPr>
        <w:t>Zakładu Wodociągów i Kanalizacji Sp. z o.o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>, znak: WTT.42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296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.2019/</w:t>
      </w:r>
      <w:r>
        <w:rPr>
          <w:color w:val="000000"/>
          <w:szCs w:val="20"/>
          <w:shd w:val="clear" w:color="auto" w:fill="FFFFFF"/>
        </w:rPr>
        <w:t>T/J</w:t>
      </w:r>
      <w:r>
        <w:rPr>
          <w:color w:val="000000"/>
          <w:szCs w:val="20"/>
          <w:shd w:val="clear" w:color="auto" w:fill="FFFFFF"/>
          <w:lang w:val="en-US" w:eastAsia="en-US" w:bidi="en-US"/>
        </w:rPr>
        <w:t>W/</w:t>
      </w:r>
      <w:r>
        <w:rPr>
          <w:color w:val="000000"/>
          <w:szCs w:val="20"/>
          <w:shd w:val="clear" w:color="auto" w:fill="FFFFFF"/>
        </w:rPr>
        <w:t>TK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3) 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nwestycja </w:t>
      </w:r>
      <w:r>
        <w:rPr>
          <w:color w:val="000000"/>
          <w:szCs w:val="20"/>
          <w:shd w:val="clear" w:color="auto" w:fill="FFFFFF"/>
        </w:rPr>
        <w:t xml:space="preserve">ma zapewniony </w:t>
      </w:r>
      <w:r>
        <w:rPr>
          <w:color w:val="000000"/>
          <w:szCs w:val="20"/>
          <w:shd w:val="clear" w:color="auto" w:fill="FFFFFF"/>
          <w:lang w:val="en-US" w:eastAsia="en-US" w:bidi="en-US"/>
        </w:rPr>
        <w:t>dostęp do sieci elek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troenergetycznej – </w:t>
      </w:r>
      <w:r>
        <w:rPr>
          <w:color w:val="000000"/>
          <w:szCs w:val="20"/>
          <w:shd w:val="clear" w:color="auto" w:fill="FFFFFF"/>
        </w:rPr>
        <w:t xml:space="preserve">zgodnie z oświadczeniem </w:t>
      </w:r>
      <w:r>
        <w:rPr>
          <w:color w:val="000000"/>
          <w:szCs w:val="20"/>
          <w:shd w:val="clear" w:color="auto" w:fill="FFFFFF"/>
        </w:rPr>
        <w:br/>
        <w:t>o zapewnieniu dostaw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PGE Dystrybucja S.A. w Łodzi z dnia 0</w:t>
      </w:r>
      <w:r>
        <w:rPr>
          <w:color w:val="000000"/>
          <w:szCs w:val="20"/>
          <w:shd w:val="clear" w:color="auto" w:fill="FFFFFF"/>
        </w:rPr>
        <w:t>5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12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</w:t>
      </w:r>
      <w:r>
        <w:rPr>
          <w:color w:val="000000"/>
          <w:szCs w:val="20"/>
          <w:shd w:val="clear" w:color="auto" w:fill="FFFFFF"/>
        </w:rPr>
        <w:t>19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Odległość inwestycji mieszkaniowej od: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1) przystanku komunikacji zbiorowej</w:t>
      </w:r>
      <w:r>
        <w:rPr>
          <w:color w:val="000000"/>
          <w:szCs w:val="20"/>
          <w:shd w:val="clear" w:color="auto" w:fill="FFFFFF"/>
        </w:rPr>
        <w:t xml:space="preserve"> wynosi: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przystanek </w:t>
      </w:r>
      <w:r>
        <w:rPr>
          <w:color w:val="000000"/>
          <w:szCs w:val="20"/>
          <w:shd w:val="clear" w:color="auto" w:fill="FFFFFF"/>
        </w:rPr>
        <w:t>Sienkiewicza / Tymienieck</w:t>
      </w:r>
      <w:r>
        <w:rPr>
          <w:color w:val="000000"/>
          <w:szCs w:val="20"/>
          <w:shd w:val="clear" w:color="auto" w:fill="FFFFFF"/>
        </w:rPr>
        <w:t>iego - odległość (dojscie): ok. 190 m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przystanek Piotrkowska / Brzeźna - odległość (dojscie): ok. 165 m;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2) szkoły podstawowej </w:t>
      </w:r>
      <w:r>
        <w:rPr>
          <w:color w:val="000000"/>
          <w:szCs w:val="20"/>
          <w:shd w:val="clear" w:color="auto" w:fill="FFFFFF"/>
        </w:rPr>
        <w:t>mogącej przyjąć nie mniej niż 7% planowanych mieszkańców inwestycji: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Szkoła Podstawowa nr 2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przy ul. </w:t>
      </w:r>
      <w:r>
        <w:rPr>
          <w:color w:val="000000"/>
          <w:szCs w:val="20"/>
          <w:shd w:val="clear" w:color="auto" w:fill="FFFFFF"/>
        </w:rPr>
        <w:t>Sienkiewicza 108 - odl</w:t>
      </w:r>
      <w:r>
        <w:rPr>
          <w:color w:val="000000"/>
          <w:szCs w:val="20"/>
          <w:shd w:val="clear" w:color="auto" w:fill="FFFFFF"/>
        </w:rPr>
        <w:t>egłość (dojście): 580 m,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Szkoła Podstawowa nr 14 przy ul. Wigury 8/10 - odległość (dojście): 680 m;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>3 – spełnienie zapisów Standardów urbanistycznych Miasta Łodzi: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Spełnienie wymogu określonego w ustawie art.17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ust.2, pkt 2 potwierdził </w:t>
      </w:r>
      <w:r>
        <w:rPr>
          <w:color w:val="000000"/>
          <w:szCs w:val="20"/>
          <w:shd w:val="clear" w:color="auto" w:fill="FFFFFF"/>
          <w:lang w:val="en-US" w:eastAsia="en-US" w:bidi="en-US"/>
        </w:rPr>
        <w:t>Prezydent Miasta Łodzi, zaświadczeniem znak: DEP-Ed-II.0124.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.2020 z dnia </w:t>
      </w:r>
      <w:r>
        <w:rPr>
          <w:color w:val="000000"/>
          <w:szCs w:val="20"/>
          <w:shd w:val="clear" w:color="auto" w:fill="FFFFFF"/>
        </w:rPr>
        <w:t>09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12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.2020 roku;</w:t>
      </w:r>
    </w:p>
    <w:p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4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Inwestycja zlokalizowana jest w odległości mniejszej niż 750 m od urządzonych terenów wypoczynku oraz rekreacji lub sportu o powierzchni stanowiącej</w:t>
      </w:r>
      <w:r>
        <w:rPr>
          <w:color w:val="000000"/>
          <w:szCs w:val="20"/>
          <w:shd w:val="clear" w:color="auto" w:fill="FFFFFF"/>
        </w:rPr>
        <w:t xml:space="preserve"> co najmniej iloczyn planowanej liczby mieszkańców (815 mieszkańców) oraz wskaźnika wynoszącego 4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shd w:val="clear" w:color="auto" w:fill="FFFFFF"/>
        </w:rPr>
        <w:t>, czyli 3260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shd w:val="clear" w:color="auto" w:fill="FFFFFF"/>
        </w:rPr>
        <w:t>: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Park im. Klepacza - odległość (dojście): 700 m,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Pasaż Abramowskiego - odległość (dojście): 198 m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6 – spełnienie zapisów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Standardów urbanistycznych Miasta Łodzi – wysokość zabudowy: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planowane budynki będą miały wysokość do 24 m i będą posiadały maksymalnie 8 kondygnacji nadziemnych; 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odległości nie większej niż 250 m od budynków objętych inwestycją mieszkaniow</w:t>
      </w:r>
      <w:r>
        <w:rPr>
          <w:color w:val="000000"/>
          <w:szCs w:val="20"/>
          <w:shd w:val="clear" w:color="auto" w:fill="FFFFFF"/>
        </w:rPr>
        <w:t>ą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znajdują si</w:t>
      </w:r>
      <w:r>
        <w:rPr>
          <w:color w:val="000000"/>
          <w:szCs w:val="20"/>
          <w:shd w:val="clear" w:color="auto" w:fill="FFFFFF"/>
        </w:rPr>
        <w:t>ę budynki mieszkalne o wysokości ponad 25 m: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Brzeźna 10 - 11 kondygnacji - odległość (w lini prostej): ok. 122 m,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Piotrkowska 235/241 - 14 kondygnacji - odległość (w lini prostej): ok. 212 m, 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Piotrkowska 247 - 14 kondygnacji - odległość (w lini pros</w:t>
      </w:r>
      <w:r>
        <w:rPr>
          <w:color w:val="000000"/>
          <w:szCs w:val="20"/>
          <w:shd w:val="clear" w:color="auto" w:fill="FFFFFF"/>
        </w:rPr>
        <w:t>tej): ok. 215 m,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Piotrkowska 257A - 14 kondygnacji - odległość (w lini prostej): ok. 240 m.</w:t>
      </w:r>
    </w:p>
    <w:p w:rsidR="00EB7377" w:rsidRDefault="00EB7377">
      <w:pPr>
        <w:spacing w:after="41"/>
        <w:jc w:val="both"/>
        <w:rPr>
          <w:color w:val="000000"/>
          <w:szCs w:val="20"/>
          <w:shd w:val="clear" w:color="auto" w:fill="FFFFFF"/>
        </w:rPr>
      </w:pP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W zakresie innych wymogów lokalnych standardów urbanistycznych Miasta Łodzi, zgodnie z ww. uchwałami Rady Miejskiej w Łodzi: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1) 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nwestycja posiada </w:t>
      </w:r>
      <w:r>
        <w:rPr>
          <w:color w:val="000000"/>
          <w:szCs w:val="20"/>
          <w:shd w:val="clear" w:color="auto" w:fill="FFFFFF"/>
        </w:rPr>
        <w:t>zapewnienie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stępu do ciepła </w:t>
      </w:r>
      <w:r>
        <w:rPr>
          <w:color w:val="000000"/>
          <w:szCs w:val="20"/>
          <w:shd w:val="clear" w:color="auto" w:fill="FFFFFF"/>
        </w:rPr>
        <w:t xml:space="preserve">i ciepłej wody użytkowej z sieci miejskiej </w:t>
      </w:r>
      <w:r>
        <w:rPr>
          <w:color w:val="000000"/>
          <w:szCs w:val="20"/>
          <w:shd w:val="clear" w:color="auto" w:fill="FFFFFF"/>
        </w:rPr>
        <w:br/>
        <w:t xml:space="preserve">w ul. Sienkiewicza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– pismo VEOLIA ENERGIA ŁÓDŹ S.A. </w:t>
      </w:r>
      <w:r>
        <w:rPr>
          <w:color w:val="000000"/>
          <w:szCs w:val="20"/>
          <w:shd w:val="clear" w:color="auto" w:fill="FFFFFF"/>
        </w:rPr>
        <w:t>Nr HN</w:t>
      </w:r>
      <w:r>
        <w:rPr>
          <w:color w:val="000000"/>
          <w:szCs w:val="20"/>
          <w:shd w:val="clear" w:color="auto" w:fill="FFFFFF"/>
          <w:lang w:val="en-US" w:eastAsia="en-US" w:bidi="en-US"/>
        </w:rPr>
        <w:t>/</w:t>
      </w:r>
      <w:r>
        <w:rPr>
          <w:color w:val="000000"/>
          <w:szCs w:val="20"/>
          <w:shd w:val="clear" w:color="auto" w:fill="FFFFFF"/>
        </w:rPr>
        <w:t>AW/4871/2019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dnia </w:t>
      </w:r>
      <w:r>
        <w:rPr>
          <w:color w:val="000000"/>
          <w:szCs w:val="20"/>
          <w:shd w:val="clear" w:color="auto" w:fill="FFFFFF"/>
        </w:rPr>
        <w:t>10</w:t>
      </w:r>
      <w:r>
        <w:rPr>
          <w:color w:val="000000"/>
          <w:szCs w:val="20"/>
          <w:shd w:val="clear" w:color="auto" w:fill="FFFFFF"/>
          <w:lang w:val="en-US" w:eastAsia="en-US" w:bidi="en-US"/>
        </w:rPr>
        <w:t>.0</w:t>
      </w:r>
      <w:r>
        <w:rPr>
          <w:color w:val="000000"/>
          <w:szCs w:val="20"/>
          <w:shd w:val="clear" w:color="auto" w:fill="FFFFFF"/>
        </w:rPr>
        <w:t>5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</w:t>
      </w:r>
      <w:r>
        <w:rPr>
          <w:color w:val="000000"/>
          <w:szCs w:val="20"/>
          <w:shd w:val="clear" w:color="auto" w:fill="FFFFFF"/>
        </w:rPr>
        <w:t xml:space="preserve">19 </w:t>
      </w:r>
      <w:r>
        <w:rPr>
          <w:color w:val="000000"/>
          <w:szCs w:val="20"/>
          <w:shd w:val="clear" w:color="auto" w:fill="FFFFFF"/>
          <w:lang w:val="en-US" w:eastAsia="en-US" w:bidi="en-US"/>
        </w:rPr>
        <w:t>r.</w:t>
      </w:r>
      <w:r>
        <w:rPr>
          <w:color w:val="000000"/>
          <w:szCs w:val="20"/>
          <w:shd w:val="clear" w:color="auto" w:fill="FFFFFF"/>
        </w:rPr>
        <w:t>;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2) zapewniono niezbedną liczbę 381 miejsc parkingowych dla obsługi inwestycji mieszkaniowej, </w:t>
      </w:r>
    </w:p>
    <w:p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w tym 335</w:t>
      </w:r>
      <w:r>
        <w:rPr>
          <w:color w:val="000000"/>
          <w:szCs w:val="20"/>
          <w:shd w:val="clear" w:color="auto" w:fill="FFFFFF"/>
        </w:rPr>
        <w:t xml:space="preserve"> w garażu podziemnym i 46 na terenie, odpowiadającą łącznie wskaźnikowi 0,7 m.p. na lokal mieszkalny określony dla tzw. "pozostałej części Strefy Wielkomiejskiej", dla mieszkalnictwa.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Przy podejmowaniu niniejszej uchwały Rada Miejska w Łodzi brała pod uw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agę stan zaspokojenia potrzeb mieszkaniowych na terenie gminy oraz potrzeby i możliwości rozwoju gminy wynikające </w:t>
      </w: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z ustaleń studium uwarunkowań i kierunków zagospodarowania przestrzennego gminy.</w:t>
      </w: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Biorąc pod uwagę otrzymane opinie oraz brak przedstawienia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ustawowym terminie odpowiedzi niektórych organów i instytucji opiniujących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i uzgadniających wniosek, rozumiane odpowiednio jako brak zastrzeżeń do wniosku lub jego uzgodnienie oraz brak uwag do wniosku publikowanego na stronie podmiotowej Biuletynu Inf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ormacji Publicznej Urzędu Miasta Łodzi z podaniem informacji w prasie i na tablicy ogłoszeń - uznaje się za zasadne podjęcie uchwały o ustaleniu lokalizacji inwestycji mieszkaniowej </w:t>
      </w:r>
      <w:r>
        <w:rPr>
          <w:color w:val="000000"/>
          <w:szCs w:val="20"/>
          <w:shd w:val="clear" w:color="auto" w:fill="FFFFFF"/>
        </w:rPr>
        <w:t xml:space="preserve">i inwestycji towarzyszącej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zgodnie </w:t>
      </w:r>
      <w:r>
        <w:rPr>
          <w:color w:val="000000"/>
          <w:szCs w:val="20"/>
          <w:shd w:val="clear" w:color="auto" w:fill="FFFFFF"/>
        </w:rPr>
        <w:t xml:space="preserve">z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parametrami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i warunkami określonymi </w:t>
      </w:r>
      <w:r>
        <w:rPr>
          <w:color w:val="000000"/>
          <w:szCs w:val="20"/>
          <w:shd w:val="clear" w:color="auto" w:fill="FFFFFF"/>
          <w:lang w:val="en-US" w:eastAsia="en-US" w:bidi="en-US"/>
        </w:rPr>
        <w:t>wnioskiem.</w:t>
      </w:r>
    </w:p>
    <w:p w:rsidR="00EB7377" w:rsidRDefault="00EB7377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</w:p>
    <w:p w:rsidR="00EB7377" w:rsidRDefault="00EB7377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EB7377" w:rsidSect="00EB7377">
      <w:footerReference w:type="default" r:id="rId1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448" w:rsidRDefault="00337448" w:rsidP="00EB7377">
      <w:r>
        <w:separator/>
      </w:r>
    </w:p>
  </w:endnote>
  <w:endnote w:type="continuationSeparator" w:id="0">
    <w:p w:rsidR="00337448" w:rsidRDefault="00337448" w:rsidP="00EB7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EB73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A280B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2</w:t>
          </w:r>
          <w:r w:rsidR="00EB7377">
            <w:rPr>
              <w:sz w:val="18"/>
            </w:rPr>
            <w:fldChar w:fldCharType="end"/>
          </w:r>
        </w:p>
      </w:tc>
    </w:tr>
  </w:tbl>
  <w:p w:rsidR="00EB7377" w:rsidRDefault="00EB7377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EB73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A280B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1</w:t>
          </w:r>
          <w:r w:rsidR="00EB7377">
            <w:rPr>
              <w:sz w:val="18"/>
            </w:rPr>
            <w:fldChar w:fldCharType="end"/>
          </w:r>
        </w:p>
      </w:tc>
    </w:tr>
  </w:tbl>
  <w:p w:rsidR="00EB7377" w:rsidRDefault="00EB7377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EB73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A280B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1</w:t>
          </w:r>
          <w:r w:rsidR="00EB7377">
            <w:rPr>
              <w:sz w:val="18"/>
            </w:rPr>
            <w:fldChar w:fldCharType="end"/>
          </w:r>
        </w:p>
      </w:tc>
    </w:tr>
  </w:tbl>
  <w:p w:rsidR="00EB7377" w:rsidRDefault="00EB7377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410"/>
      <w:gridCol w:w="3205"/>
    </w:tblGrid>
    <w:tr w:rsidR="00EB73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A280B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5</w:t>
          </w:r>
          <w:r w:rsidR="00EB7377">
            <w:rPr>
              <w:sz w:val="18"/>
            </w:rPr>
            <w:fldChar w:fldCharType="end"/>
          </w:r>
        </w:p>
      </w:tc>
    </w:tr>
  </w:tbl>
  <w:p w:rsidR="00EB7377" w:rsidRDefault="00EB7377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448" w:rsidRDefault="00337448" w:rsidP="00EB7377">
      <w:r>
        <w:separator/>
      </w:r>
    </w:p>
  </w:footnote>
  <w:footnote w:type="continuationSeparator" w:id="0">
    <w:p w:rsidR="00337448" w:rsidRDefault="00337448" w:rsidP="00EB73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0"/>
    <w:lvl w:ilvl="0" w:tplc="8AEC2222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E784581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77C5D80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7E0E3CCE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014C427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55C5248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198C8A0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314236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E308A42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337448"/>
    <w:rsid w:val="009A280B"/>
    <w:rsid w:val="00A77B3E"/>
    <w:rsid w:val="00CA2A55"/>
    <w:rsid w:val="00EB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B7377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ZalacznikC9CCEE2B-8332-4235-8DD5-99B03719AC4F.p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D84E6BF1-E3E1-4B32-9B16-CE6C246F0BD1.png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3888</Words>
  <Characters>23331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27165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 towarzyszącej przy^ul. Piotrkowskiej 242/250 w^Łodzi.</dc:subject>
  <dc:creator>dchmiel</dc:creator>
  <cp:lastModifiedBy>dchmiel</cp:lastModifiedBy>
  <cp:revision>2</cp:revision>
  <dcterms:created xsi:type="dcterms:W3CDTF">2021-06-14T06:43:00Z</dcterms:created>
  <dcterms:modified xsi:type="dcterms:W3CDTF">2021-06-14T06:43:00Z</dcterms:modified>
  <cp:category>Akt prawny</cp:category>
</cp:coreProperties>
</file>