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D6374C"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A77B3E">
            <w:pPr>
              <w:ind w:left="6236"/>
              <w:jc w:val="left"/>
              <w:rPr>
                <w:b/>
                <w:i/>
                <w:u w:val="thick"/>
              </w:rPr>
            </w:pPr>
            <w:bookmarkStart w:id="0" w:name="_GoBack"/>
            <w:bookmarkEnd w:id="0"/>
          </w:p>
          <w:p w:rsidR="00A77B3E" w:rsidRDefault="00A77B3E">
            <w:pPr>
              <w:ind w:left="6236"/>
              <w:jc w:val="left"/>
              <w:rPr>
                <w:b/>
                <w:i/>
                <w:u w:val="thick"/>
              </w:rPr>
            </w:pPr>
          </w:p>
          <w:p w:rsidR="00A77B3E" w:rsidRDefault="00C578A9">
            <w:pPr>
              <w:ind w:left="6236"/>
              <w:jc w:val="left"/>
            </w:pPr>
            <w:r>
              <w:t>Druk Nr</w:t>
            </w:r>
          </w:p>
          <w:p w:rsidR="00A77B3E" w:rsidRDefault="00C578A9">
            <w:pPr>
              <w:ind w:left="6236"/>
              <w:jc w:val="left"/>
            </w:pPr>
            <w:r>
              <w:t>Projekt z dnia</w:t>
            </w:r>
          </w:p>
          <w:p w:rsidR="00A77B3E" w:rsidRDefault="00A77B3E">
            <w:pPr>
              <w:ind w:left="6236"/>
              <w:jc w:val="left"/>
            </w:pPr>
          </w:p>
        </w:tc>
      </w:tr>
    </w:tbl>
    <w:p w:rsidR="00A77B3E" w:rsidRDefault="00A77B3E"/>
    <w:p w:rsidR="00A77B3E" w:rsidRDefault="00C578A9">
      <w:pPr>
        <w:rPr>
          <w:b/>
          <w:caps/>
        </w:rPr>
      </w:pPr>
      <w:r>
        <w:rPr>
          <w:b/>
          <w:caps/>
        </w:rPr>
        <w:t>Uchwała Nr                     </w:t>
      </w:r>
      <w:r>
        <w:rPr>
          <w:b/>
          <w:caps/>
        </w:rPr>
        <w:br/>
        <w:t>Rady Miejskiej w Łodzi</w:t>
      </w:r>
    </w:p>
    <w:p w:rsidR="00A77B3E" w:rsidRDefault="00C578A9">
      <w:pPr>
        <w:spacing w:before="240" w:after="240"/>
        <w:rPr>
          <w:b/>
          <w:caps/>
        </w:rPr>
      </w:pPr>
      <w:r>
        <w:rPr>
          <w:b/>
        </w:rPr>
        <w:t>z dnia                      2021 r.</w:t>
      </w:r>
    </w:p>
    <w:p w:rsidR="00A77B3E" w:rsidRDefault="00C578A9">
      <w:pPr>
        <w:keepNext/>
        <w:spacing w:after="480"/>
      </w:pPr>
      <w:r>
        <w:rPr>
          <w:b/>
        </w:rPr>
        <w:t>w sprawie oceny sytuacji ekonomiczno-finansowej</w:t>
      </w:r>
      <w:r>
        <w:rPr>
          <w:b/>
        </w:rPr>
        <w:br/>
        <w:t xml:space="preserve">samodzielnego publicznego zakładu opieki zdrowotnej o nazwie Miejskie Centrum Medyczne </w:t>
      </w:r>
      <w:r>
        <w:rPr>
          <w:b/>
        </w:rPr>
        <w:t>„Bałuty” w Łodzi,</w:t>
      </w:r>
      <w:r>
        <w:rPr>
          <w:b/>
        </w:rPr>
        <w:br/>
        <w:t>na podstawie raportu o sytuacji ekonomiczno-finansowej za rok 2020.</w:t>
      </w:r>
    </w:p>
    <w:p w:rsidR="00A77B3E" w:rsidRDefault="00C578A9">
      <w:pPr>
        <w:keepLines/>
        <w:spacing w:before="120" w:after="120"/>
        <w:ind w:firstLine="567"/>
        <w:jc w:val="both"/>
      </w:pPr>
      <w:r>
        <w:t>Na podstawie art. 18 ust. 2 pkt 15 ustawy z dnia 8 marca 1990 r. o samorządzie gminnym (Dz. U. z 2021 r. poz. 1372) oraz art. 53a ust. 4 ustawy z dnia 15 kwietnia</w:t>
      </w:r>
      <w:r>
        <w:br/>
        <w:t>2011 r.</w:t>
      </w:r>
      <w:r>
        <w:t xml:space="preserve"> o działalności leczniczej (Dz. U. z 2021 r. poz. 711 i 1773), Rada Miejska w Łodzi</w:t>
      </w:r>
    </w:p>
    <w:p w:rsidR="00A77B3E" w:rsidRDefault="00C578A9">
      <w:pPr>
        <w:spacing w:before="120" w:after="120"/>
        <w:rPr>
          <w:b/>
        </w:rPr>
      </w:pPr>
      <w:r>
        <w:rPr>
          <w:b/>
        </w:rPr>
        <w:t>uchwala, co następuje:</w:t>
      </w:r>
    </w:p>
    <w:p w:rsidR="00A77B3E" w:rsidRDefault="00C578A9">
      <w:pPr>
        <w:keepLines/>
        <w:spacing w:before="240" w:after="120"/>
        <w:ind w:firstLine="567"/>
        <w:jc w:val="both"/>
      </w:pPr>
      <w:r>
        <w:t>§ 1. </w:t>
      </w:r>
      <w:r>
        <w:t>Dokonuje się oceny sytuacji ekonomiczno-finansowej samodzielnego publicznego zakładu opieki zdrowotnej o nazwie Miejskie Centrum Medyczne „Bałut</w:t>
      </w:r>
      <w:r>
        <w:t>y” w Łodzi,</w:t>
      </w:r>
      <w:r>
        <w:br/>
        <w:t>na podstawie raportu o sytuacji ekonomiczno-finansowej sporządzonego za rok 2020,</w:t>
      </w:r>
      <w:r>
        <w:br/>
        <w:t>w brzmieniu stanowiącym załącznik do uchwały.</w:t>
      </w:r>
    </w:p>
    <w:p w:rsidR="00A77B3E" w:rsidRDefault="00C578A9">
      <w:pPr>
        <w:keepLines/>
        <w:spacing w:before="240" w:after="120"/>
        <w:ind w:firstLine="567"/>
        <w:jc w:val="both"/>
      </w:pPr>
      <w:r>
        <w:t>§ 2. </w:t>
      </w:r>
      <w:r>
        <w:t>Wykonanie uchwały powierza się Prezydentowi Miasta Łodzi.</w:t>
      </w:r>
    </w:p>
    <w:p w:rsidR="00A77B3E" w:rsidRDefault="00C578A9">
      <w:pPr>
        <w:keepNext/>
        <w:keepLines/>
        <w:spacing w:before="240" w:after="120"/>
        <w:ind w:firstLine="567"/>
        <w:jc w:val="both"/>
      </w:pPr>
      <w:r>
        <w:t>§ 3. </w:t>
      </w:r>
      <w:r>
        <w:t>Uchwała wchodzi w życie z dniem podjęcia.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D6374C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374C" w:rsidRDefault="00D6374C">
            <w:pPr>
              <w:keepLines/>
              <w:jc w:val="left"/>
              <w:rPr>
                <w:color w:val="000000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374C" w:rsidRDefault="00C578A9">
            <w:pPr>
              <w:keepLines/>
              <w:spacing w:before="520" w:after="520"/>
              <w:ind w:left="567" w:right="567"/>
              <w:rPr>
                <w:color w:val="000000"/>
              </w:rPr>
            </w:pPr>
            <w:r>
              <w:rPr>
                <w:b/>
                <w:color w:val="000000"/>
              </w:rPr>
              <w:t>Przewodniczący</w:t>
            </w:r>
            <w:r>
              <w:rPr>
                <w:b/>
                <w:color w:val="000000"/>
              </w:rPr>
              <w:br/>
              <w:t>Rady Miejskiej w Łodzi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Marcin^GOŁASZEWSKI</w:t>
            </w:r>
          </w:p>
        </w:tc>
      </w:tr>
    </w:tbl>
    <w:p w:rsidR="00A77B3E" w:rsidRDefault="00C578A9">
      <w:pPr>
        <w:spacing w:before="120" w:after="120"/>
        <w:ind w:left="283" w:firstLine="227"/>
        <w:jc w:val="both"/>
      </w:pPr>
      <w:r>
        <w:t>Projektodawcą jest</w:t>
      </w:r>
    </w:p>
    <w:p w:rsidR="00A77B3E" w:rsidRDefault="00C578A9">
      <w:pPr>
        <w:spacing w:before="120" w:after="120"/>
        <w:ind w:left="283" w:firstLine="227"/>
        <w:jc w:val="both"/>
      </w:pPr>
      <w:r>
        <w:t>Prezydent Miasta Łodzi</w:t>
      </w:r>
    </w:p>
    <w:p w:rsidR="00A77B3E" w:rsidRDefault="00A77B3E">
      <w:pPr>
        <w:spacing w:before="120" w:after="120"/>
        <w:ind w:left="283" w:firstLine="227"/>
        <w:jc w:val="both"/>
        <w:sectPr w:rsidR="00A77B3E">
          <w:footerReference w:type="default" r:id="rId7"/>
          <w:endnotePr>
            <w:numFmt w:val="decimal"/>
          </w:end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D6374C" w:rsidRDefault="00C578A9">
      <w:pPr>
        <w:keepNext/>
        <w:spacing w:before="240" w:after="60"/>
        <w:ind w:left="5664"/>
        <w:jc w:val="left"/>
        <w:outlineLvl w:val="0"/>
        <w:rPr>
          <w:szCs w:val="20"/>
          <w:lang w:val="x-none" w:eastAsia="en-US" w:bidi="ar-SA"/>
        </w:rPr>
      </w:pPr>
      <w:r>
        <w:rPr>
          <w:szCs w:val="20"/>
          <w:lang w:val="x-none" w:eastAsia="en-US" w:bidi="ar-SA"/>
        </w:rPr>
        <w:lastRenderedPageBreak/>
        <w:t>Załącznik</w:t>
      </w:r>
      <w:r>
        <w:rPr>
          <w:szCs w:val="20"/>
          <w:lang w:val="x-none" w:eastAsia="en-US" w:bidi="ar-SA"/>
        </w:rPr>
        <w:br/>
        <w:t xml:space="preserve">do uchwały Nr </w:t>
      </w:r>
      <w:r>
        <w:rPr>
          <w:szCs w:val="20"/>
          <w:lang w:val="x-none" w:eastAsia="en-US" w:bidi="ar-SA"/>
        </w:rPr>
        <w:br/>
        <w:t>Rady Miejskiej w Łodzi</w:t>
      </w:r>
      <w:r>
        <w:rPr>
          <w:szCs w:val="20"/>
          <w:lang w:val="x-none" w:eastAsia="en-US" w:bidi="ar-SA"/>
        </w:rPr>
        <w:br/>
      </w:r>
      <w:r>
        <w:rPr>
          <w:szCs w:val="20"/>
          <w:lang w:val="x-none" w:eastAsia="en-US" w:bidi="ar-SA"/>
        </w:rPr>
        <w:t xml:space="preserve">z dnia </w:t>
      </w:r>
    </w:p>
    <w:p w:rsidR="00D6374C" w:rsidRDefault="00D6374C">
      <w:pPr>
        <w:keepNext/>
        <w:spacing w:before="240" w:after="60"/>
        <w:outlineLvl w:val="0"/>
        <w:rPr>
          <w:b/>
          <w:szCs w:val="20"/>
          <w:lang w:val="x-none" w:eastAsia="en-US" w:bidi="ar-SA"/>
        </w:rPr>
      </w:pPr>
    </w:p>
    <w:p w:rsidR="00D6374C" w:rsidRDefault="00C578A9">
      <w:pPr>
        <w:keepNext/>
        <w:spacing w:before="240" w:after="60"/>
        <w:outlineLvl w:val="0"/>
        <w:rPr>
          <w:b/>
          <w:szCs w:val="20"/>
          <w:lang w:val="x-none" w:eastAsia="en-US" w:bidi="ar-SA"/>
        </w:rPr>
      </w:pPr>
      <w:r>
        <w:rPr>
          <w:b/>
          <w:szCs w:val="20"/>
          <w:lang w:val="x-none" w:eastAsia="en-US" w:bidi="ar-SA"/>
        </w:rPr>
        <w:t xml:space="preserve">Ocena sytuacji ekonomiczno-finansowej </w:t>
      </w:r>
      <w:r>
        <w:rPr>
          <w:b/>
          <w:szCs w:val="20"/>
          <w:lang w:val="x-none" w:eastAsia="en-US" w:bidi="ar-SA"/>
        </w:rPr>
        <w:br/>
        <w:t xml:space="preserve">Miejskiego Centrum Medycznego „Bałuty” w Łodzi </w:t>
      </w:r>
      <w:r>
        <w:rPr>
          <w:b/>
          <w:szCs w:val="20"/>
          <w:lang w:val="x-none" w:eastAsia="en-US" w:bidi="ar-SA"/>
        </w:rPr>
        <w:br/>
        <w:t>na podstawie raportu o sytuacji ekonomiczno-finansowej za rok 2020.</w:t>
      </w:r>
    </w:p>
    <w:p w:rsidR="00D6374C" w:rsidRDefault="00C578A9">
      <w:pPr>
        <w:tabs>
          <w:tab w:val="left" w:pos="284"/>
          <w:tab w:val="left" w:pos="360"/>
        </w:tabs>
        <w:spacing w:before="240" w:after="200" w:line="276" w:lineRule="auto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Miejskie Centrum Medyczne „Bałuty” w Łodzi, zwane dalej MCM „Bałuty” w Łodzi, przedstawiło </w:t>
      </w:r>
      <w:r>
        <w:rPr>
          <w:color w:val="000000"/>
          <w:szCs w:val="20"/>
          <w:shd w:val="clear" w:color="auto" w:fill="FFFFFF"/>
          <w:lang w:val="x-none" w:eastAsia="en-US" w:bidi="ar-SA"/>
        </w:rPr>
        <w:t>raport prezentujący sytuację ekonomiczno-finansową jednostki w roku ob</w:t>
      </w:r>
      <w:r>
        <w:rPr>
          <w:color w:val="000000"/>
          <w:szCs w:val="20"/>
          <w:shd w:val="clear" w:color="auto" w:fill="FFFFFF"/>
        </w:rPr>
        <w:t>rotowym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2020 oraz prognozę na kolejne trzy lata 2021-2023. Dokument przygotowano na podstawie rozporządzenia Ministra Zdrowia z dnia 12 kwietnia 2017 r. w sprawie wskaźników ekonomiczno-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finansowych niezbędnych do sporządzenia analizy oraz prognozy sytuacji ekonomiczno-finansowej samodzielnych publicznych zakładów opieki zdrowotnej </w:t>
      </w:r>
      <w:r>
        <w:rPr>
          <w:color w:val="000000"/>
          <w:szCs w:val="20"/>
          <w:shd w:val="clear" w:color="auto" w:fill="FFFFFF"/>
          <w:lang w:val="x-none" w:eastAsia="en-US" w:bidi="ar-SA"/>
        </w:rPr>
        <w:br/>
        <w:t>(Dz. U. poz. 832), które określa:</w:t>
      </w:r>
    </w:p>
    <w:p w:rsidR="00D6374C" w:rsidRDefault="00C578A9">
      <w:pPr>
        <w:numPr>
          <w:ilvl w:val="0"/>
          <w:numId w:val="1"/>
        </w:numPr>
        <w:tabs>
          <w:tab w:val="left" w:pos="360"/>
        </w:tabs>
        <w:spacing w:after="200" w:line="276" w:lineRule="auto"/>
        <w:jc w:val="both"/>
        <w:rPr>
          <w:b/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olor w:val="000000"/>
          <w:szCs w:val="20"/>
          <w:shd w:val="clear" w:color="auto" w:fill="FFFFFF"/>
          <w:lang w:val="x-none" w:eastAsia="en-US" w:bidi="ar-SA"/>
        </w:rPr>
        <w:t xml:space="preserve">wskaźniki ekonomiczno-finansowe i sposób ich obliczania, dotyczące </w:t>
      </w:r>
      <w:r>
        <w:rPr>
          <w:b/>
          <w:color w:val="000000"/>
          <w:szCs w:val="20"/>
          <w:shd w:val="clear" w:color="auto" w:fill="FFFFFF"/>
          <w:lang w:val="x-none" w:eastAsia="en-US" w:bidi="ar-SA"/>
        </w:rPr>
        <w:t>następujących aspektów sytuacji finansowej jednostki:</w:t>
      </w:r>
    </w:p>
    <w:p w:rsidR="00D6374C" w:rsidRDefault="00C578A9">
      <w:pPr>
        <w:numPr>
          <w:ilvl w:val="0"/>
          <w:numId w:val="2"/>
        </w:numPr>
        <w:tabs>
          <w:tab w:val="left" w:pos="360"/>
        </w:tabs>
        <w:spacing w:line="276" w:lineRule="auto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zyskowności, tj. zdolności jednostki do generowania zysków,</w:t>
      </w:r>
    </w:p>
    <w:p w:rsidR="00D6374C" w:rsidRDefault="00C578A9">
      <w:pPr>
        <w:numPr>
          <w:ilvl w:val="0"/>
          <w:numId w:val="2"/>
        </w:numPr>
        <w:tabs>
          <w:tab w:val="left" w:pos="360"/>
        </w:tabs>
        <w:spacing w:line="276" w:lineRule="auto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płynności finansowej, tj. zdolności jednostki do terminowego regulowania zaciągniętych zobowiązań krótkoterminowych,</w:t>
      </w:r>
    </w:p>
    <w:p w:rsidR="00D6374C" w:rsidRDefault="00C578A9">
      <w:pPr>
        <w:numPr>
          <w:ilvl w:val="0"/>
          <w:numId w:val="2"/>
        </w:numPr>
        <w:tabs>
          <w:tab w:val="left" w:pos="360"/>
        </w:tabs>
        <w:spacing w:line="276" w:lineRule="auto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efektywności zarządzania </w:t>
      </w:r>
      <w:r>
        <w:rPr>
          <w:color w:val="000000"/>
          <w:szCs w:val="20"/>
          <w:shd w:val="clear" w:color="auto" w:fill="FFFFFF"/>
          <w:lang w:val="x-none" w:eastAsia="en-US" w:bidi="ar-SA"/>
        </w:rPr>
        <w:t>przepływami finansowymi,</w:t>
      </w:r>
    </w:p>
    <w:p w:rsidR="00D6374C" w:rsidRDefault="00C578A9">
      <w:pPr>
        <w:numPr>
          <w:ilvl w:val="0"/>
          <w:numId w:val="2"/>
        </w:numPr>
        <w:tabs>
          <w:tab w:val="left" w:pos="360"/>
        </w:tabs>
        <w:spacing w:line="276" w:lineRule="auto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zadłużenia, tj. stopnia finansowania aktywów kapitałami obcymi;</w:t>
      </w:r>
    </w:p>
    <w:p w:rsidR="00D6374C" w:rsidRDefault="00C578A9">
      <w:pPr>
        <w:numPr>
          <w:ilvl w:val="0"/>
          <w:numId w:val="1"/>
        </w:numPr>
        <w:tabs>
          <w:tab w:val="left" w:pos="360"/>
        </w:tabs>
        <w:spacing w:before="240" w:after="200" w:line="276" w:lineRule="auto"/>
        <w:jc w:val="both"/>
        <w:rPr>
          <w:b/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olor w:val="000000"/>
          <w:szCs w:val="20"/>
          <w:shd w:val="clear" w:color="auto" w:fill="FFFFFF"/>
          <w:lang w:val="x-none" w:eastAsia="en-US" w:bidi="ar-SA"/>
        </w:rPr>
        <w:t>punktowe oceny dla określonych przedziałów wartości wskaźników.</w:t>
      </w:r>
    </w:p>
    <w:p w:rsidR="00D6374C" w:rsidRDefault="00C578A9">
      <w:pPr>
        <w:tabs>
          <w:tab w:val="left" w:pos="360"/>
        </w:tabs>
        <w:spacing w:after="200" w:line="276" w:lineRule="auto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Sumaryczna, maksymalna możliwa ocena punktowa wszystkich wskaźników ekonomiczno-finansowych dla Samodzi</w:t>
      </w:r>
      <w:r>
        <w:rPr>
          <w:color w:val="000000"/>
          <w:szCs w:val="20"/>
          <w:shd w:val="clear" w:color="auto" w:fill="FFFFFF"/>
          <w:lang w:val="x-none" w:eastAsia="en-US" w:bidi="ar-SA"/>
        </w:rPr>
        <w:t>elny</w:t>
      </w:r>
      <w:r>
        <w:rPr>
          <w:color w:val="000000"/>
          <w:szCs w:val="20"/>
          <w:shd w:val="clear" w:color="auto" w:fill="FFFFFF"/>
        </w:rPr>
        <w:t>ch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Publiczny</w:t>
      </w:r>
      <w:r>
        <w:rPr>
          <w:color w:val="000000"/>
          <w:szCs w:val="20"/>
          <w:shd w:val="clear" w:color="auto" w:fill="FFFFFF"/>
        </w:rPr>
        <w:t>ch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Zakład</w:t>
      </w:r>
      <w:r>
        <w:rPr>
          <w:color w:val="000000"/>
          <w:szCs w:val="20"/>
          <w:shd w:val="clear" w:color="auto" w:fill="FFFFFF"/>
        </w:rPr>
        <w:t>ów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Opieki Zdrowotnej</w:t>
      </w:r>
      <w:r>
        <w:rPr>
          <w:color w:val="000000"/>
          <w:szCs w:val="20"/>
          <w:shd w:val="clear" w:color="auto" w:fill="FFFFFF"/>
        </w:rPr>
        <w:t xml:space="preserve"> (SPZOZ)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wynikająca z ww. rozporządzenia (za dany rok) wynosi 70 pkt.</w:t>
      </w:r>
    </w:p>
    <w:p w:rsidR="00D6374C" w:rsidRDefault="00C578A9">
      <w:pPr>
        <w:tabs>
          <w:tab w:val="left" w:pos="360"/>
        </w:tabs>
        <w:spacing w:after="200" w:line="276" w:lineRule="auto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olor w:val="000000"/>
          <w:szCs w:val="20"/>
          <w:shd w:val="clear" w:color="auto" w:fill="FFFFFF"/>
          <w:lang w:val="x-none" w:eastAsia="en-US" w:bidi="ar-SA"/>
        </w:rPr>
        <w:t>Ocena formalno-merytoryczna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</w:t>
      </w:r>
    </w:p>
    <w:p w:rsidR="00D6374C" w:rsidRDefault="00C578A9">
      <w:pPr>
        <w:tabs>
          <w:tab w:val="left" w:pos="360"/>
        </w:tabs>
        <w:spacing w:line="276" w:lineRule="auto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Przedstawiony przez MCM „Bałuty” w Łodzi raport zawiera obowiązkowe elementy wymienione w ww. rozporządzeniu. Pr</w:t>
      </w:r>
      <w:r>
        <w:rPr>
          <w:color w:val="000000"/>
          <w:szCs w:val="20"/>
          <w:shd w:val="clear" w:color="auto" w:fill="FFFFFF"/>
          <w:lang w:val="x-none" w:eastAsia="en-US" w:bidi="ar-SA"/>
        </w:rPr>
        <w:t>zedstawione w nim punktowe wartości wskaźników zostały wyliczone przez jednostkę prawidłowo i mają swoje odzwierciedlenie w składowych sprawozdania finansowego, tj. bilansie oraz rachunku zysków i strat za 2020 rok oraz prognozie na lata 2021-2023. Przyjęt</w:t>
      </w:r>
      <w:r>
        <w:rPr>
          <w:color w:val="000000"/>
          <w:szCs w:val="20"/>
          <w:shd w:val="clear" w:color="auto" w:fill="FFFFFF"/>
          <w:lang w:val="x-none" w:eastAsia="en-US" w:bidi="ar-SA"/>
        </w:rPr>
        <w:t>e w raporcie założenia oraz kierunki działań pozwalają na dalsze funkcjonowanie jednostki, w ramach: podstawowej opieki zdrowotnej (POZ), ambulatoryjnej opieki zdrowotnej (AOS), rehabilitacji, stomatologii i ortodoncji oraz dotychczas prowadzonych programó</w:t>
      </w:r>
      <w:r>
        <w:rPr>
          <w:color w:val="000000"/>
          <w:szCs w:val="20"/>
          <w:shd w:val="clear" w:color="auto" w:fill="FFFFFF"/>
          <w:lang w:val="x-none" w:eastAsia="en-US" w:bidi="ar-SA"/>
        </w:rPr>
        <w:t>w profilaktycznych.</w:t>
      </w:r>
    </w:p>
    <w:p w:rsidR="00D6374C" w:rsidRDefault="00D6374C">
      <w:pPr>
        <w:tabs>
          <w:tab w:val="left" w:pos="360"/>
        </w:tabs>
        <w:spacing w:after="200" w:line="276" w:lineRule="auto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D6374C" w:rsidRDefault="00D6374C">
      <w:pPr>
        <w:tabs>
          <w:tab w:val="left" w:pos="360"/>
        </w:tabs>
        <w:spacing w:after="200" w:line="276" w:lineRule="auto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D6374C" w:rsidRDefault="00C578A9">
      <w:pPr>
        <w:keepNext/>
        <w:spacing w:before="240" w:after="60"/>
        <w:jc w:val="left"/>
        <w:outlineLvl w:val="0"/>
        <w:rPr>
          <w:b/>
          <w:szCs w:val="20"/>
          <w:lang w:val="x-none" w:eastAsia="en-US" w:bidi="ar-SA"/>
        </w:rPr>
      </w:pPr>
      <w:r>
        <w:rPr>
          <w:b/>
          <w:szCs w:val="20"/>
          <w:lang w:val="x-none" w:eastAsia="en-US" w:bidi="ar-SA"/>
        </w:rPr>
        <w:lastRenderedPageBreak/>
        <w:t>Wskaźniki MCM „Bałuty” w Łodzi za rok 2020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8"/>
        <w:gridCol w:w="4386"/>
        <w:gridCol w:w="1297"/>
        <w:gridCol w:w="1399"/>
      </w:tblGrid>
      <w:tr w:rsidR="00D6374C">
        <w:trPr>
          <w:trHeight w:val="491"/>
        </w:trPr>
        <w:tc>
          <w:tcPr>
            <w:tcW w:w="808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noWrap/>
            <w:vAlign w:val="center"/>
          </w:tcPr>
          <w:p w:rsidR="00D6374C" w:rsidRDefault="00C578A9">
            <w:pPr>
              <w:rPr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  <w:t>Grupa</w:t>
            </w:r>
          </w:p>
        </w:tc>
        <w:tc>
          <w:tcPr>
            <w:tcW w:w="2187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99"/>
            <w:vAlign w:val="center"/>
          </w:tcPr>
          <w:p w:rsidR="00D6374C" w:rsidRDefault="00C578A9">
            <w:pPr>
              <w:rPr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  <w:t>Wskaźniki</w:t>
            </w:r>
          </w:p>
        </w:tc>
        <w:tc>
          <w:tcPr>
            <w:tcW w:w="2005" w:type="pct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D6374C" w:rsidRDefault="00C578A9">
            <w:pPr>
              <w:rPr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  <w:t>2020</w:t>
            </w:r>
          </w:p>
        </w:tc>
      </w:tr>
      <w:tr w:rsidR="00D6374C">
        <w:trPr>
          <w:trHeight w:val="764"/>
        </w:trPr>
        <w:tc>
          <w:tcPr>
            <w:tcW w:w="80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374C" w:rsidRDefault="00D6374C">
            <w:pPr>
              <w:jc w:val="left"/>
              <w:rPr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2187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D6374C" w:rsidRDefault="00D6374C">
            <w:pPr>
              <w:jc w:val="left"/>
              <w:rPr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975" w:type="pc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D6374C" w:rsidRDefault="00C578A9">
            <w:pPr>
              <w:ind w:left="650" w:hanging="650"/>
              <w:rPr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  <w:t>Wskaźnik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D6374C" w:rsidRDefault="00C578A9">
            <w:pPr>
              <w:rPr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  <w:t>Ilość punktów</w:t>
            </w:r>
          </w:p>
        </w:tc>
      </w:tr>
      <w:tr w:rsidR="00D6374C">
        <w:trPr>
          <w:trHeight w:val="758"/>
        </w:trPr>
        <w:tc>
          <w:tcPr>
            <w:tcW w:w="808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D6374C" w:rsidRDefault="00C578A9">
            <w:pPr>
              <w:rPr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  <w:t>WSKAŹNIKI ZYSKOWNOŚCI</w:t>
            </w:r>
          </w:p>
        </w:tc>
        <w:tc>
          <w:tcPr>
            <w:tcW w:w="218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D6374C" w:rsidRDefault="00C578A9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  <w:t xml:space="preserve">zyskowności  netto  (%)                                                           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6374C" w:rsidRDefault="00C578A9">
            <w:pPr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  <w:t>2,60%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6374C" w:rsidRDefault="00C578A9">
            <w:pPr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  <w:t>4</w:t>
            </w:r>
          </w:p>
        </w:tc>
      </w:tr>
      <w:tr w:rsidR="00D6374C">
        <w:trPr>
          <w:trHeight w:val="607"/>
        </w:trPr>
        <w:tc>
          <w:tcPr>
            <w:tcW w:w="808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374C" w:rsidRDefault="00D6374C">
            <w:pPr>
              <w:jc w:val="left"/>
              <w:rPr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218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D6374C" w:rsidRDefault="00C578A9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  <w:t xml:space="preserve">zyskowności działalności operacyjnej (%)            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6374C" w:rsidRDefault="00C578A9">
            <w:pPr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  <w:t>2,88%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6374C" w:rsidRDefault="00C578A9">
            <w:pPr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  <w:t>3</w:t>
            </w:r>
          </w:p>
        </w:tc>
      </w:tr>
      <w:tr w:rsidR="00D6374C">
        <w:trPr>
          <w:trHeight w:val="672"/>
        </w:trPr>
        <w:tc>
          <w:tcPr>
            <w:tcW w:w="808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374C" w:rsidRDefault="00D6374C">
            <w:pPr>
              <w:jc w:val="left"/>
              <w:rPr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2187" w:type="pct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D6374C" w:rsidRDefault="00C578A9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  <w:t>zyskowność aktywów (%)</w:t>
            </w:r>
          </w:p>
        </w:tc>
        <w:tc>
          <w:tcPr>
            <w:tcW w:w="97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D6374C" w:rsidRDefault="00C578A9">
            <w:pPr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  <w:t>2,39%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6374C" w:rsidRDefault="00C578A9">
            <w:pPr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  <w:t>4</w:t>
            </w:r>
          </w:p>
        </w:tc>
      </w:tr>
      <w:tr w:rsidR="00D6374C">
        <w:trPr>
          <w:trHeight w:val="691"/>
        </w:trPr>
        <w:tc>
          <w:tcPr>
            <w:tcW w:w="299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D6374C" w:rsidRDefault="00C578A9">
            <w:pPr>
              <w:rPr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  <w:t>Maksymalna ocena punktowa 15 pkt</w:t>
            </w:r>
          </w:p>
        </w:tc>
        <w:tc>
          <w:tcPr>
            <w:tcW w:w="975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CCFFCC"/>
            <w:vAlign w:val="center"/>
          </w:tcPr>
          <w:p w:rsidR="00D6374C" w:rsidRDefault="00C578A9">
            <w:pPr>
              <w:jc w:val="left"/>
              <w:rPr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  <w:t>Razem</w:t>
            </w:r>
          </w:p>
        </w:tc>
        <w:tc>
          <w:tcPr>
            <w:tcW w:w="103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D6374C" w:rsidRDefault="00C578A9">
            <w:pPr>
              <w:rPr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  <w:t>11 (73,33%)</w:t>
            </w:r>
          </w:p>
        </w:tc>
      </w:tr>
      <w:tr w:rsidR="00D6374C">
        <w:trPr>
          <w:trHeight w:val="839"/>
        </w:trPr>
        <w:tc>
          <w:tcPr>
            <w:tcW w:w="808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vAlign w:val="center"/>
          </w:tcPr>
          <w:p w:rsidR="00D6374C" w:rsidRDefault="00C578A9">
            <w:pPr>
              <w:rPr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  <w:t>WSKAŹNIKI PŁYNNOŚCI</w:t>
            </w:r>
          </w:p>
        </w:tc>
        <w:tc>
          <w:tcPr>
            <w:tcW w:w="218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D6374C" w:rsidRDefault="00C578A9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  <w:t xml:space="preserve">bieżącej płynności                                           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6374C" w:rsidRDefault="00C578A9">
            <w:pPr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  <w:t>0,77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6374C" w:rsidRDefault="00C578A9">
            <w:pPr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  <w:t>4</w:t>
            </w:r>
          </w:p>
        </w:tc>
      </w:tr>
      <w:tr w:rsidR="00D6374C">
        <w:trPr>
          <w:trHeight w:val="833"/>
        </w:trPr>
        <w:tc>
          <w:tcPr>
            <w:tcW w:w="808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374C" w:rsidRDefault="00D6374C">
            <w:pPr>
              <w:jc w:val="left"/>
              <w:rPr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218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D6374C" w:rsidRDefault="00C578A9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  <w:t>szybkiej płynności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6374C" w:rsidRDefault="00C578A9">
            <w:pPr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  <w:t>0,73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6374C" w:rsidRDefault="00C578A9">
            <w:pPr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  <w:t>8</w:t>
            </w:r>
          </w:p>
        </w:tc>
      </w:tr>
      <w:tr w:rsidR="00D6374C">
        <w:trPr>
          <w:trHeight w:val="637"/>
        </w:trPr>
        <w:tc>
          <w:tcPr>
            <w:tcW w:w="299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D6374C" w:rsidRDefault="00C578A9">
            <w:pPr>
              <w:jc w:val="left"/>
              <w:rPr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  <w:t>               Maksymalna ocena punktowa 25 pkt</w:t>
            </w:r>
          </w:p>
        </w:tc>
        <w:tc>
          <w:tcPr>
            <w:tcW w:w="975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CCFFFF"/>
            <w:vAlign w:val="center"/>
          </w:tcPr>
          <w:p w:rsidR="00D6374C" w:rsidRDefault="00C578A9">
            <w:pPr>
              <w:jc w:val="left"/>
              <w:rPr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  <w:t>Razem</w:t>
            </w:r>
          </w:p>
        </w:tc>
        <w:tc>
          <w:tcPr>
            <w:tcW w:w="103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FFFF"/>
            <w:vAlign w:val="center"/>
          </w:tcPr>
          <w:p w:rsidR="00D6374C" w:rsidRDefault="00C578A9">
            <w:pPr>
              <w:rPr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  <w:t>12 (48%)</w:t>
            </w:r>
          </w:p>
        </w:tc>
      </w:tr>
      <w:tr w:rsidR="00D6374C">
        <w:trPr>
          <w:trHeight w:val="773"/>
        </w:trPr>
        <w:tc>
          <w:tcPr>
            <w:tcW w:w="808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D6374C" w:rsidRDefault="00C578A9">
            <w:pPr>
              <w:rPr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  <w:t>WSKAŹNIKI EFEKTYWNOŚCI</w:t>
            </w:r>
          </w:p>
        </w:tc>
        <w:tc>
          <w:tcPr>
            <w:tcW w:w="218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D6374C" w:rsidRDefault="00C578A9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  <w:t xml:space="preserve">rotacji należności (w dniach)                           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6374C" w:rsidRDefault="00C578A9">
            <w:pPr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  <w:t>31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6374C" w:rsidRDefault="00C578A9">
            <w:pPr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  <w:t>3</w:t>
            </w:r>
          </w:p>
        </w:tc>
      </w:tr>
      <w:tr w:rsidR="00D6374C">
        <w:trPr>
          <w:trHeight w:val="783"/>
        </w:trPr>
        <w:tc>
          <w:tcPr>
            <w:tcW w:w="808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374C" w:rsidRDefault="00D6374C">
            <w:pPr>
              <w:jc w:val="left"/>
              <w:rPr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218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D6374C" w:rsidRDefault="00C578A9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  <w:t>rotacji zobowiązań (w dniach)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6374C" w:rsidRDefault="00C578A9">
            <w:pPr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  <w:t>6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6374C" w:rsidRDefault="00C578A9">
            <w:pPr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  <w:t>7</w:t>
            </w:r>
          </w:p>
        </w:tc>
      </w:tr>
      <w:tr w:rsidR="00D6374C">
        <w:trPr>
          <w:trHeight w:val="693"/>
        </w:trPr>
        <w:tc>
          <w:tcPr>
            <w:tcW w:w="299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D6374C" w:rsidRDefault="00C578A9">
            <w:pPr>
              <w:jc w:val="left"/>
              <w:rPr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  <w:t>                Maksymalna ocena punktowa 10 pkt</w:t>
            </w:r>
          </w:p>
        </w:tc>
        <w:tc>
          <w:tcPr>
            <w:tcW w:w="975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CCFFCC"/>
            <w:vAlign w:val="center"/>
          </w:tcPr>
          <w:p w:rsidR="00D6374C" w:rsidRDefault="00C578A9">
            <w:pPr>
              <w:jc w:val="left"/>
              <w:rPr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  <w:t>Razem</w:t>
            </w:r>
          </w:p>
        </w:tc>
        <w:tc>
          <w:tcPr>
            <w:tcW w:w="103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D6374C" w:rsidRDefault="00C578A9">
            <w:pPr>
              <w:rPr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  <w:t xml:space="preserve">10 </w:t>
            </w:r>
            <w:r>
              <w:rPr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  <w:t>(100%)</w:t>
            </w:r>
          </w:p>
        </w:tc>
      </w:tr>
      <w:tr w:rsidR="00D6374C">
        <w:trPr>
          <w:trHeight w:val="687"/>
        </w:trPr>
        <w:tc>
          <w:tcPr>
            <w:tcW w:w="808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vAlign w:val="center"/>
          </w:tcPr>
          <w:p w:rsidR="00D6374C" w:rsidRDefault="00C578A9">
            <w:pPr>
              <w:rPr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  <w:t>WSKAŹNIKI ZADŁUŻENIA</w:t>
            </w:r>
          </w:p>
        </w:tc>
        <w:tc>
          <w:tcPr>
            <w:tcW w:w="218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D6374C" w:rsidRDefault="00C578A9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  <w:t xml:space="preserve">zadłużenia aktywów (%)                          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6374C" w:rsidRDefault="00C578A9">
            <w:pPr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  <w:t>28%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6374C" w:rsidRDefault="00C578A9">
            <w:pPr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  <w:t>10</w:t>
            </w:r>
          </w:p>
        </w:tc>
      </w:tr>
      <w:tr w:rsidR="00D6374C">
        <w:trPr>
          <w:trHeight w:val="821"/>
        </w:trPr>
        <w:tc>
          <w:tcPr>
            <w:tcW w:w="808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374C" w:rsidRDefault="00D6374C">
            <w:pPr>
              <w:jc w:val="left"/>
              <w:rPr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218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D6374C" w:rsidRDefault="00C578A9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  <w:t>wypłacalności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6374C" w:rsidRDefault="00C578A9">
            <w:pPr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  <w:t>1,15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6374C" w:rsidRDefault="00C578A9">
            <w:pPr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  <w:t>6</w:t>
            </w:r>
          </w:p>
        </w:tc>
      </w:tr>
      <w:tr w:rsidR="00D6374C">
        <w:trPr>
          <w:trHeight w:val="702"/>
        </w:trPr>
        <w:tc>
          <w:tcPr>
            <w:tcW w:w="299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D6374C" w:rsidRDefault="00C578A9">
            <w:pPr>
              <w:jc w:val="left"/>
              <w:rPr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  <w:t>                 Maksymalna ocena punktowa 20 pkt</w:t>
            </w:r>
          </w:p>
        </w:tc>
        <w:tc>
          <w:tcPr>
            <w:tcW w:w="975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CCFFFF"/>
            <w:vAlign w:val="center"/>
          </w:tcPr>
          <w:p w:rsidR="00D6374C" w:rsidRDefault="00C578A9">
            <w:pPr>
              <w:jc w:val="left"/>
              <w:rPr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  <w:t>Razem</w:t>
            </w:r>
          </w:p>
        </w:tc>
        <w:tc>
          <w:tcPr>
            <w:tcW w:w="103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FFFF"/>
            <w:vAlign w:val="center"/>
          </w:tcPr>
          <w:p w:rsidR="00D6374C" w:rsidRDefault="00C578A9">
            <w:pPr>
              <w:rPr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  <w:t>16 (80%)</w:t>
            </w:r>
          </w:p>
        </w:tc>
      </w:tr>
      <w:tr w:rsidR="00D6374C">
        <w:trPr>
          <w:trHeight w:val="622"/>
        </w:trPr>
        <w:tc>
          <w:tcPr>
            <w:tcW w:w="299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noWrap/>
            <w:vAlign w:val="center"/>
          </w:tcPr>
          <w:p w:rsidR="00D6374C" w:rsidRDefault="00C578A9">
            <w:pPr>
              <w:rPr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  <w:t>Łączna wartość punktów osiągniętych</w:t>
            </w:r>
          </w:p>
        </w:tc>
        <w:tc>
          <w:tcPr>
            <w:tcW w:w="2005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D6374C" w:rsidRDefault="00C578A9">
            <w:pPr>
              <w:rPr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  <w:t>49 (70%)</w:t>
            </w:r>
          </w:p>
        </w:tc>
      </w:tr>
      <w:tr w:rsidR="00D6374C">
        <w:trPr>
          <w:trHeight w:val="644"/>
        </w:trPr>
        <w:tc>
          <w:tcPr>
            <w:tcW w:w="299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noWrap/>
            <w:vAlign w:val="center"/>
          </w:tcPr>
          <w:p w:rsidR="00D6374C" w:rsidRDefault="00C578A9">
            <w:pPr>
              <w:rPr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  <w:t xml:space="preserve">Maksymalna  wartość punktów </w:t>
            </w:r>
            <w:r>
              <w:rPr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  <w:t>możliwych do osiągnięcia</w:t>
            </w:r>
          </w:p>
        </w:tc>
        <w:tc>
          <w:tcPr>
            <w:tcW w:w="2005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D6374C" w:rsidRDefault="00C578A9">
            <w:pPr>
              <w:rPr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  <w:t>70 (100%)</w:t>
            </w:r>
          </w:p>
        </w:tc>
      </w:tr>
    </w:tbl>
    <w:p w:rsidR="00D6374C" w:rsidRDefault="00D6374C">
      <w:pPr>
        <w:spacing w:before="240" w:line="276" w:lineRule="auto"/>
        <w:rPr>
          <w:b/>
          <w:color w:val="000000"/>
          <w:szCs w:val="20"/>
          <w:shd w:val="clear" w:color="auto" w:fill="FFFFFF"/>
          <w:lang w:val="x-none" w:eastAsia="en-US" w:bidi="ar-SA"/>
        </w:rPr>
      </w:pPr>
    </w:p>
    <w:p w:rsidR="00D6374C" w:rsidRDefault="00D6374C">
      <w:pPr>
        <w:spacing w:before="240" w:line="276" w:lineRule="auto"/>
        <w:rPr>
          <w:b/>
          <w:color w:val="000000"/>
          <w:szCs w:val="20"/>
          <w:shd w:val="clear" w:color="auto" w:fill="FFFFFF"/>
          <w:lang w:val="x-none" w:eastAsia="en-US" w:bidi="ar-SA"/>
        </w:rPr>
      </w:pPr>
    </w:p>
    <w:p w:rsidR="00D6374C" w:rsidRDefault="00C578A9">
      <w:pPr>
        <w:spacing w:before="240" w:after="200" w:line="276" w:lineRule="auto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lastRenderedPageBreak/>
        <w:t xml:space="preserve">W 2020 roku MCM „Bałuty” w Łodzi osiągnęło wynik finansowy netto w wysokości 738.370 zł (mniejszy o ok. 85,6 tys. zł niż w 2019 roku). Po dodaniu kosztów amortyzacji wzrósł on do poziomu 2.172.099 zł. Z samej </w:t>
      </w:r>
      <w:r>
        <w:rPr>
          <w:color w:val="000000"/>
          <w:szCs w:val="20"/>
          <w:shd w:val="clear" w:color="auto" w:fill="FFFFFF"/>
          <w:lang w:val="x-none" w:eastAsia="en-US" w:bidi="ar-SA"/>
        </w:rPr>
        <w:t>działalności operacyjnej jednostka osiągnęła wynik finansowy w wysokości ponad 818.073 zł (mniejszy o 136 tys. zł od osiągniętego w 2019 roku).</w:t>
      </w:r>
    </w:p>
    <w:p w:rsidR="00D6374C" w:rsidRDefault="00C578A9">
      <w:pPr>
        <w:spacing w:after="200" w:line="276" w:lineRule="auto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Podmiot osiągnął 11 na 15 punktów w skumulowanej skali </w:t>
      </w:r>
      <w:r>
        <w:rPr>
          <w:b/>
          <w:color w:val="000000"/>
          <w:szCs w:val="20"/>
          <w:shd w:val="clear" w:color="auto" w:fill="FFFFFF"/>
          <w:lang w:val="x-none" w:eastAsia="en-US" w:bidi="ar-SA"/>
        </w:rPr>
        <w:t>wskaźników zyskowności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</w:t>
      </w:r>
      <w:r>
        <w:rPr>
          <w:color w:val="000000"/>
          <w:szCs w:val="20"/>
          <w:shd w:val="clear" w:color="auto" w:fill="FFFFFF"/>
          <w:lang w:val="x-none" w:eastAsia="en-US" w:bidi="ar-SA"/>
        </w:rPr>
        <w:br/>
        <w:t>za 2020 rok, co</w:t>
      </w:r>
      <w:r>
        <w:rPr>
          <w:b/>
          <w:color w:val="000000"/>
          <w:szCs w:val="20"/>
          <w:shd w:val="clear" w:color="auto" w:fill="FFFFFF"/>
          <w:lang w:val="x-none" w:eastAsia="en-US" w:bidi="ar-SA"/>
        </w:rPr>
        <w:t xml:space="preserve"> </w:t>
      </w:r>
      <w:r>
        <w:rPr>
          <w:color w:val="000000"/>
          <w:szCs w:val="20"/>
          <w:shd w:val="clear" w:color="auto" w:fill="FFFFFF"/>
          <w:lang w:val="x-none" w:eastAsia="en-US" w:bidi="ar-SA"/>
        </w:rPr>
        <w:t>pozwala stwierdzi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ć, że w dalszym ciągu jest on rentowny. W danym roku obrotowym przychody przewyższały ponoszone przez jednostkę koszty i w rezultacie zachowana została stabilność finansowa. Ich wysokość to 28.395.716 zł, co stanowi wzrost </w:t>
      </w:r>
      <w:r>
        <w:rPr>
          <w:color w:val="000000"/>
          <w:szCs w:val="20"/>
          <w:shd w:val="clear" w:color="auto" w:fill="FFFFFF"/>
          <w:lang w:val="x-none" w:eastAsia="en-US" w:bidi="ar-SA"/>
        </w:rPr>
        <w:br/>
        <w:t>w stosunku do 2019 roku (27.694.</w:t>
      </w:r>
      <w:r>
        <w:rPr>
          <w:color w:val="000000"/>
          <w:szCs w:val="20"/>
          <w:shd w:val="clear" w:color="auto" w:fill="FFFFFF"/>
          <w:lang w:val="x-none" w:eastAsia="en-US" w:bidi="ar-SA"/>
        </w:rPr>
        <w:t>917 zł) o ok. 701 tys. zł, czyli 2,5%. W przypadku kosztów MCM „Bałuty” w Łodzi ich wysokość w 2020 roku wyniosła 27.657.346 zł i była większa w stosunku do 2019 roku (26.870.983 zł) o ok. 786 tys. zł, czyli 2,8%.</w:t>
      </w:r>
    </w:p>
    <w:p w:rsidR="00D6374C" w:rsidRDefault="00C578A9">
      <w:pPr>
        <w:spacing w:after="200" w:line="276" w:lineRule="auto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W zakresie wysokości osiągniętych w 2020 r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oku przychodów, w stosunku do poprzedniego okresu rozliczeniowego, wzrost nastąpił w ramach umowy z NFZ z ogólnej kwoty </w:t>
      </w:r>
      <w:r>
        <w:rPr>
          <w:color w:val="000000"/>
          <w:szCs w:val="20"/>
          <w:shd w:val="clear" w:color="auto" w:fill="FFFFFF"/>
          <w:lang w:val="x-none" w:eastAsia="en-US" w:bidi="ar-SA"/>
        </w:rPr>
        <w:br/>
        <w:t>24,84 mln zł do 25,83 mln zł (wzrost o ok. 982 tys. zł, czyli o 3,8%) i dotyczył jedyne świadczeń POZ – wzrost z 19,6 mln zł do 20,8 ml</w:t>
      </w:r>
      <w:r>
        <w:rPr>
          <w:color w:val="000000"/>
          <w:szCs w:val="20"/>
          <w:shd w:val="clear" w:color="auto" w:fill="FFFFFF"/>
          <w:lang w:val="x-none" w:eastAsia="en-US" w:bidi="ar-SA"/>
        </w:rPr>
        <w:t>n zł, czyli o 1,2 mln zł (tj. 5,8%). Zgodnie z otrzymanymi informacjami, był on rezultatem uzyskania 3% wartości wystawionych faktur (zgodnie z umową z NFZ) w związku z utrzymaniem gotowości do udzielania świadczeń zdrowotnych w reżimie sanitarnym. W przyp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adku pozostałych świadczeń zanotowano spadki, które wynikały z faktycznego poziomu wykonania kontraktów. Były to: </w:t>
      </w:r>
      <w:r>
        <w:rPr>
          <w:b/>
          <w:color w:val="000000"/>
          <w:szCs w:val="20"/>
          <w:shd w:val="clear" w:color="auto" w:fill="FFFFFF"/>
          <w:lang w:val="x-none" w:eastAsia="en-US" w:bidi="ar-SA"/>
        </w:rPr>
        <w:t>ambulatoryjna opieka specjalistyczna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(w stosunku do 2019 roku spadek o 23 tys. zł), </w:t>
      </w:r>
      <w:r>
        <w:rPr>
          <w:b/>
          <w:color w:val="000000"/>
          <w:szCs w:val="20"/>
          <w:shd w:val="clear" w:color="auto" w:fill="FFFFFF"/>
          <w:lang w:val="x-none" w:eastAsia="en-US" w:bidi="ar-SA"/>
        </w:rPr>
        <w:t>rehabilitacja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(spadek o 104,4 tys. zł), </w:t>
      </w:r>
      <w:r>
        <w:rPr>
          <w:b/>
          <w:color w:val="000000"/>
          <w:szCs w:val="20"/>
          <w:shd w:val="clear" w:color="auto" w:fill="FFFFFF"/>
          <w:lang w:val="x-none" w:eastAsia="en-US" w:bidi="ar-SA"/>
        </w:rPr>
        <w:t xml:space="preserve">stomatologia i </w:t>
      </w:r>
      <w:r>
        <w:rPr>
          <w:b/>
          <w:color w:val="000000"/>
          <w:szCs w:val="20"/>
          <w:shd w:val="clear" w:color="auto" w:fill="FFFFFF"/>
          <w:lang w:val="x-none" w:eastAsia="en-US" w:bidi="ar-SA"/>
        </w:rPr>
        <w:t>ortodoncja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(o 92,9 tys. zł) oraz w ramach </w:t>
      </w:r>
      <w:r>
        <w:rPr>
          <w:b/>
          <w:color w:val="000000"/>
          <w:szCs w:val="20"/>
          <w:shd w:val="clear" w:color="auto" w:fill="FFFFFF"/>
          <w:lang w:val="x-none" w:eastAsia="en-US" w:bidi="ar-SA"/>
        </w:rPr>
        <w:t>pozostałych świadczeń wynikających z umów z NFZ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(o 9,9 tys. zł). Oprócz tego spadek odnotowano w ramach: </w:t>
      </w:r>
      <w:r>
        <w:rPr>
          <w:b/>
          <w:color w:val="000000"/>
          <w:szCs w:val="20"/>
          <w:shd w:val="clear" w:color="auto" w:fill="FFFFFF"/>
          <w:lang w:val="x-none" w:eastAsia="en-US" w:bidi="ar-SA"/>
        </w:rPr>
        <w:t>programów profilaktycznych i działań finansowanych przez Miasto Łódź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</w:t>
      </w:r>
      <w:r>
        <w:rPr>
          <w:color w:val="000000"/>
          <w:szCs w:val="20"/>
          <w:shd w:val="clear" w:color="auto" w:fill="FFFFFF"/>
          <w:lang w:val="x-none" w:eastAsia="en-US" w:bidi="ar-SA"/>
        </w:rPr>
        <w:br/>
        <w:t xml:space="preserve">o 42,8 tys. zł (z 347,3 tys. zł w 2019 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roku do 304,6 tys. zł w 2020 roku), </w:t>
      </w:r>
      <w:r>
        <w:rPr>
          <w:b/>
          <w:color w:val="000000"/>
          <w:szCs w:val="20"/>
          <w:shd w:val="clear" w:color="auto" w:fill="FFFFFF"/>
          <w:lang w:val="x-none" w:eastAsia="en-US" w:bidi="ar-SA"/>
        </w:rPr>
        <w:t>pozostałej sprzedaży usług medycznych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o 70,9 tys. zł (z 352 tys. zł do 281,1 tys. zł) oraz </w:t>
      </w:r>
      <w:r>
        <w:rPr>
          <w:b/>
          <w:color w:val="000000"/>
          <w:szCs w:val="20"/>
          <w:shd w:val="clear" w:color="auto" w:fill="FFFFFF"/>
          <w:lang w:val="x-none" w:eastAsia="en-US" w:bidi="ar-SA"/>
        </w:rPr>
        <w:t>wynajmu pomieszczeń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o 57,8 tys. zł (z 375,2 tys. zł do 317,4 tys. zł).</w:t>
      </w:r>
    </w:p>
    <w:p w:rsidR="00D6374C" w:rsidRDefault="00C578A9">
      <w:pPr>
        <w:spacing w:after="200" w:line="276" w:lineRule="auto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Wzrost kosztów w roku 2020 spowodowany był zwiększonymi wy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datkami w ramach: </w:t>
      </w:r>
      <w:r>
        <w:rPr>
          <w:b/>
          <w:color w:val="000000"/>
          <w:szCs w:val="20"/>
          <w:shd w:val="clear" w:color="auto" w:fill="FFFFFF"/>
          <w:lang w:val="x-none" w:eastAsia="en-US" w:bidi="ar-SA"/>
        </w:rPr>
        <w:t>usług obcych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– wzrost z 3,4 mln zł do 4,3 mln zł, czyli o 927,6 tys. zł (w tym </w:t>
      </w:r>
      <w:r>
        <w:rPr>
          <w:b/>
          <w:color w:val="000000"/>
          <w:szCs w:val="20"/>
          <w:shd w:val="clear" w:color="auto" w:fill="FFFFFF"/>
          <w:lang w:val="x-none" w:eastAsia="en-US" w:bidi="ar-SA"/>
        </w:rPr>
        <w:t>usług medycznych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</w:t>
      </w:r>
      <w:r>
        <w:rPr>
          <w:color w:val="000000"/>
          <w:szCs w:val="20"/>
          <w:shd w:val="clear" w:color="auto" w:fill="FFFFFF"/>
          <w:lang w:val="x-none" w:eastAsia="en-US" w:bidi="ar-SA"/>
        </w:rPr>
        <w:br/>
        <w:t xml:space="preserve">z 2,3 mln zł do 2,85 mln zł, czyli o 529,4 tys. zł); </w:t>
      </w:r>
      <w:r>
        <w:rPr>
          <w:b/>
          <w:color w:val="000000"/>
          <w:szCs w:val="20"/>
          <w:shd w:val="clear" w:color="auto" w:fill="FFFFFF"/>
          <w:lang w:val="x-none" w:eastAsia="en-US" w:bidi="ar-SA"/>
        </w:rPr>
        <w:t>wynagrodzeń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(umowy o pracę i odprawy oraz nagrody jubileuszowe)</w:t>
      </w:r>
      <w:r>
        <w:rPr>
          <w:b/>
          <w:color w:val="000000"/>
          <w:szCs w:val="20"/>
          <w:shd w:val="clear" w:color="auto" w:fill="FFFFFF"/>
          <w:lang w:val="x-none" w:eastAsia="en-US" w:bidi="ar-SA"/>
        </w:rPr>
        <w:t xml:space="preserve"> 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– z 16,6 mln zł do 17,1 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mln zł, co oznacza wzrost o 445,3 tys. zł oraz </w:t>
      </w:r>
      <w:r>
        <w:rPr>
          <w:b/>
          <w:color w:val="000000"/>
          <w:szCs w:val="20"/>
          <w:shd w:val="clear" w:color="auto" w:fill="FFFFFF"/>
          <w:lang w:val="x-none" w:eastAsia="en-US" w:bidi="ar-SA"/>
        </w:rPr>
        <w:t>ubezpieczeń społecznych i innych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– wzrost o 115,4 tys. zł (z 3,1 mln zł do 3,3 mln zł). W dwóch ostatnich przypadkach na wspomniane zwiększenie wpływ miała podwyżka uposażenia pielęgniarek. Z kolei spadek odno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towano w pozycjach: </w:t>
      </w:r>
      <w:r>
        <w:rPr>
          <w:b/>
          <w:color w:val="000000"/>
          <w:szCs w:val="20"/>
          <w:shd w:val="clear" w:color="auto" w:fill="FFFFFF"/>
          <w:lang w:val="x-none" w:eastAsia="en-US" w:bidi="ar-SA"/>
        </w:rPr>
        <w:t>amortyzacja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</w:t>
      </w:r>
      <w:r>
        <w:rPr>
          <w:color w:val="000000"/>
          <w:szCs w:val="20"/>
          <w:shd w:val="clear" w:color="auto" w:fill="FFFFFF"/>
          <w:lang w:val="x-none" w:eastAsia="en-US" w:bidi="ar-SA"/>
        </w:rPr>
        <w:br/>
        <w:t xml:space="preserve">– o 103,5 tys. zł (z 1,5 mln zł do 1,4 mln zł) w stosunku rocznym oraz kosztów </w:t>
      </w:r>
      <w:r>
        <w:rPr>
          <w:b/>
          <w:color w:val="000000"/>
          <w:szCs w:val="20"/>
          <w:shd w:val="clear" w:color="auto" w:fill="FFFFFF"/>
          <w:lang w:val="x-none" w:eastAsia="en-US" w:bidi="ar-SA"/>
        </w:rPr>
        <w:t xml:space="preserve">materiałów </w:t>
      </w:r>
      <w:r>
        <w:rPr>
          <w:b/>
          <w:color w:val="000000"/>
          <w:szCs w:val="20"/>
          <w:shd w:val="clear" w:color="auto" w:fill="FFFFFF"/>
          <w:lang w:val="x-none" w:eastAsia="en-US" w:bidi="ar-SA"/>
        </w:rPr>
        <w:br/>
        <w:t>i energii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– o 1,2 tys. zł.</w:t>
      </w:r>
    </w:p>
    <w:p w:rsidR="00D6374C" w:rsidRDefault="00C578A9">
      <w:pPr>
        <w:spacing w:after="200" w:line="276" w:lineRule="auto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Osiągnięte przez podmiot wartości w zakresie </w:t>
      </w:r>
      <w:r>
        <w:rPr>
          <w:b/>
          <w:color w:val="000000"/>
          <w:szCs w:val="20"/>
          <w:shd w:val="clear" w:color="auto" w:fill="FFFFFF"/>
          <w:lang w:val="x-none" w:eastAsia="en-US" w:bidi="ar-SA"/>
        </w:rPr>
        <w:t xml:space="preserve">wskaźników płynności </w:t>
      </w:r>
      <w:r>
        <w:rPr>
          <w:color w:val="000000"/>
          <w:szCs w:val="20"/>
          <w:shd w:val="clear" w:color="auto" w:fill="FFFFFF"/>
          <w:lang w:val="x-none" w:eastAsia="en-US" w:bidi="ar-SA"/>
        </w:rPr>
        <w:t>wskazują, że pomimo uzyskania niskich w</w:t>
      </w:r>
      <w:r>
        <w:rPr>
          <w:color w:val="000000"/>
          <w:szCs w:val="20"/>
          <w:shd w:val="clear" w:color="auto" w:fill="FFFFFF"/>
          <w:lang w:val="x-none" w:eastAsia="en-US" w:bidi="ar-SA"/>
        </w:rPr>
        <w:t>artości, nie ma on trudności z terminową spłatą zobowiązań. Na taki stan rzeczy wpływ mają pożyczki nr 1/2007 oraz 5/2007 udzielone w 2007 roku z budżetu Miasta Łodzi, których wysokość pozostałej spłaty wynosi 5.132.951,52 zł (od 2008 roku są one odraczane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na kolejne lata i nie stanowią zobowiązań wymagalnych jednostki). W rezultacie, </w:t>
      </w:r>
      <w:r>
        <w:rPr>
          <w:color w:val="000000"/>
          <w:szCs w:val="20"/>
          <w:shd w:val="clear" w:color="auto" w:fill="FFFFFF"/>
          <w:lang w:val="x-none" w:eastAsia="en-US" w:bidi="ar-SA"/>
        </w:rPr>
        <w:lastRenderedPageBreak/>
        <w:t xml:space="preserve">MCM „Bałuty” w Łodzi w ramach </w:t>
      </w:r>
      <w:r>
        <w:rPr>
          <w:b/>
          <w:color w:val="000000"/>
          <w:szCs w:val="20"/>
          <w:shd w:val="clear" w:color="auto" w:fill="FFFFFF"/>
          <w:lang w:val="x-none" w:eastAsia="en-US" w:bidi="ar-SA"/>
        </w:rPr>
        <w:t>bieżącej płynności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osiągnęło wartość 0,77 (optymalny zakres wartości: 1,5-2,0),  a w przypadku </w:t>
      </w:r>
      <w:r>
        <w:rPr>
          <w:b/>
          <w:color w:val="000000"/>
          <w:szCs w:val="20"/>
          <w:shd w:val="clear" w:color="auto" w:fill="FFFFFF"/>
          <w:lang w:val="x-none" w:eastAsia="en-US" w:bidi="ar-SA"/>
        </w:rPr>
        <w:t>szybkiej płynności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0,73 (optymalnie: 1 lub więcej)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. </w:t>
      </w:r>
      <w:r>
        <w:rPr>
          <w:color w:val="000000"/>
          <w:szCs w:val="20"/>
          <w:shd w:val="clear" w:color="auto" w:fill="FFFFFF"/>
          <w:lang w:val="x-none" w:eastAsia="en-US" w:bidi="ar-SA"/>
        </w:rPr>
        <w:br/>
        <w:t xml:space="preserve">W przypadku nieuwzględnienia ww. pożyczek pierwszy wskaźnik wyniósłby 2,53, a drugi 2,38. Oznacza to, że podmiot posiada wysoki poziom zgromadzonych środków i ma zdolność do zwiększenia poziomu inwestycji. </w:t>
      </w:r>
    </w:p>
    <w:p w:rsidR="00D6374C" w:rsidRDefault="00C578A9">
      <w:pPr>
        <w:spacing w:after="200" w:line="276" w:lineRule="auto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Należy również nadmienić, że (zgodnie z danymi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zawartymi w przedstawionym raporcie) wartość posiadanych przed podmiot aktywów obrotowych pokrywa 78% zobowiązań krótkoterminowych i rezerw na zobowiązania krótkoterminowe, a w przypadku nieuwzględnienia ww. pożyczek relacja ta wynosi 113%, co również dow</w:t>
      </w:r>
      <w:r>
        <w:rPr>
          <w:color w:val="000000"/>
          <w:szCs w:val="20"/>
          <w:shd w:val="clear" w:color="auto" w:fill="FFFFFF"/>
          <w:lang w:val="x-none" w:eastAsia="en-US" w:bidi="ar-SA"/>
        </w:rPr>
        <w:t>odzi o braku problemów ze spłatą bieżących zobowiązań.</w:t>
      </w:r>
    </w:p>
    <w:p w:rsidR="00D6374C" w:rsidRDefault="00C578A9">
      <w:pPr>
        <w:spacing w:after="200" w:line="276" w:lineRule="auto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W ramach </w:t>
      </w:r>
      <w:r>
        <w:rPr>
          <w:b/>
          <w:color w:val="000000"/>
          <w:szCs w:val="20"/>
          <w:shd w:val="clear" w:color="auto" w:fill="FFFFFF"/>
          <w:lang w:val="x-none" w:eastAsia="en-US" w:bidi="ar-SA"/>
        </w:rPr>
        <w:t>wskaźników efektywności</w:t>
      </w:r>
      <w:r>
        <w:rPr>
          <w:color w:val="000000"/>
          <w:szCs w:val="20"/>
          <w:shd w:val="clear" w:color="auto" w:fill="FFFFFF"/>
          <w:lang w:val="x-none" w:eastAsia="en-US" w:bidi="ar-SA"/>
        </w:rPr>
        <w:t>, podmiot w 2020 roku średnio potrzebował 6 dni na uregulowanie zobowiązań z tytułu dostaw towarów i usług (</w:t>
      </w:r>
      <w:r>
        <w:rPr>
          <w:b/>
          <w:color w:val="000000"/>
          <w:szCs w:val="20"/>
          <w:shd w:val="clear" w:color="auto" w:fill="FFFFFF"/>
          <w:lang w:val="x-none" w:eastAsia="en-US" w:bidi="ar-SA"/>
        </w:rPr>
        <w:t>wskaźnik rotacji zobowiązań</w:t>
      </w:r>
      <w:r>
        <w:rPr>
          <w:color w:val="000000"/>
          <w:szCs w:val="20"/>
          <w:shd w:val="clear" w:color="auto" w:fill="FFFFFF"/>
          <w:lang w:val="x-none" w:eastAsia="en-US" w:bidi="ar-SA"/>
        </w:rPr>
        <w:t>) oraz 31 dni na otrzymanie swoich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należności (</w:t>
      </w:r>
      <w:r>
        <w:rPr>
          <w:b/>
          <w:color w:val="000000"/>
          <w:szCs w:val="20"/>
          <w:shd w:val="clear" w:color="auto" w:fill="FFFFFF"/>
          <w:lang w:val="x-none" w:eastAsia="en-US" w:bidi="ar-SA"/>
        </w:rPr>
        <w:t>wskaźnik rotacji należności</w:t>
      </w:r>
      <w:r>
        <w:rPr>
          <w:color w:val="000000"/>
          <w:szCs w:val="20"/>
          <w:shd w:val="clear" w:color="auto" w:fill="FFFFFF"/>
          <w:lang w:val="x-none" w:eastAsia="en-US" w:bidi="ar-SA"/>
        </w:rPr>
        <w:t>). Wielkości te są akceptowalne i oznaczają, że MCM „Bałuty” w Łodzi jest wypłacalne i uzyskuje swoje należności w czasie, który umożliwia terminowe regulowanie zobowiązań.</w:t>
      </w:r>
    </w:p>
    <w:p w:rsidR="00D6374C" w:rsidRDefault="00C578A9">
      <w:pPr>
        <w:spacing w:after="200" w:line="276" w:lineRule="auto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W 2020 roku </w:t>
      </w:r>
      <w:r>
        <w:rPr>
          <w:b/>
          <w:color w:val="000000"/>
          <w:szCs w:val="20"/>
          <w:shd w:val="clear" w:color="auto" w:fill="FFFFFF"/>
          <w:lang w:val="x-none" w:eastAsia="en-US" w:bidi="ar-SA"/>
        </w:rPr>
        <w:t>wskaźnik zadłużenia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aktywów jed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nostki wyniósł 28%, a </w:t>
      </w:r>
      <w:r>
        <w:rPr>
          <w:b/>
          <w:color w:val="000000"/>
          <w:szCs w:val="20"/>
          <w:shd w:val="clear" w:color="auto" w:fill="FFFFFF"/>
          <w:lang w:val="x-none" w:eastAsia="en-US" w:bidi="ar-SA"/>
        </w:rPr>
        <w:t>współczynnik wypłacalności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1,15, co sprawia, że jednostka uzyskała 16 na 20 punktów w danej kategorii. Na taki wynik miał również wpływ ww. pożyczki ze strony Miasta Łodzi. Bez ich uwzględnienia wskazane wielkości byłyby następujące: </w:t>
      </w:r>
      <w:r>
        <w:rPr>
          <w:color w:val="000000"/>
          <w:szCs w:val="20"/>
          <w:shd w:val="clear" w:color="auto" w:fill="FFFFFF"/>
          <w:lang w:val="x-none" w:eastAsia="en-US" w:bidi="ar-SA"/>
        </w:rPr>
        <w:t>12,33% (</w:t>
      </w:r>
      <w:r>
        <w:rPr>
          <w:b/>
          <w:color w:val="000000"/>
          <w:szCs w:val="20"/>
          <w:shd w:val="clear" w:color="auto" w:fill="FFFFFF"/>
          <w:lang w:val="x-none" w:eastAsia="en-US" w:bidi="ar-SA"/>
        </w:rPr>
        <w:t>wskaźnik zadłużenia aktywów</w:t>
      </w:r>
      <w:r>
        <w:rPr>
          <w:color w:val="000000"/>
          <w:szCs w:val="20"/>
          <w:shd w:val="clear" w:color="auto" w:fill="FFFFFF"/>
          <w:lang w:val="x-none" w:eastAsia="en-US" w:bidi="ar-SA"/>
        </w:rPr>
        <w:t>) oraz 0,49 (</w:t>
      </w:r>
      <w:r>
        <w:rPr>
          <w:b/>
          <w:color w:val="000000"/>
          <w:szCs w:val="20"/>
          <w:shd w:val="clear" w:color="auto" w:fill="FFFFFF"/>
          <w:lang w:val="x-none" w:eastAsia="en-US" w:bidi="ar-SA"/>
        </w:rPr>
        <w:t>współczynnik wypłacalności</w:t>
      </w:r>
      <w:r>
        <w:rPr>
          <w:color w:val="000000"/>
          <w:szCs w:val="20"/>
          <w:shd w:val="clear" w:color="auto" w:fill="FFFFFF"/>
          <w:lang w:val="x-none" w:eastAsia="en-US" w:bidi="ar-SA"/>
        </w:rPr>
        <w:t>). Wielkości te wskazują na stabilną sytuację finansową MCM „Bałuty” w Łodzi.</w:t>
      </w:r>
    </w:p>
    <w:p w:rsidR="00D6374C" w:rsidRDefault="00C578A9">
      <w:pPr>
        <w:spacing w:after="200" w:line="276" w:lineRule="auto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Na podstawie wyliczonych wskaźników za 2020 rok MCM „Bałuty” w Łodzi uzyskało łączną ocenę punktową w wy</w:t>
      </w:r>
      <w:r>
        <w:rPr>
          <w:color w:val="000000"/>
          <w:szCs w:val="20"/>
          <w:shd w:val="clear" w:color="auto" w:fill="FFFFFF"/>
          <w:lang w:val="x-none" w:eastAsia="en-US" w:bidi="ar-SA"/>
        </w:rPr>
        <w:t>sokości 49 pkt, co stanowi 70% punktów możliwych do uzyskania. Nie uwzględniając ww. pożyczek wynik ten wyniósłby 66 punktów (94%).</w:t>
      </w:r>
    </w:p>
    <w:p w:rsidR="00D6374C" w:rsidRDefault="00D6374C">
      <w:pPr>
        <w:spacing w:after="200" w:line="276" w:lineRule="auto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D6374C" w:rsidRDefault="00D6374C">
      <w:pPr>
        <w:spacing w:after="200" w:line="276" w:lineRule="auto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D6374C" w:rsidRDefault="00D6374C">
      <w:pPr>
        <w:spacing w:after="200" w:line="276" w:lineRule="auto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D6374C" w:rsidRDefault="00D6374C">
      <w:pPr>
        <w:spacing w:after="200" w:line="276" w:lineRule="auto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D6374C" w:rsidRDefault="00D6374C">
      <w:pPr>
        <w:spacing w:after="200" w:line="276" w:lineRule="auto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D6374C" w:rsidRDefault="00D6374C">
      <w:pPr>
        <w:spacing w:after="200" w:line="276" w:lineRule="auto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D6374C" w:rsidRDefault="00D6374C">
      <w:pPr>
        <w:spacing w:after="200" w:line="276" w:lineRule="auto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D6374C" w:rsidRDefault="00D6374C">
      <w:pPr>
        <w:spacing w:after="200" w:line="276" w:lineRule="auto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D6374C" w:rsidRDefault="00D6374C">
      <w:pPr>
        <w:spacing w:after="200" w:line="276" w:lineRule="auto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D6374C" w:rsidRDefault="00D6374C">
      <w:pPr>
        <w:spacing w:after="200" w:line="276" w:lineRule="auto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D6374C" w:rsidRDefault="00C578A9">
      <w:pPr>
        <w:keepNext/>
        <w:spacing w:after="60"/>
        <w:jc w:val="left"/>
        <w:outlineLvl w:val="0"/>
        <w:rPr>
          <w:b/>
          <w:szCs w:val="20"/>
          <w:lang w:val="x-none" w:eastAsia="en-US" w:bidi="ar-SA"/>
        </w:rPr>
      </w:pPr>
      <w:r>
        <w:rPr>
          <w:b/>
          <w:szCs w:val="20"/>
          <w:lang w:val="x-none" w:eastAsia="en-US" w:bidi="ar-SA"/>
        </w:rPr>
        <w:lastRenderedPageBreak/>
        <w:t>Wskaźniki MCM „Bałuty” w Łodzi – prognoza na lata 2021-2023</w:t>
      </w:r>
    </w:p>
    <w:tbl>
      <w:tblPr>
        <w:tblW w:w="9858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2"/>
        <w:gridCol w:w="1517"/>
        <w:gridCol w:w="1134"/>
        <w:gridCol w:w="992"/>
        <w:gridCol w:w="1134"/>
        <w:gridCol w:w="993"/>
        <w:gridCol w:w="1134"/>
        <w:gridCol w:w="992"/>
      </w:tblGrid>
      <w:tr w:rsidR="00D6374C">
        <w:trPr>
          <w:trHeight w:val="182"/>
          <w:jc w:val="center"/>
        </w:trPr>
        <w:tc>
          <w:tcPr>
            <w:tcW w:w="19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noWrap/>
            <w:vAlign w:val="center"/>
          </w:tcPr>
          <w:p w:rsidR="00D6374C" w:rsidRDefault="00C578A9">
            <w:pPr>
              <w:rPr>
                <w:b/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  <w:t>Grupa</w:t>
            </w:r>
          </w:p>
        </w:tc>
        <w:tc>
          <w:tcPr>
            <w:tcW w:w="15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99"/>
            <w:vAlign w:val="center"/>
          </w:tcPr>
          <w:p w:rsidR="00D6374C" w:rsidRDefault="00C578A9">
            <w:pPr>
              <w:rPr>
                <w:b/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  <w:t>Wskaźniki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D6374C" w:rsidRDefault="00C578A9">
            <w:pPr>
              <w:rPr>
                <w:b/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  <w:t>2021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FFFF99"/>
            <w:vAlign w:val="center"/>
          </w:tcPr>
          <w:p w:rsidR="00D6374C" w:rsidRDefault="00C578A9">
            <w:pPr>
              <w:rPr>
                <w:b/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  <w:t>2022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D6374C" w:rsidRDefault="00C578A9">
            <w:pPr>
              <w:rPr>
                <w:b/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  <w:t>2023</w:t>
            </w:r>
          </w:p>
        </w:tc>
      </w:tr>
      <w:tr w:rsidR="00D6374C">
        <w:trPr>
          <w:trHeight w:val="200"/>
          <w:jc w:val="center"/>
        </w:trPr>
        <w:tc>
          <w:tcPr>
            <w:tcW w:w="19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374C" w:rsidRDefault="00D6374C">
            <w:pPr>
              <w:jc w:val="left"/>
              <w:rPr>
                <w:b/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5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D6374C" w:rsidRDefault="00D6374C">
            <w:pPr>
              <w:jc w:val="left"/>
              <w:rPr>
                <w:b/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D6374C" w:rsidRDefault="00C578A9">
            <w:pPr>
              <w:rPr>
                <w:b/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  <w:t>Wskaźnik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D6374C" w:rsidRDefault="00C578A9">
            <w:pPr>
              <w:rPr>
                <w:b/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  <w:t xml:space="preserve">Ilość </w:t>
            </w:r>
            <w:r>
              <w:rPr>
                <w:b/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  <w:t>punktów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D6374C" w:rsidRDefault="00C578A9">
            <w:pPr>
              <w:rPr>
                <w:b/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  <w:t>Wskaźnik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99"/>
            <w:vAlign w:val="center"/>
          </w:tcPr>
          <w:p w:rsidR="00D6374C" w:rsidRDefault="00C578A9">
            <w:pPr>
              <w:rPr>
                <w:b/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  <w:t>Ilość punktów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D6374C" w:rsidRDefault="00C578A9">
            <w:pPr>
              <w:rPr>
                <w:b/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  <w:t>Wskaźnik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D6374C" w:rsidRDefault="00C578A9">
            <w:pPr>
              <w:rPr>
                <w:b/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  <w:t>Ilość punktów</w:t>
            </w:r>
          </w:p>
        </w:tc>
      </w:tr>
      <w:tr w:rsidR="00D6374C">
        <w:trPr>
          <w:trHeight w:val="704"/>
          <w:jc w:val="center"/>
        </w:trPr>
        <w:tc>
          <w:tcPr>
            <w:tcW w:w="196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D6374C" w:rsidRDefault="00C578A9">
            <w:pPr>
              <w:rPr>
                <w:b/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  <w:t>WSK</w:t>
            </w:r>
            <w:r>
              <w:rPr>
                <w:b/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  <w:t>AŹNIKI ZYSKOWNOŚCI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D6374C" w:rsidRDefault="00C578A9">
            <w:pPr>
              <w:jc w:val="left"/>
              <w:rPr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  <w:t xml:space="preserve">zyskowności  netto  (%)                                      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6374C" w:rsidRDefault="00C578A9">
            <w:pPr>
              <w:rPr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  <w:t>-0,39%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6374C" w:rsidRDefault="00C578A9">
            <w:pPr>
              <w:rPr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6374C" w:rsidRDefault="00C578A9">
            <w:pPr>
              <w:rPr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  <w:t>0,54%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6374C" w:rsidRDefault="00C578A9">
            <w:pPr>
              <w:rPr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6374C" w:rsidRDefault="00C578A9">
            <w:pPr>
              <w:rPr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  <w:t>0,96%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6374C" w:rsidRDefault="00C578A9">
            <w:pPr>
              <w:rPr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  <w:t>3</w:t>
            </w:r>
          </w:p>
        </w:tc>
      </w:tr>
      <w:tr w:rsidR="00D6374C">
        <w:trPr>
          <w:trHeight w:val="254"/>
          <w:jc w:val="center"/>
        </w:trPr>
        <w:tc>
          <w:tcPr>
            <w:tcW w:w="196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374C" w:rsidRDefault="00D6374C">
            <w:pPr>
              <w:jc w:val="left"/>
              <w:rPr>
                <w:b/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D6374C" w:rsidRDefault="00C578A9">
            <w:pPr>
              <w:jc w:val="left"/>
              <w:rPr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  <w:t xml:space="preserve">zyskowności działalności operacyjnej (%)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6374C" w:rsidRDefault="00C578A9">
            <w:pPr>
              <w:rPr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  <w:t>-0,12%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6374C" w:rsidRDefault="00C578A9">
            <w:pPr>
              <w:rPr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6374C" w:rsidRDefault="00C578A9">
            <w:pPr>
              <w:rPr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  <w:t>0,80%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6374C" w:rsidRDefault="00C578A9">
            <w:pPr>
              <w:rPr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74C" w:rsidRDefault="00C578A9">
            <w:pPr>
              <w:rPr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  <w:t>1,23%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6374C" w:rsidRDefault="00C578A9">
            <w:pPr>
              <w:rPr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  <w:t>3</w:t>
            </w:r>
          </w:p>
        </w:tc>
      </w:tr>
      <w:tr w:rsidR="00D6374C">
        <w:trPr>
          <w:trHeight w:val="786"/>
          <w:jc w:val="center"/>
        </w:trPr>
        <w:tc>
          <w:tcPr>
            <w:tcW w:w="196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374C" w:rsidRDefault="00D6374C">
            <w:pPr>
              <w:jc w:val="left"/>
              <w:rPr>
                <w:b/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D6374C" w:rsidRDefault="00C578A9">
            <w:pPr>
              <w:jc w:val="left"/>
              <w:rPr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  <w:t>zyskowność aktywów (%)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D6374C" w:rsidRDefault="00C578A9">
            <w:pPr>
              <w:rPr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  <w:t>-0,36%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6374C" w:rsidRDefault="00C578A9">
            <w:pPr>
              <w:rPr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D6374C" w:rsidRDefault="00C578A9">
            <w:pPr>
              <w:rPr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  <w:t>0,51%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6374C" w:rsidRDefault="00C578A9">
            <w:pPr>
              <w:rPr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6374C" w:rsidRDefault="00C578A9">
            <w:pPr>
              <w:rPr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  <w:t>0,92%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6374C" w:rsidRDefault="00C578A9">
            <w:pPr>
              <w:rPr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  <w:t>3</w:t>
            </w:r>
          </w:p>
        </w:tc>
      </w:tr>
      <w:tr w:rsidR="00D6374C">
        <w:trPr>
          <w:trHeight w:val="683"/>
          <w:jc w:val="center"/>
        </w:trPr>
        <w:tc>
          <w:tcPr>
            <w:tcW w:w="34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D6374C" w:rsidRDefault="00C578A9">
            <w:pPr>
              <w:jc w:val="left"/>
              <w:rPr>
                <w:b/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  <w:t> Maksymalna ocena punktowa 15 pkt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CCFFCC"/>
            <w:vAlign w:val="center"/>
          </w:tcPr>
          <w:p w:rsidR="00D6374C" w:rsidRDefault="00C578A9">
            <w:pPr>
              <w:jc w:val="left"/>
              <w:rPr>
                <w:b/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  <w:t>Razem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D6374C" w:rsidRDefault="00C578A9">
            <w:pPr>
              <w:rPr>
                <w:b/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  <w:t>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CCFFCC"/>
            <w:vAlign w:val="center"/>
          </w:tcPr>
          <w:p w:rsidR="00D6374C" w:rsidRDefault="00D6374C">
            <w:pPr>
              <w:jc w:val="left"/>
              <w:rPr>
                <w:b/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D6374C" w:rsidRDefault="00C578A9">
            <w:pPr>
              <w:rPr>
                <w:b/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CCFFCC"/>
            <w:vAlign w:val="center"/>
          </w:tcPr>
          <w:p w:rsidR="00D6374C" w:rsidRDefault="00D6374C">
            <w:pPr>
              <w:jc w:val="left"/>
              <w:rPr>
                <w:b/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D6374C" w:rsidRDefault="00C578A9">
            <w:pPr>
              <w:rPr>
                <w:b/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  <w:t>9</w:t>
            </w:r>
          </w:p>
        </w:tc>
      </w:tr>
      <w:tr w:rsidR="00D6374C">
        <w:trPr>
          <w:trHeight w:val="693"/>
          <w:jc w:val="center"/>
        </w:trPr>
        <w:tc>
          <w:tcPr>
            <w:tcW w:w="196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vAlign w:val="center"/>
          </w:tcPr>
          <w:p w:rsidR="00D6374C" w:rsidRDefault="00C578A9">
            <w:pPr>
              <w:rPr>
                <w:b/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  <w:t>WSKAŹNIKI PŁYNNOŚCI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D6374C" w:rsidRDefault="00C578A9">
            <w:pPr>
              <w:jc w:val="left"/>
              <w:rPr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  <w:t xml:space="preserve">bieżącej płynności                      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6374C" w:rsidRDefault="00C578A9">
            <w:pPr>
              <w:rPr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  <w:t>0,77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6374C" w:rsidRDefault="00C578A9">
            <w:pPr>
              <w:rPr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6374C" w:rsidRDefault="00C578A9">
            <w:pPr>
              <w:rPr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  <w:t>0,74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6374C" w:rsidRDefault="00C578A9">
            <w:pPr>
              <w:rPr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74C" w:rsidRDefault="00C578A9">
            <w:pPr>
              <w:rPr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  <w:t>0,76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6374C" w:rsidRDefault="00C578A9">
            <w:pPr>
              <w:rPr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  <w:t>4</w:t>
            </w:r>
          </w:p>
        </w:tc>
      </w:tr>
      <w:tr w:rsidR="00D6374C">
        <w:trPr>
          <w:trHeight w:val="845"/>
          <w:jc w:val="center"/>
        </w:trPr>
        <w:tc>
          <w:tcPr>
            <w:tcW w:w="196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374C" w:rsidRDefault="00D6374C">
            <w:pPr>
              <w:jc w:val="left"/>
              <w:rPr>
                <w:b/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D6374C" w:rsidRDefault="00C578A9">
            <w:pPr>
              <w:jc w:val="left"/>
              <w:rPr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  <w:t>szybkiej płynności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6374C" w:rsidRDefault="00C578A9">
            <w:pPr>
              <w:rPr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  <w:t>0,73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6374C" w:rsidRDefault="00C578A9">
            <w:pPr>
              <w:rPr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6374C" w:rsidRDefault="00C578A9">
            <w:pPr>
              <w:rPr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  <w:t>0,71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6374C" w:rsidRDefault="00C578A9">
            <w:pPr>
              <w:rPr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  <w:t>8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74C" w:rsidRDefault="00C578A9">
            <w:pPr>
              <w:rPr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  <w:t>0,73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6374C" w:rsidRDefault="00C578A9">
            <w:pPr>
              <w:rPr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  <w:t>8</w:t>
            </w:r>
          </w:p>
        </w:tc>
      </w:tr>
      <w:tr w:rsidR="00D6374C">
        <w:trPr>
          <w:trHeight w:val="673"/>
          <w:jc w:val="center"/>
        </w:trPr>
        <w:tc>
          <w:tcPr>
            <w:tcW w:w="34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D6374C" w:rsidRDefault="00C578A9">
            <w:pPr>
              <w:jc w:val="left"/>
              <w:rPr>
                <w:b/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  <w:t> Maksymalna ocena punktowa 25 pkt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CCFFFF"/>
            <w:vAlign w:val="center"/>
          </w:tcPr>
          <w:p w:rsidR="00D6374C" w:rsidRDefault="00C578A9">
            <w:pPr>
              <w:jc w:val="left"/>
              <w:rPr>
                <w:b/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  <w:t>Razem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FFFF"/>
            <w:vAlign w:val="center"/>
          </w:tcPr>
          <w:p w:rsidR="00D6374C" w:rsidRDefault="00C578A9">
            <w:pPr>
              <w:rPr>
                <w:b/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  <w:t>12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CCFFFF"/>
            <w:vAlign w:val="center"/>
          </w:tcPr>
          <w:p w:rsidR="00D6374C" w:rsidRDefault="00D6374C">
            <w:pPr>
              <w:jc w:val="left"/>
              <w:rPr>
                <w:b/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CCFFFF"/>
            <w:vAlign w:val="center"/>
          </w:tcPr>
          <w:p w:rsidR="00D6374C" w:rsidRDefault="00C578A9">
            <w:pPr>
              <w:rPr>
                <w:b/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  <w:t>12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CFFFF"/>
            <w:vAlign w:val="center"/>
          </w:tcPr>
          <w:p w:rsidR="00D6374C" w:rsidRDefault="00D6374C">
            <w:pPr>
              <w:jc w:val="left"/>
              <w:rPr>
                <w:b/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FFFF"/>
            <w:vAlign w:val="center"/>
          </w:tcPr>
          <w:p w:rsidR="00D6374C" w:rsidRDefault="00C578A9">
            <w:pPr>
              <w:rPr>
                <w:b/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  <w:t>12</w:t>
            </w:r>
          </w:p>
        </w:tc>
      </w:tr>
      <w:tr w:rsidR="00D6374C">
        <w:trPr>
          <w:trHeight w:val="980"/>
          <w:jc w:val="center"/>
        </w:trPr>
        <w:tc>
          <w:tcPr>
            <w:tcW w:w="196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D6374C" w:rsidRDefault="00C578A9">
            <w:pPr>
              <w:rPr>
                <w:b/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  <w:t>WSKAŹNIKI EFEKTYWNOŚCI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D6374C" w:rsidRDefault="00C578A9">
            <w:pPr>
              <w:jc w:val="left"/>
              <w:rPr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  <w:t xml:space="preserve">rotacji należności </w:t>
            </w:r>
            <w:r>
              <w:rPr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  <w:br/>
              <w:t xml:space="preserve">(w dniach)      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6374C" w:rsidRDefault="00C578A9">
            <w:pPr>
              <w:rPr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  <w:t>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6374C" w:rsidRDefault="00C578A9">
            <w:pPr>
              <w:rPr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6374C" w:rsidRDefault="00C578A9">
            <w:pPr>
              <w:rPr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  <w:t>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6374C" w:rsidRDefault="00C578A9">
            <w:pPr>
              <w:rPr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74C" w:rsidRDefault="00C578A9">
            <w:pPr>
              <w:rPr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6374C" w:rsidRDefault="00C578A9">
            <w:pPr>
              <w:rPr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  <w:t>3</w:t>
            </w:r>
          </w:p>
        </w:tc>
      </w:tr>
      <w:tr w:rsidR="00D6374C">
        <w:trPr>
          <w:trHeight w:val="1109"/>
          <w:jc w:val="center"/>
        </w:trPr>
        <w:tc>
          <w:tcPr>
            <w:tcW w:w="196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374C" w:rsidRDefault="00D6374C">
            <w:pPr>
              <w:jc w:val="left"/>
              <w:rPr>
                <w:b/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D6374C" w:rsidRDefault="00C578A9">
            <w:pPr>
              <w:jc w:val="left"/>
              <w:rPr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  <w:t xml:space="preserve">rotacji zobowiązań </w:t>
            </w:r>
            <w:r>
              <w:rPr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  <w:br/>
              <w:t>(w dniach)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6374C" w:rsidRDefault="00C578A9">
            <w:pPr>
              <w:rPr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6374C" w:rsidRDefault="00C578A9">
            <w:pPr>
              <w:rPr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6374C" w:rsidRDefault="00C578A9">
            <w:pPr>
              <w:rPr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6374C" w:rsidRDefault="00C578A9">
            <w:pPr>
              <w:rPr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74C" w:rsidRDefault="00C578A9">
            <w:pPr>
              <w:rPr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6374C" w:rsidRDefault="00C578A9">
            <w:pPr>
              <w:rPr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  <w:t>7</w:t>
            </w:r>
          </w:p>
        </w:tc>
      </w:tr>
      <w:tr w:rsidR="00D6374C">
        <w:trPr>
          <w:trHeight w:val="841"/>
          <w:jc w:val="center"/>
        </w:trPr>
        <w:tc>
          <w:tcPr>
            <w:tcW w:w="34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D6374C" w:rsidRDefault="00C578A9">
            <w:pPr>
              <w:jc w:val="left"/>
              <w:rPr>
                <w:b/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  <w:t>Maksymalna ocena punktowa 10 pkt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CCFFCC"/>
            <w:vAlign w:val="center"/>
          </w:tcPr>
          <w:p w:rsidR="00D6374C" w:rsidRDefault="00C578A9">
            <w:pPr>
              <w:jc w:val="left"/>
              <w:rPr>
                <w:b/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  <w:t>Razem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D6374C" w:rsidRDefault="00C578A9">
            <w:pPr>
              <w:rPr>
                <w:b/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  <w:t>10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CCFFCC"/>
            <w:vAlign w:val="center"/>
          </w:tcPr>
          <w:p w:rsidR="00D6374C" w:rsidRDefault="00D6374C">
            <w:pPr>
              <w:jc w:val="left"/>
              <w:rPr>
                <w:b/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CCFFCC"/>
            <w:vAlign w:val="center"/>
          </w:tcPr>
          <w:p w:rsidR="00D6374C" w:rsidRDefault="00C578A9">
            <w:pPr>
              <w:rPr>
                <w:b/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  <w:t>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CFFCC"/>
            <w:vAlign w:val="center"/>
          </w:tcPr>
          <w:p w:rsidR="00D6374C" w:rsidRDefault="00D6374C">
            <w:pPr>
              <w:jc w:val="left"/>
              <w:rPr>
                <w:b/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D6374C" w:rsidRDefault="00C578A9">
            <w:pPr>
              <w:rPr>
                <w:b/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  <w:t>10</w:t>
            </w:r>
          </w:p>
        </w:tc>
      </w:tr>
      <w:tr w:rsidR="00D6374C">
        <w:trPr>
          <w:trHeight w:val="811"/>
          <w:jc w:val="center"/>
        </w:trPr>
        <w:tc>
          <w:tcPr>
            <w:tcW w:w="196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vAlign w:val="center"/>
          </w:tcPr>
          <w:p w:rsidR="00D6374C" w:rsidRDefault="00C578A9">
            <w:pPr>
              <w:rPr>
                <w:b/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  <w:t>WSKAŹNIKI ZADŁUŻENIA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D6374C" w:rsidRDefault="00C578A9">
            <w:pPr>
              <w:jc w:val="left"/>
              <w:rPr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  <w:t xml:space="preserve">zadłużenia aktywów (%)     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6374C" w:rsidRDefault="00C578A9">
            <w:pPr>
              <w:rPr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  <w:t>28%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6374C" w:rsidRDefault="00C578A9">
            <w:pPr>
              <w:rPr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6374C" w:rsidRDefault="00C578A9">
            <w:pPr>
              <w:rPr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  <w:t>26%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6374C" w:rsidRDefault="00C578A9">
            <w:pPr>
              <w:rPr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74C" w:rsidRDefault="00C578A9">
            <w:pPr>
              <w:rPr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  <w:t>24%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6374C" w:rsidRDefault="00C578A9">
            <w:pPr>
              <w:rPr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  <w:t>10</w:t>
            </w:r>
          </w:p>
        </w:tc>
      </w:tr>
      <w:tr w:rsidR="00D6374C">
        <w:trPr>
          <w:trHeight w:val="695"/>
          <w:jc w:val="center"/>
        </w:trPr>
        <w:tc>
          <w:tcPr>
            <w:tcW w:w="196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374C" w:rsidRDefault="00D6374C">
            <w:pPr>
              <w:jc w:val="left"/>
              <w:rPr>
                <w:b/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D6374C" w:rsidRDefault="00C578A9">
            <w:pPr>
              <w:jc w:val="left"/>
              <w:rPr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  <w:t>wypłacalności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6374C" w:rsidRDefault="00C578A9">
            <w:pPr>
              <w:rPr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  <w:t>1,18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6374C" w:rsidRDefault="00C578A9">
            <w:pPr>
              <w:rPr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6374C" w:rsidRDefault="00C578A9">
            <w:pPr>
              <w:rPr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  <w:t>1,06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6374C" w:rsidRDefault="00C578A9">
            <w:pPr>
              <w:rPr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74C" w:rsidRDefault="00C578A9">
            <w:pPr>
              <w:rPr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  <w:t>0,95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6374C" w:rsidRDefault="00C578A9">
            <w:pPr>
              <w:rPr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  <w:t>8</w:t>
            </w:r>
          </w:p>
        </w:tc>
      </w:tr>
      <w:tr w:rsidR="00D6374C">
        <w:trPr>
          <w:trHeight w:val="691"/>
          <w:jc w:val="center"/>
        </w:trPr>
        <w:tc>
          <w:tcPr>
            <w:tcW w:w="34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D6374C" w:rsidRDefault="00C578A9">
            <w:pPr>
              <w:jc w:val="left"/>
              <w:rPr>
                <w:b/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  <w:t>Maksymalna ocena punktowa 20 pkt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CCFFFF"/>
            <w:vAlign w:val="center"/>
          </w:tcPr>
          <w:p w:rsidR="00D6374C" w:rsidRDefault="00C578A9">
            <w:pPr>
              <w:jc w:val="left"/>
              <w:rPr>
                <w:b/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  <w:t>Razem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FFFF"/>
            <w:vAlign w:val="center"/>
          </w:tcPr>
          <w:p w:rsidR="00D6374C" w:rsidRDefault="00C578A9">
            <w:pPr>
              <w:rPr>
                <w:b/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  <w:t>16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CCFFFF"/>
            <w:vAlign w:val="center"/>
          </w:tcPr>
          <w:p w:rsidR="00D6374C" w:rsidRDefault="00D6374C">
            <w:pPr>
              <w:jc w:val="left"/>
              <w:rPr>
                <w:b/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CCFFFF"/>
            <w:vAlign w:val="center"/>
          </w:tcPr>
          <w:p w:rsidR="00D6374C" w:rsidRDefault="00C578A9">
            <w:pPr>
              <w:rPr>
                <w:b/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  <w:t>16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CFFFF"/>
            <w:vAlign w:val="center"/>
          </w:tcPr>
          <w:p w:rsidR="00D6374C" w:rsidRDefault="00D6374C">
            <w:pPr>
              <w:jc w:val="left"/>
              <w:rPr>
                <w:b/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FFFF"/>
            <w:vAlign w:val="center"/>
          </w:tcPr>
          <w:p w:rsidR="00D6374C" w:rsidRDefault="00C578A9">
            <w:pPr>
              <w:rPr>
                <w:b/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  <w:t>18</w:t>
            </w:r>
          </w:p>
        </w:tc>
      </w:tr>
      <w:tr w:rsidR="00D6374C">
        <w:trPr>
          <w:trHeight w:val="687"/>
          <w:jc w:val="center"/>
        </w:trPr>
        <w:tc>
          <w:tcPr>
            <w:tcW w:w="34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noWrap/>
            <w:vAlign w:val="center"/>
          </w:tcPr>
          <w:p w:rsidR="00D6374C" w:rsidRDefault="00C578A9">
            <w:pPr>
              <w:rPr>
                <w:b/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  <w:t>Łączna wartość punktów osiągniętych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D6374C" w:rsidRDefault="00C578A9">
            <w:pPr>
              <w:rPr>
                <w:b/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  <w:t>38 (54,29%)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D6374C" w:rsidRDefault="00C578A9">
            <w:pPr>
              <w:rPr>
                <w:b/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  <w:t>47 (67,14%)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D6374C" w:rsidRDefault="00C578A9">
            <w:pPr>
              <w:rPr>
                <w:b/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  <w:t>49 (70%)</w:t>
            </w:r>
          </w:p>
        </w:tc>
      </w:tr>
      <w:tr w:rsidR="00D6374C">
        <w:trPr>
          <w:trHeight w:val="698"/>
          <w:jc w:val="center"/>
        </w:trPr>
        <w:tc>
          <w:tcPr>
            <w:tcW w:w="34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noWrap/>
            <w:vAlign w:val="center"/>
          </w:tcPr>
          <w:p w:rsidR="00D6374C" w:rsidRDefault="00C578A9">
            <w:pPr>
              <w:rPr>
                <w:b/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  <w:t>Maksymalna wartość punktów możliwych do osiągnięcia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D6374C" w:rsidRDefault="00C578A9">
            <w:pPr>
              <w:rPr>
                <w:b/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  <w:t>70   (100%)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D6374C" w:rsidRDefault="00C578A9">
            <w:pPr>
              <w:rPr>
                <w:b/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  <w:t>70   (100%)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D6374C" w:rsidRDefault="00C578A9">
            <w:pPr>
              <w:rPr>
                <w:b/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  <w:t>70   (100%)</w:t>
            </w:r>
          </w:p>
        </w:tc>
      </w:tr>
    </w:tbl>
    <w:p w:rsidR="00D6374C" w:rsidRDefault="00D6374C">
      <w:pPr>
        <w:spacing w:before="240" w:line="276" w:lineRule="auto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D6374C" w:rsidRDefault="00D6374C">
      <w:pPr>
        <w:spacing w:before="240" w:line="276" w:lineRule="auto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D6374C" w:rsidRDefault="00C578A9">
      <w:pPr>
        <w:spacing w:before="240" w:line="276" w:lineRule="auto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Prognozowane przez MCM „Bałuty” w Łodzi wskaźniki na lata 2021-2023</w:t>
      </w:r>
    </w:p>
    <w:p w:rsidR="00D6374C" w:rsidRDefault="00C578A9">
      <w:pPr>
        <w:numPr>
          <w:ilvl w:val="0"/>
          <w:numId w:val="3"/>
        </w:numPr>
        <w:tabs>
          <w:tab w:val="left" w:pos="360"/>
        </w:tabs>
        <w:spacing w:line="276" w:lineRule="auto"/>
        <w:ind w:left="360"/>
        <w:jc w:val="both"/>
        <w:rPr>
          <w:color w:val="000000"/>
          <w:szCs w:val="20"/>
          <w:u w:val="single"/>
          <w:shd w:val="clear" w:color="auto" w:fill="FFFFFF"/>
          <w:lang w:val="x-none" w:eastAsia="en-US" w:bidi="ar-SA"/>
        </w:rPr>
      </w:pPr>
      <w:r>
        <w:rPr>
          <w:b/>
          <w:color w:val="000000"/>
          <w:szCs w:val="20"/>
          <w:shd w:val="clear" w:color="auto" w:fill="FFFFFF"/>
          <w:lang w:val="x-none" w:eastAsia="en-US" w:bidi="ar-SA"/>
        </w:rPr>
        <w:t>Wskaźniki zyskowności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– MCM „Bałuty” w Łodzi prognozuje znaczny spadek (do wartości ujemnych) wskaźników w 2021 roku oraz ich sukcesywny wzrost (do wartości dodatnich) w latach 2022-2023. </w:t>
      </w:r>
      <w:r>
        <w:rPr>
          <w:color w:val="000000"/>
          <w:szCs w:val="20"/>
          <w:shd w:val="clear" w:color="auto" w:fill="FFFFFF"/>
          <w:lang w:val="x-none" w:eastAsia="en-US" w:bidi="ar-SA"/>
        </w:rPr>
        <w:t>Ma to swoje odzwierciedlenie w wysokości prognozowanych wyników finansowych netto. Należy zaznaczyć, że jest to ostrożna prognoza wynikająca m. in. z realizacji kontraktów z NFZ w 2021 roku, ciągłego wzrostu kosztów pracy oraz stopniowego wychodzenia ze st</w:t>
      </w:r>
      <w:r>
        <w:rPr>
          <w:color w:val="000000"/>
          <w:szCs w:val="20"/>
          <w:shd w:val="clear" w:color="auto" w:fill="FFFFFF"/>
          <w:lang w:val="x-none" w:eastAsia="en-US" w:bidi="ar-SA"/>
        </w:rPr>
        <w:t>anu epidemii.</w:t>
      </w:r>
    </w:p>
    <w:p w:rsidR="00D6374C" w:rsidRDefault="00C578A9">
      <w:pPr>
        <w:numPr>
          <w:ilvl w:val="0"/>
          <w:numId w:val="3"/>
        </w:numPr>
        <w:tabs>
          <w:tab w:val="left" w:pos="360"/>
        </w:tabs>
        <w:spacing w:line="276" w:lineRule="auto"/>
        <w:ind w:left="360"/>
        <w:jc w:val="both"/>
        <w:rPr>
          <w:color w:val="000000"/>
          <w:szCs w:val="20"/>
          <w:u w:val="single"/>
          <w:shd w:val="clear" w:color="auto" w:fill="FFFFFF"/>
          <w:lang w:val="x-none" w:eastAsia="en-US" w:bidi="ar-SA"/>
        </w:rPr>
      </w:pPr>
      <w:r>
        <w:rPr>
          <w:b/>
          <w:color w:val="000000"/>
          <w:szCs w:val="20"/>
          <w:shd w:val="clear" w:color="auto" w:fill="FFFFFF"/>
          <w:lang w:val="x-none" w:eastAsia="en-US" w:bidi="ar-SA"/>
        </w:rPr>
        <w:t>Wskaźniki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</w:t>
      </w:r>
      <w:r>
        <w:rPr>
          <w:b/>
          <w:color w:val="000000"/>
          <w:szCs w:val="20"/>
          <w:shd w:val="clear" w:color="auto" w:fill="FFFFFF"/>
          <w:lang w:val="x-none" w:eastAsia="en-US" w:bidi="ar-SA"/>
        </w:rPr>
        <w:t>płynności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– zgodnie z przyjętymi założeniami MCM „Bałuty” w Łodzi prognozuje zachować płynność finansową w przedziale 0,77-0,71. Oznacza to utrzymanie poziomu wypłacalności na dotychczasowym poziomie przy jednoczesnym braku znacznej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kumulacji środków finansowych. Na obecną chwilę można stwierdzić, że funkcjonowanie jednostki nie będzie wymagało zaangażowania po stronie Miasta Łodzi.</w:t>
      </w:r>
    </w:p>
    <w:p w:rsidR="00D6374C" w:rsidRDefault="00C578A9">
      <w:pPr>
        <w:numPr>
          <w:ilvl w:val="0"/>
          <w:numId w:val="3"/>
        </w:numPr>
        <w:tabs>
          <w:tab w:val="left" w:pos="360"/>
        </w:tabs>
        <w:spacing w:line="276" w:lineRule="auto"/>
        <w:ind w:left="360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olor w:val="000000"/>
          <w:szCs w:val="20"/>
          <w:shd w:val="clear" w:color="auto" w:fill="FFFFFF"/>
          <w:lang w:val="x-none" w:eastAsia="en-US" w:bidi="ar-SA"/>
        </w:rPr>
        <w:t>Wskaźniki efektywności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– prognoza przewiduje utrzymanie dotychczasowego poziomu w zakresie </w:t>
      </w:r>
      <w:r>
        <w:rPr>
          <w:b/>
          <w:color w:val="000000"/>
          <w:szCs w:val="20"/>
          <w:shd w:val="clear" w:color="auto" w:fill="FFFFFF"/>
          <w:lang w:val="x-none" w:eastAsia="en-US" w:bidi="ar-SA"/>
        </w:rPr>
        <w:t>rotacji nal</w:t>
      </w:r>
      <w:r>
        <w:rPr>
          <w:b/>
          <w:color w:val="000000"/>
          <w:szCs w:val="20"/>
          <w:shd w:val="clear" w:color="auto" w:fill="FFFFFF"/>
          <w:lang w:val="x-none" w:eastAsia="en-US" w:bidi="ar-SA"/>
        </w:rPr>
        <w:t>eżności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(30-32 dni) oraz niewielki wzrost w przypadku </w:t>
      </w:r>
      <w:r>
        <w:rPr>
          <w:b/>
          <w:color w:val="000000"/>
          <w:szCs w:val="20"/>
          <w:shd w:val="clear" w:color="auto" w:fill="FFFFFF"/>
          <w:lang w:val="x-none" w:eastAsia="en-US" w:bidi="ar-SA"/>
        </w:rPr>
        <w:t>rotacji zobowiązań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(9-10 dni). MCM „Bałuty” w Łodzi nie przewiduje pojawienia się problemów z terminowym uzyskiwaniem należności oraz pokrywaniem zobowiązań.</w:t>
      </w:r>
    </w:p>
    <w:p w:rsidR="00D6374C" w:rsidRDefault="00C578A9">
      <w:pPr>
        <w:numPr>
          <w:ilvl w:val="0"/>
          <w:numId w:val="3"/>
        </w:numPr>
        <w:tabs>
          <w:tab w:val="left" w:pos="360"/>
        </w:tabs>
        <w:spacing w:after="200" w:line="276" w:lineRule="auto"/>
        <w:ind w:left="360"/>
        <w:jc w:val="both"/>
        <w:rPr>
          <w:color w:val="000000"/>
          <w:szCs w:val="20"/>
          <w:u w:val="single"/>
          <w:shd w:val="clear" w:color="auto" w:fill="FFFFFF"/>
          <w:lang w:val="x-none" w:eastAsia="en-US" w:bidi="ar-SA"/>
        </w:rPr>
      </w:pPr>
      <w:r>
        <w:rPr>
          <w:b/>
          <w:color w:val="000000"/>
          <w:szCs w:val="20"/>
          <w:shd w:val="clear" w:color="auto" w:fill="FFFFFF"/>
          <w:lang w:val="x-none" w:eastAsia="en-US" w:bidi="ar-SA"/>
        </w:rPr>
        <w:t>Wskaźniki zadłużenia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– prognozowane wielkośc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i pozostają na podobnym poziomie </w:t>
      </w:r>
      <w:r>
        <w:rPr>
          <w:color w:val="000000"/>
          <w:szCs w:val="20"/>
          <w:shd w:val="clear" w:color="auto" w:fill="FFFFFF"/>
          <w:lang w:val="x-none" w:eastAsia="en-US" w:bidi="ar-SA"/>
        </w:rPr>
        <w:br/>
        <w:t xml:space="preserve">jak w 2020 roku, na co wpływ ma niepewność w dalszym kontraktowaniu świadczeń zdrowotnych przez NFZ. W przypadku prognozy wskaźników na: 2021 rok (zadłużenie aktywów 28% i wypłacalności 1,18); 2022 rok (zadłużenie aktywów </w:t>
      </w:r>
      <w:r>
        <w:rPr>
          <w:color w:val="000000"/>
          <w:szCs w:val="20"/>
          <w:shd w:val="clear" w:color="auto" w:fill="FFFFFF"/>
          <w:lang w:val="x-none" w:eastAsia="en-US" w:bidi="ar-SA"/>
        </w:rPr>
        <w:t>26% i wypłacalności 1,06); 2023 rok (zadłużenie aktywów 24% i wypłacalności 0,95), wszystkie uzyskują akceptowalną wielkość oraz potwierdzają stabilną sytuację finansową jednostki. W tym kontekście kluczowym problemem w przyszłości mogą być: zabezpieczenie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kadry medycznej, w celu realizacji świadczeń oraz działania nakładane na jednostkę w związku z obowiązującym stanem pandemii, generujące dodatkowe koszty i uniemożliwiające realizację kontraktów.</w:t>
      </w:r>
    </w:p>
    <w:p w:rsidR="00D6374C" w:rsidRDefault="00C578A9">
      <w:pPr>
        <w:spacing w:line="276" w:lineRule="auto"/>
        <w:jc w:val="both"/>
        <w:rPr>
          <w:b/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olor w:val="000000"/>
          <w:szCs w:val="20"/>
          <w:shd w:val="clear" w:color="auto" w:fill="FFFFFF"/>
          <w:lang w:val="x-none" w:eastAsia="en-US" w:bidi="ar-SA"/>
        </w:rPr>
        <w:t>Prognoza MCM „Bałuty” w Łodzi na lata 2021-2023 (zł)</w:t>
      </w:r>
    </w:p>
    <w:tbl>
      <w:tblPr>
        <w:tblW w:w="9014" w:type="dxa"/>
        <w:tblInd w:w="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91"/>
        <w:gridCol w:w="713"/>
        <w:gridCol w:w="6"/>
        <w:gridCol w:w="900"/>
        <w:gridCol w:w="1079"/>
        <w:gridCol w:w="720"/>
        <w:gridCol w:w="1264"/>
        <w:gridCol w:w="900"/>
        <w:gridCol w:w="1441"/>
      </w:tblGrid>
      <w:tr w:rsidR="00D6374C">
        <w:trPr>
          <w:trHeight w:val="257"/>
        </w:trPr>
        <w:tc>
          <w:tcPr>
            <w:tcW w:w="1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noWrap/>
            <w:vAlign w:val="center"/>
          </w:tcPr>
          <w:p w:rsidR="00D6374C" w:rsidRDefault="00C578A9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  <w:t xml:space="preserve">Dane </w:t>
            </w:r>
            <w:r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  <w:t>bilansowe</w:t>
            </w:r>
          </w:p>
        </w:tc>
        <w:tc>
          <w:tcPr>
            <w:tcW w:w="71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D6374C" w:rsidRDefault="00C578A9">
            <w:pPr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  <w:t> </w:t>
            </w:r>
          </w:p>
        </w:tc>
        <w:tc>
          <w:tcPr>
            <w:tcW w:w="90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D6374C" w:rsidRDefault="00C578A9">
            <w:pPr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  <w:t>2021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6374C" w:rsidRDefault="00C578A9">
            <w:pPr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  <w:t>wartość</w:t>
            </w:r>
          </w:p>
        </w:tc>
        <w:tc>
          <w:tcPr>
            <w:tcW w:w="7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D6374C" w:rsidRDefault="00C578A9">
            <w:pPr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  <w:t>2022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6374C" w:rsidRDefault="00C578A9">
            <w:pPr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  <w:t>wartość</w:t>
            </w:r>
          </w:p>
        </w:tc>
        <w:tc>
          <w:tcPr>
            <w:tcW w:w="90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D6374C" w:rsidRDefault="00C578A9">
            <w:pPr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  <w:t>2023</w:t>
            </w:r>
          </w:p>
        </w:tc>
        <w:tc>
          <w:tcPr>
            <w:tcW w:w="14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6374C" w:rsidRDefault="00C578A9">
            <w:pPr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  <w:t>wartość</w:t>
            </w:r>
          </w:p>
        </w:tc>
      </w:tr>
      <w:tr w:rsidR="00D6374C">
        <w:trPr>
          <w:trHeight w:val="636"/>
        </w:trPr>
        <w:tc>
          <w:tcPr>
            <w:tcW w:w="27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6374C" w:rsidRDefault="00C578A9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  <w:t xml:space="preserve">Wynik finansowy netto                                             trend: </w:t>
            </w:r>
            <w:r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  <w:br/>
            </w:r>
            <w:r>
              <w:rPr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  <w:t>rosnący</w:t>
            </w:r>
            <w:r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  <w:t xml:space="preserve"> / malejący /stały</w:t>
            </w:r>
          </w:p>
        </w:tc>
        <w:tc>
          <w:tcPr>
            <w:tcW w:w="19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bottom"/>
          </w:tcPr>
          <w:p w:rsidR="00D6374C" w:rsidRDefault="00C578A9">
            <w:pPr>
              <w:jc w:val="righ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  <w:t>-115.848</w:t>
            </w:r>
          </w:p>
        </w:tc>
        <w:tc>
          <w:tcPr>
            <w:tcW w:w="19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bottom"/>
          </w:tcPr>
          <w:p w:rsidR="00D6374C" w:rsidRDefault="00C578A9">
            <w:pPr>
              <w:jc w:val="righ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  <w:t>162.047</w:t>
            </w:r>
          </w:p>
        </w:tc>
        <w:tc>
          <w:tcPr>
            <w:tcW w:w="234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bottom"/>
          </w:tcPr>
          <w:p w:rsidR="00D6374C" w:rsidRDefault="00C578A9">
            <w:pPr>
              <w:jc w:val="righ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  <w:t>290.047</w:t>
            </w:r>
          </w:p>
        </w:tc>
      </w:tr>
      <w:tr w:rsidR="00D6374C">
        <w:trPr>
          <w:trHeight w:val="81"/>
        </w:trPr>
        <w:tc>
          <w:tcPr>
            <w:tcW w:w="901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6374C" w:rsidRDefault="00C578A9">
            <w:pPr>
              <w:jc w:val="left"/>
              <w:rPr>
                <w:i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i/>
                <w:color w:val="000000"/>
                <w:szCs w:val="20"/>
                <w:shd w:val="clear" w:color="auto" w:fill="FFFFFF"/>
                <w:lang w:val="x-none" w:eastAsia="en-US" w:bidi="ar-SA"/>
              </w:rPr>
              <w:t>wnioski : załamanie w 2021 roku ze względu na niepełną realizację kontraktów z</w:t>
            </w:r>
            <w:r>
              <w:rPr>
                <w:i/>
                <w:color w:val="000000"/>
                <w:szCs w:val="20"/>
                <w:shd w:val="clear" w:color="auto" w:fill="FFFFFF"/>
                <w:lang w:val="x-none" w:eastAsia="en-US" w:bidi="ar-SA"/>
              </w:rPr>
              <w:t xml:space="preserve"> NFZ oraz poprawa sytuacji w kolejnych latach w wyniku wychodzenia ze stanu pandemii.</w:t>
            </w:r>
          </w:p>
        </w:tc>
      </w:tr>
      <w:tr w:rsidR="00D6374C">
        <w:trPr>
          <w:trHeight w:val="527"/>
        </w:trPr>
        <w:tc>
          <w:tcPr>
            <w:tcW w:w="27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6374C" w:rsidRDefault="00C578A9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  <w:t xml:space="preserve">Majątek trwały                                                         trend: </w:t>
            </w:r>
            <w:r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  <w:br/>
              <w:t>rosnący / malejący /</w:t>
            </w:r>
            <w:r>
              <w:rPr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  <w:t>stały</w:t>
            </w:r>
          </w:p>
        </w:tc>
        <w:tc>
          <w:tcPr>
            <w:tcW w:w="19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bottom"/>
          </w:tcPr>
          <w:p w:rsidR="00D6374C" w:rsidRDefault="00C578A9">
            <w:pPr>
              <w:jc w:val="righ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  <w:t>26.152.144</w:t>
            </w:r>
          </w:p>
        </w:tc>
        <w:tc>
          <w:tcPr>
            <w:tcW w:w="19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bottom"/>
          </w:tcPr>
          <w:p w:rsidR="00D6374C" w:rsidRDefault="00C578A9">
            <w:pPr>
              <w:jc w:val="righ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  <w:t>26.152.074</w:t>
            </w:r>
          </w:p>
        </w:tc>
        <w:tc>
          <w:tcPr>
            <w:tcW w:w="234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bottom"/>
          </w:tcPr>
          <w:p w:rsidR="00D6374C" w:rsidRDefault="00C578A9">
            <w:pPr>
              <w:jc w:val="righ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  <w:t>26.152.074</w:t>
            </w:r>
          </w:p>
        </w:tc>
      </w:tr>
      <w:tr w:rsidR="00D6374C">
        <w:trPr>
          <w:trHeight w:val="398"/>
        </w:trPr>
        <w:tc>
          <w:tcPr>
            <w:tcW w:w="901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6374C" w:rsidRDefault="00C578A9">
            <w:pPr>
              <w:jc w:val="left"/>
              <w:rPr>
                <w:i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i/>
                <w:color w:val="000000"/>
                <w:szCs w:val="20"/>
                <w:shd w:val="clear" w:color="auto" w:fill="FFFFFF"/>
                <w:lang w:val="x-none" w:eastAsia="en-US" w:bidi="ar-SA"/>
              </w:rPr>
              <w:t xml:space="preserve">wnioski: wartość majątku </w:t>
            </w:r>
            <w:r>
              <w:rPr>
                <w:i/>
                <w:color w:val="000000"/>
                <w:szCs w:val="20"/>
                <w:shd w:val="clear" w:color="auto" w:fill="FFFFFF"/>
                <w:lang w:val="x-none" w:eastAsia="en-US" w:bidi="ar-SA"/>
              </w:rPr>
              <w:t>trwałego pozostaje na stałym poziomie.</w:t>
            </w:r>
          </w:p>
        </w:tc>
      </w:tr>
      <w:tr w:rsidR="00D6374C">
        <w:trPr>
          <w:trHeight w:val="705"/>
        </w:trPr>
        <w:tc>
          <w:tcPr>
            <w:tcW w:w="27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6374C" w:rsidRDefault="00C578A9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  <w:t xml:space="preserve">Kapitał własny                                                 trend: </w:t>
            </w:r>
            <w:r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  <w:br/>
            </w:r>
            <w:r>
              <w:rPr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  <w:t>rosnący</w:t>
            </w:r>
            <w:r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  <w:t xml:space="preserve"> / malejący / stały</w:t>
            </w:r>
          </w:p>
        </w:tc>
        <w:tc>
          <w:tcPr>
            <w:tcW w:w="19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bottom"/>
          </w:tcPr>
          <w:p w:rsidR="00D6374C" w:rsidRDefault="00C578A9">
            <w:pPr>
              <w:jc w:val="righ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  <w:t>7.523.351</w:t>
            </w:r>
          </w:p>
        </w:tc>
        <w:tc>
          <w:tcPr>
            <w:tcW w:w="19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bottom"/>
          </w:tcPr>
          <w:p w:rsidR="00D6374C" w:rsidRDefault="00C578A9">
            <w:pPr>
              <w:jc w:val="righ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  <w:t>7.685.398</w:t>
            </w:r>
          </w:p>
        </w:tc>
        <w:tc>
          <w:tcPr>
            <w:tcW w:w="234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bottom"/>
          </w:tcPr>
          <w:p w:rsidR="00D6374C" w:rsidRDefault="00C578A9">
            <w:pPr>
              <w:jc w:val="righ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  <w:t>7.975.445</w:t>
            </w:r>
          </w:p>
        </w:tc>
      </w:tr>
      <w:tr w:rsidR="00D6374C">
        <w:trPr>
          <w:trHeight w:val="376"/>
        </w:trPr>
        <w:tc>
          <w:tcPr>
            <w:tcW w:w="901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6374C" w:rsidRDefault="00C578A9">
            <w:pPr>
              <w:jc w:val="left"/>
              <w:rPr>
                <w:i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i/>
                <w:color w:val="000000"/>
                <w:szCs w:val="20"/>
                <w:shd w:val="clear" w:color="auto" w:fill="FFFFFF"/>
                <w:lang w:val="x-none" w:eastAsia="en-US" w:bidi="ar-SA"/>
              </w:rPr>
              <w:t xml:space="preserve">wnioski: trend rosnący w wyniku planowanego dodatniego wyniku finansowego w kolejnych </w:t>
            </w:r>
            <w:r>
              <w:rPr>
                <w:i/>
                <w:color w:val="000000"/>
                <w:szCs w:val="20"/>
                <w:shd w:val="clear" w:color="auto" w:fill="FFFFFF"/>
                <w:lang w:val="x-none" w:eastAsia="en-US" w:bidi="ar-SA"/>
              </w:rPr>
              <w:t>latach prognozy.</w:t>
            </w:r>
          </w:p>
        </w:tc>
      </w:tr>
      <w:tr w:rsidR="00D6374C">
        <w:trPr>
          <w:trHeight w:val="263"/>
        </w:trPr>
        <w:tc>
          <w:tcPr>
            <w:tcW w:w="27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6374C" w:rsidRDefault="00C578A9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  <w:lastRenderedPageBreak/>
              <w:t xml:space="preserve">Wynik finansowy ze sprzedaży                                             </w:t>
            </w:r>
          </w:p>
        </w:tc>
        <w:tc>
          <w:tcPr>
            <w:tcW w:w="1986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bottom"/>
          </w:tcPr>
          <w:p w:rsidR="00D6374C" w:rsidRDefault="00C578A9">
            <w:pPr>
              <w:jc w:val="righ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  <w:t>-1.327.348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bottom"/>
          </w:tcPr>
          <w:p w:rsidR="00D6374C" w:rsidRDefault="00C578A9">
            <w:pPr>
              <w:jc w:val="righ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  <w:t>-817.953</w:t>
            </w:r>
          </w:p>
        </w:tc>
        <w:tc>
          <w:tcPr>
            <w:tcW w:w="233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bottom"/>
          </w:tcPr>
          <w:p w:rsidR="00D6374C" w:rsidRDefault="00C578A9">
            <w:pPr>
              <w:jc w:val="righ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  <w:t>-689.953</w:t>
            </w:r>
          </w:p>
        </w:tc>
      </w:tr>
      <w:tr w:rsidR="00D6374C">
        <w:trPr>
          <w:trHeight w:val="400"/>
        </w:trPr>
        <w:tc>
          <w:tcPr>
            <w:tcW w:w="27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6374C" w:rsidRDefault="00C578A9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  <w:t>Wynik finansowy z działalności operacyjnej</w:t>
            </w:r>
          </w:p>
        </w:tc>
        <w:tc>
          <w:tcPr>
            <w:tcW w:w="1986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bottom"/>
          </w:tcPr>
          <w:p w:rsidR="00D6374C" w:rsidRDefault="00C578A9">
            <w:pPr>
              <w:jc w:val="righ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  <w:t>-35.348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bottom"/>
          </w:tcPr>
          <w:p w:rsidR="00D6374C" w:rsidRDefault="00C578A9">
            <w:pPr>
              <w:jc w:val="righ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  <w:t>242.047</w:t>
            </w:r>
          </w:p>
        </w:tc>
        <w:tc>
          <w:tcPr>
            <w:tcW w:w="233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bottom"/>
          </w:tcPr>
          <w:p w:rsidR="00D6374C" w:rsidRDefault="00C578A9">
            <w:pPr>
              <w:jc w:val="righ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  <w:t>370.047</w:t>
            </w:r>
          </w:p>
        </w:tc>
      </w:tr>
      <w:tr w:rsidR="00D6374C">
        <w:trPr>
          <w:trHeight w:val="312"/>
        </w:trPr>
        <w:tc>
          <w:tcPr>
            <w:tcW w:w="27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6374C" w:rsidRDefault="00C578A9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  <w:t xml:space="preserve">Koszty amortyzacji                                              </w:t>
            </w:r>
          </w:p>
        </w:tc>
        <w:tc>
          <w:tcPr>
            <w:tcW w:w="1986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bottom"/>
          </w:tcPr>
          <w:p w:rsidR="00D6374C" w:rsidRDefault="00C578A9">
            <w:pPr>
              <w:jc w:val="righ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  <w:t>1.560.000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bottom"/>
          </w:tcPr>
          <w:p w:rsidR="00D6374C" w:rsidRDefault="00C578A9">
            <w:pPr>
              <w:jc w:val="righ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  <w:t>1.400.000</w:t>
            </w:r>
          </w:p>
        </w:tc>
        <w:tc>
          <w:tcPr>
            <w:tcW w:w="233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bottom"/>
          </w:tcPr>
          <w:p w:rsidR="00D6374C" w:rsidRDefault="00C578A9">
            <w:pPr>
              <w:jc w:val="righ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  <w:t>1.400.000</w:t>
            </w:r>
          </w:p>
        </w:tc>
      </w:tr>
      <w:tr w:rsidR="00D6374C">
        <w:trPr>
          <w:trHeight w:val="401"/>
        </w:trPr>
        <w:tc>
          <w:tcPr>
            <w:tcW w:w="27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6374C" w:rsidRDefault="00C578A9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  <w:t>Wynik finansowy netto po dodaniu kosztów amortyzacji</w:t>
            </w:r>
          </w:p>
        </w:tc>
        <w:tc>
          <w:tcPr>
            <w:tcW w:w="1986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bottom"/>
          </w:tcPr>
          <w:p w:rsidR="00D6374C" w:rsidRDefault="00C578A9">
            <w:pPr>
              <w:jc w:val="righ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  <w:t>1.444.152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bottom"/>
          </w:tcPr>
          <w:p w:rsidR="00D6374C" w:rsidRDefault="00C578A9">
            <w:pPr>
              <w:jc w:val="righ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  <w:t>1.562.047</w:t>
            </w:r>
          </w:p>
        </w:tc>
        <w:tc>
          <w:tcPr>
            <w:tcW w:w="233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bottom"/>
          </w:tcPr>
          <w:p w:rsidR="00D6374C" w:rsidRDefault="00C578A9">
            <w:pPr>
              <w:jc w:val="righ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  <w:t>1.690.047</w:t>
            </w:r>
          </w:p>
        </w:tc>
      </w:tr>
    </w:tbl>
    <w:p w:rsidR="00D6374C" w:rsidRDefault="00C578A9">
      <w:pPr>
        <w:spacing w:before="240" w:after="200" w:line="276" w:lineRule="auto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Według MCM „Bałuty” w Łodzi podstawą do stworzenia prognozy na lata 2021-2023 było rzeczywiste wykonanie w roku 2020 przychodów i kosztów oraz korekta planu finansowego </w:t>
      </w:r>
      <w:r>
        <w:rPr>
          <w:color w:val="000000"/>
          <w:szCs w:val="20"/>
          <w:shd w:val="clear" w:color="auto" w:fill="FFFFFF"/>
          <w:lang w:val="x-none" w:eastAsia="en-US" w:bidi="ar-SA"/>
        </w:rPr>
        <w:br/>
        <w:t>i rzeczowo-inwestycyjnego na 2021 rok z dnia 30</w:t>
      </w:r>
      <w:r>
        <w:rPr>
          <w:color w:val="000000"/>
          <w:szCs w:val="20"/>
          <w:shd w:val="clear" w:color="auto" w:fill="FFFFFF"/>
        </w:rPr>
        <w:t xml:space="preserve"> czerwca </w:t>
      </w:r>
      <w:r>
        <w:rPr>
          <w:color w:val="000000"/>
          <w:szCs w:val="20"/>
          <w:shd w:val="clear" w:color="auto" w:fill="FFFFFF"/>
          <w:lang w:val="x-none" w:eastAsia="en-US" w:bidi="ar-SA"/>
        </w:rPr>
        <w:t>2021 roku stworzonego na bazie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analizy wyników za I kwartał. Przyjęto w nim założenie kontynuacji realizacji świadczeń </w:t>
      </w:r>
      <w:r>
        <w:rPr>
          <w:color w:val="000000"/>
          <w:szCs w:val="20"/>
          <w:shd w:val="clear" w:color="auto" w:fill="FFFFFF"/>
          <w:lang w:val="x-none" w:eastAsia="en-US" w:bidi="ar-SA"/>
        </w:rPr>
        <w:br/>
        <w:t xml:space="preserve">w dotychczasowym zakresie, czyli w ramach POZ, AOS, rehabilitacji oraz stomatologii </w:t>
      </w:r>
      <w:r>
        <w:rPr>
          <w:color w:val="000000"/>
          <w:szCs w:val="20"/>
          <w:shd w:val="clear" w:color="auto" w:fill="FFFFFF"/>
          <w:lang w:val="x-none" w:eastAsia="en-US" w:bidi="ar-SA"/>
        </w:rPr>
        <w:br/>
        <w:t>i ortodoncji. Uwzględniono w niej również regulacje prawne dotyczące finansowania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świadczeń medycznych, wynagrodzeń personelu medycznego i niemedycznego, ryczałtu systemu Podstawowej Opieki Zdrowotnej, wykazu świadczeń opieki zdrowotnej wymagających ustalenia odrębnego finansowania, jak również innych regulacji prawnych m. in. wprowadz</w:t>
      </w:r>
      <w:r>
        <w:rPr>
          <w:color w:val="000000"/>
          <w:szCs w:val="20"/>
          <w:shd w:val="clear" w:color="auto" w:fill="FFFFFF"/>
          <w:lang w:val="x-none" w:eastAsia="en-US" w:bidi="ar-SA"/>
        </w:rPr>
        <w:t>enia Pracowniczych Planów Kapitałowych, które wpływają na wielkość wykonywanych kosztów (1,5% wynagrodzenia pracownika brutto pokrywa pracodawca).</w:t>
      </w:r>
    </w:p>
    <w:p w:rsidR="00D6374C" w:rsidRDefault="00C578A9">
      <w:pPr>
        <w:spacing w:before="240" w:after="200" w:line="276" w:lineRule="auto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Prognoza na 2021 rok powstała w oparciu o obowiązujące umowy, wśród których należy wskazać na: </w:t>
      </w:r>
      <w:r>
        <w:rPr>
          <w:b/>
          <w:color w:val="000000"/>
          <w:szCs w:val="20"/>
          <w:shd w:val="clear" w:color="auto" w:fill="FFFFFF"/>
          <w:lang w:val="x-none" w:eastAsia="en-US" w:bidi="ar-SA"/>
        </w:rPr>
        <w:t>kontakt z NFZ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(26,8 mln zł); </w:t>
      </w:r>
      <w:r>
        <w:rPr>
          <w:b/>
          <w:color w:val="000000"/>
          <w:szCs w:val="20"/>
          <w:shd w:val="clear" w:color="auto" w:fill="FFFFFF"/>
          <w:lang w:val="x-none" w:eastAsia="en-US" w:bidi="ar-SA"/>
        </w:rPr>
        <w:t>umowy z Miastem Łódź na prowadzenie programów profilaktycznych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</w:t>
      </w:r>
      <w:r>
        <w:rPr>
          <w:color w:val="000000"/>
          <w:szCs w:val="20"/>
          <w:shd w:val="clear" w:color="auto" w:fill="FFFFFF"/>
        </w:rPr>
        <w:t xml:space="preserve"> - planowane do realizacji w 2021 r. i wynikające z zawartych umów (500 tys. zł) 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taki</w:t>
      </w:r>
      <w:r>
        <w:rPr>
          <w:color w:val="000000"/>
          <w:szCs w:val="20"/>
          <w:shd w:val="clear" w:color="auto" w:fill="FFFFFF"/>
        </w:rPr>
        <w:t>e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jak Miejski Program Profilaktyki i Rozwiązania Problemów Alkoholowych oraz Centrum Zdroweg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o i Aktywnego Seniora </w:t>
      </w:r>
      <w:r>
        <w:rPr>
          <w:color w:val="000000"/>
          <w:szCs w:val="20"/>
          <w:shd w:val="clear" w:color="auto" w:fill="FFFFFF"/>
          <w:lang w:val="x-none" w:eastAsia="en-US" w:bidi="ar-SA"/>
        </w:rPr>
        <w:br/>
        <w:t xml:space="preserve">– profilaktyka i promocja zdrowia; </w:t>
      </w:r>
      <w:r>
        <w:rPr>
          <w:b/>
          <w:color w:val="000000"/>
          <w:szCs w:val="20"/>
          <w:shd w:val="clear" w:color="auto" w:fill="FFFFFF"/>
          <w:lang w:val="x-none" w:eastAsia="en-US" w:bidi="ar-SA"/>
        </w:rPr>
        <w:t>sprzedaż usług medycznych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(350 tys. zł), </w:t>
      </w:r>
      <w:r>
        <w:rPr>
          <w:color w:val="000000"/>
          <w:szCs w:val="20"/>
          <w:shd w:val="clear" w:color="auto" w:fill="FFFFFF"/>
          <w:lang w:val="x-none" w:eastAsia="en-US" w:bidi="ar-SA"/>
        </w:rPr>
        <w:br/>
        <w:t xml:space="preserve">jak również </w:t>
      </w:r>
      <w:r>
        <w:rPr>
          <w:b/>
          <w:color w:val="000000"/>
          <w:szCs w:val="20"/>
          <w:shd w:val="clear" w:color="auto" w:fill="FFFFFF"/>
          <w:lang w:val="x-none" w:eastAsia="en-US" w:bidi="ar-SA"/>
        </w:rPr>
        <w:t>wynajem pomieszczeń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(375,4 tys. zł). </w:t>
      </w:r>
    </w:p>
    <w:p w:rsidR="00D6374C" w:rsidRDefault="00C578A9">
      <w:pPr>
        <w:spacing w:before="240" w:after="200" w:line="276" w:lineRule="auto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W latach 2022-2023 jednostka zakłada utrzymanie działalności w dotychczasowym zakresie przy potencjalnych </w:t>
      </w:r>
      <w:r>
        <w:rPr>
          <w:color w:val="000000"/>
          <w:szCs w:val="20"/>
          <w:shd w:val="clear" w:color="auto" w:fill="FFFFFF"/>
          <w:lang w:val="x-none" w:eastAsia="en-US" w:bidi="ar-SA"/>
        </w:rPr>
        <w:t>zmianach w finansowaniu ze strony NFZ oraz braku wiedzy co do zakresu prowadzonych programów profilaktycznych w przyszłości. W związku z tym, planowane roczne przychody wyniosą m.</w:t>
      </w:r>
      <w:r>
        <w:rPr>
          <w:color w:val="000000"/>
          <w:szCs w:val="20"/>
          <w:shd w:val="clear" w:color="auto" w:fill="FFFFFF"/>
        </w:rPr>
        <w:t xml:space="preserve"> 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in. w ramach: </w:t>
      </w:r>
      <w:r>
        <w:rPr>
          <w:b/>
          <w:color w:val="000000"/>
          <w:szCs w:val="20"/>
          <w:shd w:val="clear" w:color="auto" w:fill="FFFFFF"/>
          <w:lang w:val="x-none" w:eastAsia="en-US" w:bidi="ar-SA"/>
        </w:rPr>
        <w:t>umów z NFZ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(27,87 mln zł), </w:t>
      </w:r>
      <w:r>
        <w:rPr>
          <w:b/>
          <w:color w:val="000000"/>
          <w:szCs w:val="20"/>
          <w:shd w:val="clear" w:color="auto" w:fill="FFFFFF"/>
          <w:lang w:val="x-none" w:eastAsia="en-US" w:bidi="ar-SA"/>
        </w:rPr>
        <w:t xml:space="preserve">umów z Miastem Łódź na prowadzenie </w:t>
      </w:r>
      <w:r>
        <w:rPr>
          <w:b/>
          <w:color w:val="000000"/>
          <w:szCs w:val="20"/>
          <w:shd w:val="clear" w:color="auto" w:fill="FFFFFF"/>
          <w:lang w:val="x-none" w:eastAsia="en-US" w:bidi="ar-SA"/>
        </w:rPr>
        <w:t>programów profilaktycznych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(400,5 tys. zł), </w:t>
      </w:r>
      <w:r>
        <w:rPr>
          <w:b/>
          <w:color w:val="000000"/>
          <w:szCs w:val="20"/>
          <w:shd w:val="clear" w:color="auto" w:fill="FFFFFF"/>
          <w:lang w:val="x-none" w:eastAsia="en-US" w:bidi="ar-SA"/>
        </w:rPr>
        <w:t>sprzedaż usług medycznych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(400 tys. zł), jak również </w:t>
      </w:r>
      <w:r>
        <w:rPr>
          <w:b/>
          <w:color w:val="000000"/>
          <w:szCs w:val="20"/>
          <w:shd w:val="clear" w:color="auto" w:fill="FFFFFF"/>
          <w:lang w:val="x-none" w:eastAsia="en-US" w:bidi="ar-SA"/>
        </w:rPr>
        <w:t>wynajem pomieszczeń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(380 tys. zł).</w:t>
      </w:r>
    </w:p>
    <w:p w:rsidR="00D6374C" w:rsidRDefault="00C578A9">
      <w:pPr>
        <w:spacing w:after="200" w:line="276" w:lineRule="auto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W kolejnych latach prognozuje się dalszy wzrost przychodów (ogółem) i kosztów (ogółem): w 2021 roku przychody: 29.409.392 zł</w:t>
      </w:r>
      <w:r>
        <w:rPr>
          <w:color w:val="000000"/>
          <w:szCs w:val="20"/>
          <w:shd w:val="clear" w:color="auto" w:fill="FFFFFF"/>
          <w:lang w:val="x-none" w:eastAsia="en-US" w:bidi="ar-SA"/>
        </w:rPr>
        <w:t>, koszty: 29.524.740 zł, w 2022 roku przychody: 30.158.847 zł, koszty: 29.996.800 zł, a w 2023 roku przychody: 30.158.847 zł, koszty: 29.868.800 zł. W związku z tym, wynik finansowy kształtował się będzie następująco: w 2021 roku wyniesie -115.348 zł, w 20</w:t>
      </w:r>
      <w:r>
        <w:rPr>
          <w:color w:val="000000"/>
          <w:szCs w:val="20"/>
          <w:shd w:val="clear" w:color="auto" w:fill="FFFFFF"/>
          <w:lang w:val="x-none" w:eastAsia="en-US" w:bidi="ar-SA"/>
        </w:rPr>
        <w:t>22 roku osiągnie poziom 162.047 zł, a w 2023 roku wyniesie 290.047 zł. Ujemny wynik w 2021 roku wynika w szczególności ze zwiększeni</w:t>
      </w:r>
      <w:r>
        <w:rPr>
          <w:color w:val="000000"/>
          <w:szCs w:val="20"/>
          <w:shd w:val="clear" w:color="auto" w:fill="FFFFFF"/>
        </w:rPr>
        <w:t>a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się kosztów działalności, m. in. w wyniku wzrostu wynagrodzeń (na mocy ustawy z dnia 8 </w:t>
      </w:r>
      <w:r>
        <w:rPr>
          <w:color w:val="000000"/>
          <w:szCs w:val="20"/>
          <w:shd w:val="clear" w:color="auto" w:fill="FFFFFF"/>
        </w:rPr>
        <w:t xml:space="preserve">czerwca </w:t>
      </w:r>
      <w:r>
        <w:rPr>
          <w:color w:val="000000"/>
          <w:szCs w:val="20"/>
          <w:shd w:val="clear" w:color="auto" w:fill="FFFFFF"/>
          <w:lang w:val="x-none" w:eastAsia="en-US" w:bidi="ar-SA"/>
        </w:rPr>
        <w:t>20</w:t>
      </w:r>
      <w:r>
        <w:rPr>
          <w:color w:val="000000"/>
          <w:szCs w:val="20"/>
          <w:shd w:val="clear" w:color="auto" w:fill="FFFFFF"/>
        </w:rPr>
        <w:t>17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</w:t>
      </w:r>
      <w:r>
        <w:rPr>
          <w:color w:val="000000"/>
          <w:szCs w:val="20"/>
          <w:shd w:val="clear" w:color="auto" w:fill="FFFFFF"/>
        </w:rPr>
        <w:t>r. o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sposobie ustalani</w:t>
      </w:r>
      <w:r>
        <w:rPr>
          <w:color w:val="000000"/>
          <w:szCs w:val="20"/>
          <w:shd w:val="clear" w:color="auto" w:fill="FFFFFF"/>
          <w:lang w:val="x-none" w:eastAsia="en-US" w:bidi="ar-SA"/>
        </w:rPr>
        <w:t>a najniższego wynagrodzenia zasadniczego niektórych pracowników zatrudnionych w podmiotach leczniczych</w:t>
      </w:r>
      <w:r>
        <w:rPr>
          <w:color w:val="000000"/>
          <w:szCs w:val="20"/>
          <w:shd w:val="clear" w:color="auto" w:fill="FFFFFF"/>
        </w:rPr>
        <w:t xml:space="preserve"> (Dz. U. z 2021 r. poz. 1801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) oraz </w:t>
      </w:r>
      <w:r>
        <w:rPr>
          <w:color w:val="000000"/>
          <w:szCs w:val="20"/>
          <w:shd w:val="clear" w:color="auto" w:fill="FFFFFF"/>
          <w:lang w:val="x-none" w:eastAsia="en-US" w:bidi="ar-SA"/>
        </w:rPr>
        <w:lastRenderedPageBreak/>
        <w:t>niezrealizowania w pełni kontraktów z NFZ w ramach świadczeń AOS, rehabilitacji oraz stomatologii i ortodoncji, w wynik</w:t>
      </w:r>
      <w:r>
        <w:rPr>
          <w:color w:val="000000"/>
          <w:szCs w:val="20"/>
          <w:shd w:val="clear" w:color="auto" w:fill="FFFFFF"/>
          <w:lang w:val="x-none" w:eastAsia="en-US" w:bidi="ar-SA"/>
        </w:rPr>
        <w:t>u wprowadzenia stanu pandemii.</w:t>
      </w:r>
    </w:p>
    <w:p w:rsidR="00D6374C" w:rsidRDefault="00C578A9">
      <w:pPr>
        <w:spacing w:after="200" w:line="276" w:lineRule="auto"/>
        <w:jc w:val="both"/>
        <w:rPr>
          <w:b/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olor w:val="000000"/>
          <w:szCs w:val="20"/>
          <w:shd w:val="clear" w:color="auto" w:fill="FFFFFF"/>
          <w:lang w:val="x-none" w:eastAsia="en-US" w:bidi="ar-SA"/>
        </w:rPr>
        <w:t>Pozostałe założenia przyjęte przez MCM „Bałuty” w Łodzi na lata 2021-2023</w:t>
      </w:r>
    </w:p>
    <w:p w:rsidR="00D6374C" w:rsidRDefault="00C578A9">
      <w:pPr>
        <w:spacing w:after="200" w:line="276" w:lineRule="auto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W latach 2021-2023 prognozuje się dalszy rozwój i podnoszenie jakości świadczonych usług przez MCM „Bałuty” w Łodzi. W pierwszej kolejności planuje się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inwestycje w zakresie IT, zarówno w przypadku zasobów kadrowych jak i rozwiązań technologicznych, czyli: wdrożenie łączności światłowodowej, modernizacja komunikacji cyfrowej między placówkami, modernizacja central telefonicznych i łączności telefonicznej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w obrębie placówek.</w:t>
      </w:r>
    </w:p>
    <w:p w:rsidR="00D6374C" w:rsidRDefault="00C578A9">
      <w:pPr>
        <w:spacing w:after="200" w:line="276" w:lineRule="auto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Planuje się także przeprowadzenie audytu wewnętrznego rejestracji medycznych oraz wdrożenie zmian organizacyjnych w oparciu o jego konkluzje, które mają zidentyfikować potrzeby w zakresie doposażenia rejestracji w sprzęt komputerowy or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az potrzeb szkoleniowych personelu. Ma on również odpowiedzieć na pytanie, czy zasadnym jest stworzenie centralnej rejestracji dla wszystkich zarządzanych placówek. </w:t>
      </w:r>
    </w:p>
    <w:p w:rsidR="00D6374C" w:rsidRDefault="00C578A9">
      <w:pPr>
        <w:spacing w:after="200" w:line="276" w:lineRule="auto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W dalszej kolejności planowany jest rozwój zaplecza kadrowego i podjęcie działań </w:t>
      </w:r>
      <w:r>
        <w:rPr>
          <w:color w:val="000000"/>
          <w:szCs w:val="20"/>
          <w:shd w:val="clear" w:color="auto" w:fill="FFFFFF"/>
          <w:lang w:val="x-none" w:eastAsia="en-US" w:bidi="ar-SA"/>
        </w:rPr>
        <w:br/>
        <w:t>w celu p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ozyskania pracowników medycznych o możliwie najwyższych kompetencjach. </w:t>
      </w:r>
      <w:r>
        <w:rPr>
          <w:color w:val="000000"/>
          <w:szCs w:val="20"/>
          <w:shd w:val="clear" w:color="auto" w:fill="FFFFFF"/>
          <w:lang w:val="x-none" w:eastAsia="en-US" w:bidi="ar-SA"/>
        </w:rPr>
        <w:br/>
        <w:t>Planowane działania dotyczą również wznowienia wstrzymanych (z uwagi na pandemię) inwestycji, w szczególności remont Przychodni Zdrowia „Staromiejska”.</w:t>
      </w:r>
    </w:p>
    <w:p w:rsidR="00D6374C" w:rsidRDefault="00C578A9">
      <w:pPr>
        <w:spacing w:line="276" w:lineRule="auto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Plany obejmują także prowadzenie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Centrum Zdrowego i Aktywnego Seniora przy ulicy Libelta 16, które rozpoczęło swoją działalność w 2019 roku oraz rozszerzenie usług dotyczących Medycyny Pracy na kolejne jednostki MCM „Bałuty” w Łodzi. Oprócz tego MCM „Bałuty” w Łodzi planuje składać swoje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propozycje </w:t>
      </w:r>
      <w:r>
        <w:rPr>
          <w:color w:val="000000"/>
          <w:szCs w:val="20"/>
          <w:shd w:val="clear" w:color="auto" w:fill="FFFFFF"/>
        </w:rPr>
        <w:t>do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budżetu obywatelskiego, które pozwolą zrealizować dodatkowe inwestycje wynikające z potrzeb pacjentów.</w:t>
      </w:r>
    </w:p>
    <w:p w:rsidR="00D6374C" w:rsidRDefault="00C578A9">
      <w:pPr>
        <w:spacing w:before="240" w:after="200" w:line="276" w:lineRule="auto"/>
        <w:jc w:val="left"/>
        <w:rPr>
          <w:b/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olor w:val="000000"/>
          <w:szCs w:val="20"/>
          <w:shd w:val="clear" w:color="auto" w:fill="FFFFFF"/>
          <w:lang w:val="x-none" w:eastAsia="en-US" w:bidi="ar-SA"/>
        </w:rPr>
        <w:t>Informacja o istotnych zdarzeniach dla MCM „Bałuty” w Łodzi – prognoza na lata 2021-2023</w:t>
      </w:r>
    </w:p>
    <w:p w:rsidR="00D6374C" w:rsidRDefault="00C578A9">
      <w:pPr>
        <w:spacing w:line="276" w:lineRule="auto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Prognoza na lata 2021-2023 MCM „Bałuty” w Łodzi z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akłada utrzymanie działalności </w:t>
      </w:r>
      <w:r>
        <w:rPr>
          <w:color w:val="000000"/>
          <w:szCs w:val="20"/>
          <w:shd w:val="clear" w:color="auto" w:fill="FFFFFF"/>
          <w:lang w:val="x-none" w:eastAsia="en-US" w:bidi="ar-SA"/>
        </w:rPr>
        <w:br/>
        <w:t>w zakresie roku 2020. Największą część przychodów stanowią te z NFZ (prawie 91,61%). Największym zagrożenie na jakie wskazało MCM „Bałuty” w Łodzi to:</w:t>
      </w:r>
    </w:p>
    <w:p w:rsidR="00D6374C" w:rsidRDefault="00C578A9">
      <w:pPr>
        <w:numPr>
          <w:ilvl w:val="0"/>
          <w:numId w:val="4"/>
        </w:numPr>
        <w:spacing w:line="276" w:lineRule="auto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niepewność co do dalszego kontraktowania świadczeń przez NFZ</w:t>
      </w:r>
      <w:r>
        <w:rPr>
          <w:color w:val="000000"/>
          <w:szCs w:val="20"/>
          <w:shd w:val="clear" w:color="auto" w:fill="FFFFFF"/>
        </w:rPr>
        <w:t>,</w:t>
      </w:r>
    </w:p>
    <w:p w:rsidR="00D6374C" w:rsidRDefault="00C578A9">
      <w:pPr>
        <w:numPr>
          <w:ilvl w:val="0"/>
          <w:numId w:val="4"/>
        </w:numPr>
        <w:spacing w:line="276" w:lineRule="auto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przedłużający się czas pandemii generujący dodatkowe zadania i wydatki z nimi związane, kosztem podstawowej działalności i realizacji zakontraktowanych świadczeń</w:t>
      </w:r>
      <w:r>
        <w:rPr>
          <w:color w:val="000000"/>
          <w:szCs w:val="20"/>
          <w:shd w:val="clear" w:color="auto" w:fill="FFFFFF"/>
        </w:rPr>
        <w:t>,</w:t>
      </w:r>
    </w:p>
    <w:p w:rsidR="00D6374C" w:rsidRDefault="00C578A9">
      <w:pPr>
        <w:numPr>
          <w:ilvl w:val="0"/>
          <w:numId w:val="4"/>
        </w:numPr>
        <w:spacing w:line="276" w:lineRule="auto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trudności w wykonaniu kontraktu z NFZ w zakresie świadczeń specjalistycznych, rehabilitacji i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stomatologii ze względu na stan pandemii.</w:t>
      </w:r>
    </w:p>
    <w:p w:rsidR="00D6374C" w:rsidRDefault="00C578A9">
      <w:pPr>
        <w:spacing w:line="276" w:lineRule="auto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</w:rPr>
        <w:br w:type="column"/>
      </w:r>
    </w:p>
    <w:p w:rsidR="00D6374C" w:rsidRDefault="00C578A9">
      <w:pPr>
        <w:spacing w:before="240" w:after="200" w:line="276" w:lineRule="auto"/>
        <w:jc w:val="both"/>
        <w:rPr>
          <w:b/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olor w:val="000000"/>
          <w:szCs w:val="20"/>
          <w:shd w:val="clear" w:color="auto" w:fill="FFFFFF"/>
          <w:lang w:val="x-none" w:eastAsia="en-US" w:bidi="ar-SA"/>
        </w:rPr>
        <w:t>Podsumowanie</w:t>
      </w:r>
    </w:p>
    <w:p w:rsidR="00D6374C" w:rsidRDefault="00C578A9">
      <w:pPr>
        <w:spacing w:line="276" w:lineRule="auto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Na podstawie raportu o sytuacji ekonomiczno-finansowej MCM „Bałuty” w Łodzi, funkcjonującego jako </w:t>
      </w:r>
      <w:r>
        <w:rPr>
          <w:color w:val="000000"/>
          <w:szCs w:val="20"/>
          <w:shd w:val="clear" w:color="auto" w:fill="FFFFFF"/>
        </w:rPr>
        <w:t>SPZOZ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należy stwierdzić, że:</w:t>
      </w:r>
    </w:p>
    <w:p w:rsidR="00D6374C" w:rsidRDefault="00C578A9">
      <w:pPr>
        <w:numPr>
          <w:ilvl w:val="0"/>
          <w:numId w:val="5"/>
        </w:numPr>
        <w:spacing w:line="276" w:lineRule="auto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ocena dokonana na podstawie wskaźników ekonomiczno-finansowych 2020 rok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u </w:t>
      </w:r>
      <w:r>
        <w:rPr>
          <w:color w:val="000000"/>
          <w:szCs w:val="20"/>
          <w:shd w:val="clear" w:color="auto" w:fill="FFFFFF"/>
          <w:lang w:val="x-none" w:eastAsia="en-US" w:bidi="ar-SA"/>
        </w:rPr>
        <w:br/>
        <w:t>oraz prognozy na lata 2021-2023 jest pozytywna</w:t>
      </w:r>
      <w:r>
        <w:rPr>
          <w:color w:val="000000"/>
          <w:szCs w:val="20"/>
          <w:shd w:val="clear" w:color="auto" w:fill="FFFFFF"/>
        </w:rPr>
        <w:t>,</w:t>
      </w:r>
    </w:p>
    <w:p w:rsidR="00D6374C" w:rsidRDefault="00C578A9">
      <w:pPr>
        <w:numPr>
          <w:ilvl w:val="0"/>
          <w:numId w:val="5"/>
        </w:numPr>
        <w:spacing w:line="276" w:lineRule="auto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przedstawiona w raporcie ostrożna analiza wskaźników dla prognozowanego okresu jest rezultatem niepewnoś</w:t>
      </w:r>
      <w:r>
        <w:rPr>
          <w:color w:val="000000"/>
          <w:szCs w:val="20"/>
          <w:shd w:val="clear" w:color="auto" w:fill="FFFFFF"/>
        </w:rPr>
        <w:t>ci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w zakresie wielkości umów na świadczenia medyczne</w:t>
      </w:r>
      <w:r>
        <w:rPr>
          <w:color w:val="000000"/>
          <w:szCs w:val="20"/>
          <w:shd w:val="clear" w:color="auto" w:fill="FFFFFF"/>
        </w:rPr>
        <w:t>,</w:t>
      </w:r>
    </w:p>
    <w:p w:rsidR="00D6374C" w:rsidRDefault="00C578A9">
      <w:pPr>
        <w:numPr>
          <w:ilvl w:val="0"/>
          <w:numId w:val="5"/>
        </w:numPr>
        <w:spacing w:line="276" w:lineRule="auto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podmiot posiada stabilną sytuację finansową ora</w:t>
      </w:r>
      <w:r>
        <w:rPr>
          <w:color w:val="000000"/>
          <w:szCs w:val="20"/>
          <w:shd w:val="clear" w:color="auto" w:fill="FFFFFF"/>
          <w:lang w:val="x-none" w:eastAsia="en-US" w:bidi="ar-SA"/>
        </w:rPr>
        <w:t>z nie wykazuje, a także nie przewiduje, problemów z płynnością oraz rotacją swoich zobowiązań i należności</w:t>
      </w:r>
      <w:r>
        <w:rPr>
          <w:color w:val="000000"/>
          <w:szCs w:val="20"/>
          <w:shd w:val="clear" w:color="auto" w:fill="FFFFFF"/>
        </w:rPr>
        <w:t>,</w:t>
      </w:r>
    </w:p>
    <w:p w:rsidR="00D6374C" w:rsidRDefault="00C578A9">
      <w:pPr>
        <w:numPr>
          <w:ilvl w:val="0"/>
          <w:numId w:val="5"/>
        </w:numPr>
        <w:spacing w:line="276" w:lineRule="auto"/>
        <w:jc w:val="both"/>
        <w:rPr>
          <w:i/>
          <w:color w:val="000000"/>
          <w:szCs w:val="20"/>
          <w:u w:val="single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MCM „Bałuty” w Łodzi planuje dalszy rozwój swoich placówek pod względem infrastrukturalnym oraz podnoszenie jakości realizowanych w nich świadczeń</w:t>
      </w:r>
      <w:r>
        <w:rPr>
          <w:i/>
          <w:color w:val="000000"/>
          <w:szCs w:val="20"/>
          <w:shd w:val="clear" w:color="auto" w:fill="FFFFFF"/>
          <w:lang w:val="x-none" w:eastAsia="en-US" w:bidi="ar-SA"/>
        </w:rPr>
        <w:t xml:space="preserve">. </w:t>
      </w:r>
      <w:r>
        <w:rPr>
          <w:i/>
          <w:color w:val="000000"/>
          <w:szCs w:val="20"/>
          <w:shd w:val="clear" w:color="auto" w:fill="FFFFFF"/>
          <w:lang w:val="x-none" w:eastAsia="en-US" w:bidi="ar-SA"/>
        </w:rPr>
        <w:t xml:space="preserve"> </w:t>
      </w:r>
    </w:p>
    <w:p w:rsidR="00D6374C" w:rsidRDefault="00C578A9">
      <w:pPr>
        <w:spacing w:before="240" w:line="276" w:lineRule="auto"/>
        <w:jc w:val="both"/>
        <w:rPr>
          <w:color w:val="000000"/>
          <w:szCs w:val="20"/>
          <w:u w:val="single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W związku z powyższym dokonuje się pozytywnej oceny sytuacji ekonomiczno-finansowej MCM „Bałuty” w Łodzi na podstawie przedstawionego przez jednostkę raportu o sytuacji ekonomiczno-finansowej</w:t>
      </w:r>
      <w:r>
        <w:rPr>
          <w:color w:val="000000"/>
          <w:szCs w:val="20"/>
          <w:shd w:val="clear" w:color="auto" w:fill="FFFFFF"/>
        </w:rPr>
        <w:t xml:space="preserve"> </w:t>
      </w:r>
      <w:r>
        <w:rPr>
          <w:szCs w:val="20"/>
          <w:shd w:val="clear" w:color="auto" w:fill="FFFFFF"/>
          <w:lang w:val="x-none" w:eastAsia="en-US" w:bidi="ar-SA"/>
        </w:rPr>
        <w:t>za 2020 rok</w:t>
      </w:r>
      <w:r>
        <w:rPr>
          <w:color w:val="000000"/>
          <w:szCs w:val="20"/>
          <w:shd w:val="clear" w:color="auto" w:fill="FFFFFF"/>
          <w:lang w:val="x-none" w:eastAsia="en-US" w:bidi="ar-SA"/>
        </w:rPr>
        <w:t>.</w:t>
      </w:r>
    </w:p>
    <w:p w:rsidR="00D6374C" w:rsidRDefault="00C578A9">
      <w:pPr>
        <w:jc w:val="both"/>
        <w:rPr>
          <w:color w:val="000000"/>
          <w:szCs w:val="20"/>
          <w:shd w:val="clear" w:color="auto" w:fill="FFFFFF"/>
          <w:lang w:val="x-none" w:eastAsia="en-US" w:bidi="ar-SA"/>
        </w:rPr>
        <w:sectPr w:rsidR="00D6374C">
          <w:footerReference w:type="default" r:id="rId8"/>
          <w:pgSz w:w="11906" w:h="16838"/>
          <w:pgMar w:top="1418" w:right="1418" w:bottom="1418" w:left="1418" w:header="709" w:footer="709" w:gutter="0"/>
          <w:pgNumType w:start="1"/>
          <w:cols w:space="708"/>
          <w:titlePg/>
        </w:sectPr>
      </w:pPr>
      <w:r>
        <w:rPr>
          <w:color w:val="000000"/>
          <w:szCs w:val="20"/>
          <w:shd w:val="clear" w:color="auto" w:fill="FFFFFF"/>
          <w:lang w:val="x-none" w:eastAsia="en-US" w:bidi="ar-SA"/>
        </w:rPr>
        <w:fldChar w:fldCharType="begin"/>
      </w:r>
      <w:r>
        <w:rPr>
          <w:color w:val="000000"/>
          <w:szCs w:val="20"/>
          <w:shd w:val="clear" w:color="auto" w:fill="FFFFFF"/>
          <w:lang w:val="x-none" w:eastAsia="en-US" w:bidi="ar-SA"/>
        </w:rPr>
        <w:fldChar w:fldCharType="end"/>
      </w:r>
    </w:p>
    <w:p w:rsidR="00D6374C" w:rsidRDefault="00D6374C">
      <w:pPr>
        <w:rPr>
          <w:szCs w:val="20"/>
        </w:rPr>
      </w:pPr>
    </w:p>
    <w:p w:rsidR="00D6374C" w:rsidRDefault="00C578A9">
      <w:pPr>
        <w:rPr>
          <w:b/>
          <w:szCs w:val="20"/>
        </w:rPr>
      </w:pPr>
      <w:r>
        <w:rPr>
          <w:b/>
          <w:szCs w:val="20"/>
        </w:rPr>
        <w:t>Uzasadnienie</w:t>
      </w:r>
    </w:p>
    <w:p w:rsidR="00D6374C" w:rsidRDefault="00D6374C">
      <w:pPr>
        <w:rPr>
          <w:szCs w:val="20"/>
        </w:rPr>
      </w:pPr>
    </w:p>
    <w:p w:rsidR="00D6374C" w:rsidRDefault="00C578A9">
      <w:pPr>
        <w:ind w:firstLine="567"/>
        <w:jc w:val="both"/>
        <w:rPr>
          <w:szCs w:val="20"/>
        </w:rPr>
      </w:pPr>
      <w:r>
        <w:rPr>
          <w:szCs w:val="20"/>
        </w:rPr>
        <w:t xml:space="preserve">Zgodnie z wymogami art. 53a ustawy </w:t>
      </w:r>
      <w:r>
        <w:rPr>
          <w:color w:val="000000"/>
          <w:szCs w:val="20"/>
          <w:u w:color="000000"/>
        </w:rPr>
        <w:t>z dnia 15 kwietnia 2011 r.</w:t>
      </w:r>
      <w:r>
        <w:rPr>
          <w:szCs w:val="20"/>
        </w:rPr>
        <w:t xml:space="preserve"> o działalności leczniczej samodzielny publiczny zakład opieki zdrowotnej o nazwie Miejskie Centrum Medyczne Miejskie Centrum Medyczne „Bałuty” w Łodzi przedstawiło w wymaganym terminie raport o sytuacji ekonomiczno-finansowej przygotowany na podstawie spr</w:t>
      </w:r>
      <w:r>
        <w:rPr>
          <w:szCs w:val="20"/>
        </w:rPr>
        <w:t>awozdania finansowego za poprzedni rok obrotowy zawierający w szczególności analizę sytuacji ekonomiczno-finansowej za poprzedni rok obrotowy, tj. 2020, a także prognozę sytuacji ekonomiczno-finansowej na kolejne trzy lata obrotowe wraz z opisem przyjętych</w:t>
      </w:r>
      <w:r>
        <w:rPr>
          <w:szCs w:val="20"/>
        </w:rPr>
        <w:t xml:space="preserve"> założeń oraz informację o istotnych zdarzeniach mających wpływ na sytuację ekonomiczno-finansową samodzielnego publicznego zakładu opieki zdrowotnej.</w:t>
      </w:r>
    </w:p>
    <w:p w:rsidR="00D6374C" w:rsidRDefault="00C578A9">
      <w:pPr>
        <w:spacing w:before="120" w:after="120"/>
        <w:ind w:firstLine="570"/>
        <w:jc w:val="both"/>
        <w:rPr>
          <w:color w:val="000000"/>
          <w:szCs w:val="20"/>
        </w:rPr>
      </w:pPr>
      <w:r>
        <w:rPr>
          <w:color w:val="000000"/>
          <w:szCs w:val="20"/>
          <w:u w:color="000000"/>
        </w:rPr>
        <w:t xml:space="preserve">Przedmiotowa ocena raportu </w:t>
      </w:r>
      <w:r>
        <w:rPr>
          <w:szCs w:val="20"/>
        </w:rPr>
        <w:t>o sytuacji ekonomiczno-finansowej</w:t>
      </w:r>
      <w:r>
        <w:rPr>
          <w:color w:val="000000"/>
          <w:szCs w:val="20"/>
          <w:u w:color="000000"/>
        </w:rPr>
        <w:t xml:space="preserve"> została przygotowana zgodnie z wymogami  ust</w:t>
      </w:r>
      <w:r>
        <w:rPr>
          <w:color w:val="000000"/>
          <w:szCs w:val="20"/>
          <w:u w:color="000000"/>
        </w:rPr>
        <w:t>awy z dnia 15 kwietnia 2011 r. o działalności leczniczej  przez komórkę organizacyjną sprawującą bezpośredni nadzór nad samodzielnymi publicznymi zakładami opieki zdrowotnej dla których podmiotem tworzącym jest Miasto Łódź, tj. Wydział Zdrowia i Spraw Społ</w:t>
      </w:r>
      <w:r>
        <w:rPr>
          <w:color w:val="000000"/>
          <w:szCs w:val="20"/>
          <w:u w:color="000000"/>
        </w:rPr>
        <w:t>ecznych w Departamencie Zdrowia i Spraw Społecznych Urzędu Miasta Łodzi.</w:t>
      </w:r>
    </w:p>
    <w:p w:rsidR="00D6374C" w:rsidRDefault="00C578A9">
      <w:pPr>
        <w:ind w:firstLine="567"/>
        <w:jc w:val="both"/>
        <w:rPr>
          <w:szCs w:val="20"/>
        </w:rPr>
      </w:pPr>
      <w:r>
        <w:rPr>
          <w:szCs w:val="20"/>
        </w:rPr>
        <w:t xml:space="preserve">Ocena sytuacji ekonomiczno-finansowej jednostki należy do kompetencji Rady Miejskiej w Łodzi, tj. podmiotu tworzącego dla </w:t>
      </w:r>
      <w:r>
        <w:rPr>
          <w:color w:val="000000"/>
          <w:szCs w:val="20"/>
          <w:u w:color="000000"/>
        </w:rPr>
        <w:t xml:space="preserve">Miejskiego Centrum Medycznego </w:t>
      </w:r>
      <w:r>
        <w:rPr>
          <w:szCs w:val="20"/>
        </w:rPr>
        <w:t>„Bałuty” w Łodzi, co stanowi pr</w:t>
      </w:r>
      <w:r>
        <w:rPr>
          <w:szCs w:val="20"/>
        </w:rPr>
        <w:t>zedmiot niniejszego projektu uchwały.</w:t>
      </w:r>
    </w:p>
    <w:p w:rsidR="00D6374C" w:rsidRDefault="00D6374C">
      <w:pPr>
        <w:spacing w:before="120" w:after="120"/>
        <w:ind w:left="283" w:firstLine="227"/>
        <w:jc w:val="both"/>
        <w:rPr>
          <w:color w:val="000000"/>
          <w:szCs w:val="20"/>
        </w:rPr>
      </w:pPr>
    </w:p>
    <w:p w:rsidR="00D6374C" w:rsidRDefault="00D6374C">
      <w:pPr>
        <w:spacing w:before="120" w:after="120"/>
        <w:ind w:left="283" w:firstLine="227"/>
        <w:jc w:val="both"/>
        <w:rPr>
          <w:color w:val="000000"/>
          <w:szCs w:val="20"/>
          <w:u w:color="000000"/>
        </w:rPr>
      </w:pPr>
    </w:p>
    <w:sectPr w:rsidR="00D6374C">
      <w:footerReference w:type="default" r:id="rId9"/>
      <w:endnotePr>
        <w:numFmt w:val="decimal"/>
      </w:endnotePr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78A9" w:rsidRDefault="00C578A9">
      <w:r>
        <w:separator/>
      </w:r>
    </w:p>
  </w:endnote>
  <w:endnote w:type="continuationSeparator" w:id="0">
    <w:p w:rsidR="00C578A9" w:rsidRDefault="00C57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048"/>
      <w:gridCol w:w="3024"/>
    </w:tblGrid>
    <w:tr w:rsidR="00D6374C">
      <w:tc>
        <w:tcPr>
          <w:tcW w:w="6048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D6374C" w:rsidRDefault="00C578A9">
          <w:pPr>
            <w:jc w:val="left"/>
            <w:rPr>
              <w:sz w:val="18"/>
            </w:rPr>
          </w:pPr>
          <w:r>
            <w:rPr>
              <w:sz w:val="18"/>
            </w:rPr>
            <w:t>Projekt</w:t>
          </w:r>
        </w:p>
      </w:tc>
      <w:tc>
        <w:tcPr>
          <w:tcW w:w="302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D6374C" w:rsidRDefault="00C578A9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4043EF">
            <w:rPr>
              <w:sz w:val="18"/>
            </w:rPr>
            <w:fldChar w:fldCharType="separate"/>
          </w:r>
          <w:r w:rsidR="004043EF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D6374C" w:rsidRDefault="00D6374C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047"/>
      <w:gridCol w:w="3023"/>
    </w:tblGrid>
    <w:tr w:rsidR="00D6374C">
      <w:tc>
        <w:tcPr>
          <w:tcW w:w="604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D6374C" w:rsidRDefault="00C578A9">
          <w:pPr>
            <w:jc w:val="left"/>
            <w:rPr>
              <w:sz w:val="18"/>
            </w:rPr>
          </w:pPr>
          <w:r>
            <w:rPr>
              <w:sz w:val="18"/>
            </w:rPr>
            <w:t>Projekt</w:t>
          </w:r>
        </w:p>
      </w:tc>
      <w:tc>
        <w:tcPr>
          <w:tcW w:w="302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D6374C" w:rsidRDefault="00C578A9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4043EF">
            <w:rPr>
              <w:sz w:val="18"/>
            </w:rPr>
            <w:fldChar w:fldCharType="separate"/>
          </w:r>
          <w:r w:rsidR="004043EF">
            <w:rPr>
              <w:noProof/>
              <w:sz w:val="18"/>
            </w:rPr>
            <w:t>9</w:t>
          </w:r>
          <w:r>
            <w:rPr>
              <w:sz w:val="18"/>
            </w:rPr>
            <w:fldChar w:fldCharType="end"/>
          </w:r>
        </w:p>
      </w:tc>
    </w:tr>
  </w:tbl>
  <w:p w:rsidR="00D6374C" w:rsidRDefault="00D6374C">
    <w:pPr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048"/>
      <w:gridCol w:w="3024"/>
    </w:tblGrid>
    <w:tr w:rsidR="00D6374C">
      <w:tc>
        <w:tcPr>
          <w:tcW w:w="6048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D6374C" w:rsidRDefault="00C578A9">
          <w:pPr>
            <w:jc w:val="left"/>
            <w:rPr>
              <w:sz w:val="18"/>
            </w:rPr>
          </w:pPr>
          <w:r>
            <w:rPr>
              <w:sz w:val="18"/>
            </w:rPr>
            <w:t>Projekt</w:t>
          </w:r>
        </w:p>
      </w:tc>
      <w:tc>
        <w:tcPr>
          <w:tcW w:w="302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D6374C" w:rsidRDefault="00C578A9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4043EF">
            <w:rPr>
              <w:sz w:val="18"/>
            </w:rPr>
            <w:fldChar w:fldCharType="separate"/>
          </w:r>
          <w:r w:rsidR="004043EF">
            <w:rPr>
              <w:noProof/>
              <w:sz w:val="18"/>
            </w:rPr>
            <w:t>10</w:t>
          </w:r>
          <w:r>
            <w:rPr>
              <w:sz w:val="18"/>
            </w:rPr>
            <w:fldChar w:fldCharType="end"/>
          </w:r>
        </w:p>
      </w:tc>
    </w:tr>
  </w:tbl>
  <w:p w:rsidR="00D6374C" w:rsidRDefault="00D6374C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78A9" w:rsidRDefault="00C578A9">
      <w:r>
        <w:separator/>
      </w:r>
    </w:p>
  </w:footnote>
  <w:footnote w:type="continuationSeparator" w:id="0">
    <w:p w:rsidR="00C578A9" w:rsidRDefault="00C578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978FB"/>
    <w:multiLevelType w:val="hybridMultilevel"/>
    <w:tmpl w:val="00000000"/>
    <w:lvl w:ilvl="0" w:tplc="F74A7122">
      <w:start w:val="1"/>
      <w:numFmt w:val="bullet"/>
      <w:lvlText w:val="­"/>
      <w:lvlJc w:val="left"/>
      <w:pPr>
        <w:ind w:left="360" w:hanging="360"/>
      </w:pPr>
      <w:rPr>
        <w:rFonts w:ascii="Courier New" w:hAnsi="Courier New"/>
      </w:rPr>
    </w:lvl>
    <w:lvl w:ilvl="1" w:tplc="AC084ED6">
      <w:start w:val="1"/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 w:tplc="C94CF90E">
      <w:start w:val="1"/>
      <w:numFmt w:val="bullet"/>
      <w:lvlText w:val="§"/>
      <w:lvlJc w:val="left"/>
      <w:pPr>
        <w:ind w:left="1800" w:hanging="360"/>
      </w:pPr>
      <w:rPr>
        <w:rFonts w:ascii="Wingdings" w:hAnsi="Wingdings"/>
      </w:rPr>
    </w:lvl>
    <w:lvl w:ilvl="3" w:tplc="3E8289E6">
      <w:start w:val="1"/>
      <w:numFmt w:val="bullet"/>
      <w:lvlText w:val="·"/>
      <w:lvlJc w:val="left"/>
      <w:pPr>
        <w:ind w:left="2520" w:hanging="360"/>
      </w:pPr>
      <w:rPr>
        <w:rFonts w:ascii="Symbol" w:hAnsi="Symbol"/>
      </w:rPr>
    </w:lvl>
    <w:lvl w:ilvl="4" w:tplc="A074F4B2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 w:tplc="EDD0F106">
      <w:start w:val="1"/>
      <w:numFmt w:val="bullet"/>
      <w:lvlText w:val="§"/>
      <w:lvlJc w:val="left"/>
      <w:pPr>
        <w:ind w:left="3960" w:hanging="360"/>
      </w:pPr>
      <w:rPr>
        <w:rFonts w:ascii="Wingdings" w:hAnsi="Wingdings"/>
      </w:rPr>
    </w:lvl>
    <w:lvl w:ilvl="6" w:tplc="2B84B83C">
      <w:start w:val="1"/>
      <w:numFmt w:val="bullet"/>
      <w:lvlText w:val="·"/>
      <w:lvlJc w:val="left"/>
      <w:pPr>
        <w:ind w:left="4680" w:hanging="360"/>
      </w:pPr>
      <w:rPr>
        <w:rFonts w:ascii="Symbol" w:hAnsi="Symbol"/>
      </w:rPr>
    </w:lvl>
    <w:lvl w:ilvl="7" w:tplc="8B388D5C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 w:tplc="655E5E06">
      <w:start w:val="1"/>
      <w:numFmt w:val="bullet"/>
      <w:lvlText w:val="§"/>
      <w:lvlJc w:val="left"/>
      <w:pPr>
        <w:ind w:left="6120" w:hanging="360"/>
      </w:pPr>
      <w:rPr>
        <w:rFonts w:ascii="Wingdings" w:hAnsi="Wingdings"/>
      </w:rPr>
    </w:lvl>
  </w:abstractNum>
  <w:abstractNum w:abstractNumId="1" w15:restartNumberingAfterBreak="0">
    <w:nsid w:val="29BE1784"/>
    <w:multiLevelType w:val="hybridMultilevel"/>
    <w:tmpl w:val="00000000"/>
    <w:lvl w:ilvl="0" w:tplc="1CBEF0FC">
      <w:start w:val="1"/>
      <w:numFmt w:val="bullet"/>
      <w:lvlText w:val="­"/>
      <w:lvlJc w:val="left"/>
      <w:pPr>
        <w:ind w:left="360" w:hanging="360"/>
      </w:pPr>
      <w:rPr>
        <w:rFonts w:ascii="Courier New" w:hAnsi="Courier New"/>
      </w:rPr>
    </w:lvl>
    <w:lvl w:ilvl="1" w:tplc="7512BC96">
      <w:start w:val="1"/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 w:tplc="52087044">
      <w:start w:val="1"/>
      <w:numFmt w:val="bullet"/>
      <w:lvlText w:val="§"/>
      <w:lvlJc w:val="left"/>
      <w:pPr>
        <w:ind w:left="1800" w:hanging="360"/>
      </w:pPr>
      <w:rPr>
        <w:rFonts w:ascii="Wingdings" w:hAnsi="Wingdings"/>
      </w:rPr>
    </w:lvl>
    <w:lvl w:ilvl="3" w:tplc="8048F050">
      <w:start w:val="1"/>
      <w:numFmt w:val="bullet"/>
      <w:lvlText w:val="·"/>
      <w:lvlJc w:val="left"/>
      <w:pPr>
        <w:ind w:left="2520" w:hanging="360"/>
      </w:pPr>
      <w:rPr>
        <w:rFonts w:ascii="Symbol" w:hAnsi="Symbol"/>
      </w:rPr>
    </w:lvl>
    <w:lvl w:ilvl="4" w:tplc="ED94CD48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 w:tplc="EA0EBD0A">
      <w:start w:val="1"/>
      <w:numFmt w:val="bullet"/>
      <w:lvlText w:val="§"/>
      <w:lvlJc w:val="left"/>
      <w:pPr>
        <w:ind w:left="3960" w:hanging="360"/>
      </w:pPr>
      <w:rPr>
        <w:rFonts w:ascii="Wingdings" w:hAnsi="Wingdings"/>
      </w:rPr>
    </w:lvl>
    <w:lvl w:ilvl="6" w:tplc="9984E3A8">
      <w:start w:val="1"/>
      <w:numFmt w:val="bullet"/>
      <w:lvlText w:val="·"/>
      <w:lvlJc w:val="left"/>
      <w:pPr>
        <w:ind w:left="4680" w:hanging="360"/>
      </w:pPr>
      <w:rPr>
        <w:rFonts w:ascii="Symbol" w:hAnsi="Symbol"/>
      </w:rPr>
    </w:lvl>
    <w:lvl w:ilvl="7" w:tplc="465EF0AA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 w:tplc="3BEAC81A">
      <w:start w:val="1"/>
      <w:numFmt w:val="bullet"/>
      <w:lvlText w:val="§"/>
      <w:lvlJc w:val="left"/>
      <w:pPr>
        <w:ind w:left="6120" w:hanging="360"/>
      </w:pPr>
      <w:rPr>
        <w:rFonts w:ascii="Wingdings" w:hAnsi="Wingdings"/>
      </w:rPr>
    </w:lvl>
  </w:abstractNum>
  <w:abstractNum w:abstractNumId="2" w15:restartNumberingAfterBreak="0">
    <w:nsid w:val="42D40F2D"/>
    <w:multiLevelType w:val="hybridMultilevel"/>
    <w:tmpl w:val="00000000"/>
    <w:lvl w:ilvl="0" w:tplc="40F211F6">
      <w:start w:val="1"/>
      <w:numFmt w:val="lowerLetter"/>
      <w:lvlText w:val="%1)"/>
      <w:lvlJc w:val="left"/>
      <w:pPr>
        <w:ind w:left="360" w:hanging="360"/>
      </w:pPr>
    </w:lvl>
    <w:lvl w:ilvl="1" w:tplc="86E6A84E">
      <w:start w:val="1"/>
      <w:numFmt w:val="lowerLetter"/>
      <w:lvlText w:val="%2)"/>
      <w:lvlJc w:val="left"/>
      <w:pPr>
        <w:ind w:left="1080" w:hanging="360"/>
      </w:pPr>
    </w:lvl>
    <w:lvl w:ilvl="2" w:tplc="47DE9AFA">
      <w:start w:val="1"/>
      <w:numFmt w:val="lowerRoman"/>
      <w:lvlText w:val="%3."/>
      <w:lvlJc w:val="right"/>
      <w:pPr>
        <w:ind w:left="1800" w:hanging="180"/>
      </w:pPr>
    </w:lvl>
    <w:lvl w:ilvl="3" w:tplc="F37804EE">
      <w:start w:val="1"/>
      <w:numFmt w:val="decimal"/>
      <w:lvlText w:val="%4."/>
      <w:lvlJc w:val="left"/>
      <w:pPr>
        <w:ind w:left="2520" w:hanging="360"/>
      </w:pPr>
    </w:lvl>
    <w:lvl w:ilvl="4" w:tplc="70528604">
      <w:start w:val="1"/>
      <w:numFmt w:val="lowerLetter"/>
      <w:lvlText w:val="%5."/>
      <w:lvlJc w:val="left"/>
      <w:pPr>
        <w:ind w:left="3240" w:hanging="360"/>
      </w:pPr>
    </w:lvl>
    <w:lvl w:ilvl="5" w:tplc="EDDCC7D2">
      <w:start w:val="1"/>
      <w:numFmt w:val="lowerRoman"/>
      <w:lvlText w:val="%6."/>
      <w:lvlJc w:val="right"/>
      <w:pPr>
        <w:ind w:left="3960" w:hanging="180"/>
      </w:pPr>
    </w:lvl>
    <w:lvl w:ilvl="6" w:tplc="5236463A">
      <w:start w:val="1"/>
      <w:numFmt w:val="decimal"/>
      <w:lvlText w:val="%7."/>
      <w:lvlJc w:val="left"/>
      <w:pPr>
        <w:ind w:left="4680" w:hanging="360"/>
      </w:pPr>
    </w:lvl>
    <w:lvl w:ilvl="7" w:tplc="A008D22A">
      <w:start w:val="1"/>
      <w:numFmt w:val="lowerLetter"/>
      <w:lvlText w:val="%8."/>
      <w:lvlJc w:val="left"/>
      <w:pPr>
        <w:ind w:left="5400" w:hanging="360"/>
      </w:pPr>
    </w:lvl>
    <w:lvl w:ilvl="8" w:tplc="3CE69D3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F6D46C8"/>
    <w:multiLevelType w:val="hybridMultilevel"/>
    <w:tmpl w:val="00000000"/>
    <w:lvl w:ilvl="0" w:tplc="1422BFE6">
      <w:start w:val="1"/>
      <w:numFmt w:val="decimal"/>
      <w:lvlText w:val="%1."/>
      <w:lvlJc w:val="left"/>
      <w:pPr>
        <w:ind w:left="720" w:hanging="360"/>
      </w:pPr>
    </w:lvl>
    <w:lvl w:ilvl="1" w:tplc="73AC084C">
      <w:start w:val="1"/>
      <w:numFmt w:val="lowerLetter"/>
      <w:lvlText w:val="%2."/>
      <w:lvlJc w:val="left"/>
      <w:pPr>
        <w:ind w:left="1440" w:hanging="360"/>
      </w:pPr>
    </w:lvl>
    <w:lvl w:ilvl="2" w:tplc="AC18904A">
      <w:start w:val="1"/>
      <w:numFmt w:val="lowerRoman"/>
      <w:lvlText w:val="%3."/>
      <w:lvlJc w:val="right"/>
      <w:pPr>
        <w:ind w:left="2160" w:hanging="180"/>
      </w:pPr>
    </w:lvl>
    <w:lvl w:ilvl="3" w:tplc="EBA6E22C">
      <w:start w:val="1"/>
      <w:numFmt w:val="decimal"/>
      <w:lvlText w:val="%4."/>
      <w:lvlJc w:val="left"/>
      <w:pPr>
        <w:ind w:left="2880" w:hanging="360"/>
      </w:pPr>
    </w:lvl>
    <w:lvl w:ilvl="4" w:tplc="5120AD7C">
      <w:start w:val="1"/>
      <w:numFmt w:val="lowerLetter"/>
      <w:lvlText w:val="%5."/>
      <w:lvlJc w:val="left"/>
      <w:pPr>
        <w:ind w:left="3600" w:hanging="360"/>
      </w:pPr>
    </w:lvl>
    <w:lvl w:ilvl="5" w:tplc="FFC48F1A">
      <w:start w:val="1"/>
      <w:numFmt w:val="lowerRoman"/>
      <w:lvlText w:val="%6."/>
      <w:lvlJc w:val="right"/>
      <w:pPr>
        <w:ind w:left="4320" w:hanging="180"/>
      </w:pPr>
    </w:lvl>
    <w:lvl w:ilvl="6" w:tplc="5E30EE78">
      <w:start w:val="1"/>
      <w:numFmt w:val="decimal"/>
      <w:lvlText w:val="%7."/>
      <w:lvlJc w:val="left"/>
      <w:pPr>
        <w:ind w:left="5040" w:hanging="360"/>
      </w:pPr>
    </w:lvl>
    <w:lvl w:ilvl="7" w:tplc="12080032">
      <w:start w:val="1"/>
      <w:numFmt w:val="lowerLetter"/>
      <w:lvlText w:val="%8."/>
      <w:lvlJc w:val="left"/>
      <w:pPr>
        <w:ind w:left="5760" w:hanging="360"/>
      </w:pPr>
    </w:lvl>
    <w:lvl w:ilvl="8" w:tplc="CAD4D9C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3859CD"/>
    <w:multiLevelType w:val="hybridMultilevel"/>
    <w:tmpl w:val="00000000"/>
    <w:lvl w:ilvl="0" w:tplc="F1E6B92E">
      <w:start w:val="1"/>
      <w:numFmt w:val="decimal"/>
      <w:lvlText w:val="%1)"/>
      <w:lvlJc w:val="left"/>
      <w:pPr>
        <w:ind w:left="360" w:hanging="360"/>
      </w:pPr>
    </w:lvl>
    <w:lvl w:ilvl="1" w:tplc="BAD6239A">
      <w:start w:val="1"/>
      <w:numFmt w:val="lowerLetter"/>
      <w:lvlText w:val="%2)"/>
      <w:lvlJc w:val="left"/>
      <w:pPr>
        <w:ind w:left="1080" w:hanging="360"/>
      </w:pPr>
    </w:lvl>
    <w:lvl w:ilvl="2" w:tplc="17962722">
      <w:start w:val="1"/>
      <w:numFmt w:val="lowerRoman"/>
      <w:lvlText w:val="%3."/>
      <w:lvlJc w:val="right"/>
      <w:pPr>
        <w:ind w:left="1800" w:hanging="180"/>
      </w:pPr>
    </w:lvl>
    <w:lvl w:ilvl="3" w:tplc="C5EC68A8">
      <w:start w:val="1"/>
      <w:numFmt w:val="decimal"/>
      <w:lvlText w:val="%4."/>
      <w:lvlJc w:val="left"/>
      <w:pPr>
        <w:ind w:left="2520" w:hanging="360"/>
      </w:pPr>
    </w:lvl>
    <w:lvl w:ilvl="4" w:tplc="8E7A5884">
      <w:start w:val="1"/>
      <w:numFmt w:val="lowerLetter"/>
      <w:lvlText w:val="%5."/>
      <w:lvlJc w:val="left"/>
      <w:pPr>
        <w:ind w:left="3240" w:hanging="360"/>
      </w:pPr>
    </w:lvl>
    <w:lvl w:ilvl="5" w:tplc="5BAA1924">
      <w:start w:val="1"/>
      <w:numFmt w:val="lowerRoman"/>
      <w:lvlText w:val="%6."/>
      <w:lvlJc w:val="right"/>
      <w:pPr>
        <w:ind w:left="3960" w:hanging="180"/>
      </w:pPr>
    </w:lvl>
    <w:lvl w:ilvl="6" w:tplc="FFB699B8">
      <w:start w:val="1"/>
      <w:numFmt w:val="decimal"/>
      <w:lvlText w:val="%7."/>
      <w:lvlJc w:val="left"/>
      <w:pPr>
        <w:ind w:left="4680" w:hanging="360"/>
      </w:pPr>
    </w:lvl>
    <w:lvl w:ilvl="7" w:tplc="958C958C">
      <w:start w:val="1"/>
      <w:numFmt w:val="lowerLetter"/>
      <w:lvlText w:val="%8."/>
      <w:lvlJc w:val="left"/>
      <w:pPr>
        <w:ind w:left="5400" w:hanging="360"/>
      </w:pPr>
    </w:lvl>
    <w:lvl w:ilvl="8" w:tplc="ACC48CC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4043EF"/>
    <w:rsid w:val="00A77B3E"/>
    <w:rsid w:val="00C578A9"/>
    <w:rsid w:val="00CA2A55"/>
    <w:rsid w:val="00D63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BFDA515-A459-4896-B36F-2532C7E2E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center"/>
    </w:pPr>
    <w:rPr>
      <w:sz w:val="24"/>
      <w:szCs w:val="24"/>
    </w:rPr>
  </w:style>
  <w:style w:type="paragraph" w:styleId="Nagwek1">
    <w:name w:val="heading 1"/>
    <w:basedOn w:val="Normalny"/>
    <w:next w:val="Normalny"/>
    <w:pPr>
      <w:keepNext/>
      <w:spacing w:before="240" w:after="60"/>
      <w:jc w:val="left"/>
      <w:outlineLvl w:val="0"/>
    </w:pPr>
    <w:rPr>
      <w:b/>
      <w:szCs w:val="20"/>
      <w:lang w:val="x-none" w:eastAsia="en-US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jc w:val="left"/>
    </w:pPr>
    <w:rPr>
      <w:szCs w:val="20"/>
      <w:lang w:val="x-none" w:eastAsia="en-US" w:bidi="ar-SA"/>
    </w:rPr>
  </w:style>
  <w:style w:type="character" w:styleId="Numerstrony">
    <w:name w:val="page number"/>
    <w:basedOn w:val="Domylnaczcionkaakapitu"/>
    <w:rPr>
      <w:rFonts w:ascii="Times New Roman" w:hAnsi="Times New Roman"/>
      <w:color w:val="auto"/>
      <w:sz w:val="24"/>
      <w:shd w:val="clear" w:color="auto" w:fill="auto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3044</Words>
  <Characters>18270</Characters>
  <Application>Microsoft Office Word</Application>
  <DocSecurity>0</DocSecurity>
  <Lines>152</Lines>
  <Paragraphs>42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</vt:lpstr>
      <vt:lpstr/>
    </vt:vector>
  </TitlesOfParts>
  <Company>Rada Miejska w Łodzi</Company>
  <LinksUpToDate>false</LinksUpToDate>
  <CharactersWithSpaces>21272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oceny sytuacji ekonomiczno-finansowej
samodzielnego publicznego zakładu opieki zdrowotnej o^nazwie Miejskie Centrum Medyczne „Bałuty” w^Łodzi,
na podstawie raportu o^sytuacji ekonomiczno-finansowej za rok 2020.</dc:subject>
  <dc:creator>elukowicz</dc:creator>
  <cp:lastModifiedBy>Martyna Hanuszkiewicz</cp:lastModifiedBy>
  <cp:revision>2</cp:revision>
  <dcterms:created xsi:type="dcterms:W3CDTF">2021-11-09T10:26:00Z</dcterms:created>
  <dcterms:modified xsi:type="dcterms:W3CDTF">2021-11-09T10:26:00Z</dcterms:modified>
  <cp:category>Akt prawny</cp:category>
</cp:coreProperties>
</file>