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B3A11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  <w:bookmarkStart w:id="0" w:name="_GoBack"/>
            <w:bookmarkEnd w:id="0"/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91694B">
            <w:pPr>
              <w:ind w:left="6236"/>
              <w:jc w:val="left"/>
            </w:pPr>
            <w:r>
              <w:t>Druk Nr</w:t>
            </w:r>
          </w:p>
          <w:p w:rsidR="00A77B3E" w:rsidRDefault="0091694B">
            <w:pPr>
              <w:ind w:left="6236"/>
              <w:jc w:val="left"/>
            </w:pPr>
            <w:r>
              <w:t>Projekt z dnia</w:t>
            </w: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91694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91694B">
      <w:pPr>
        <w:spacing w:after="280"/>
        <w:rPr>
          <w:b/>
          <w:caps/>
        </w:rPr>
      </w:pPr>
      <w:r>
        <w:rPr>
          <w:b/>
        </w:rPr>
        <w:t>z dnia                      2021 r.</w:t>
      </w:r>
    </w:p>
    <w:p w:rsidR="00A77B3E" w:rsidRDefault="0091694B">
      <w:pPr>
        <w:keepNext/>
        <w:spacing w:after="480"/>
      </w:pPr>
      <w:r>
        <w:rPr>
          <w:b/>
        </w:rPr>
        <w:t>w sprawie oceny sytuacji ekonomiczno-finansowej</w:t>
      </w:r>
      <w:r>
        <w:rPr>
          <w:b/>
        </w:rPr>
        <w:br/>
        <w:t>samodzielnego publicznego zakładu opieki zdrowotnej o nazwie</w:t>
      </w:r>
      <w:r>
        <w:rPr>
          <w:b/>
        </w:rPr>
        <w:br/>
        <w:t xml:space="preserve">Miejskie Centrum Terapii </w:t>
      </w:r>
      <w:r>
        <w:rPr>
          <w:b/>
        </w:rPr>
        <w:t>i Profilaktyki Zdrowotnej im. bł. Rafała Chylińskiego w Łodzi, na podstawie raportu o sytuacji ekonomiczno-finansowej za rok 2020.</w:t>
      </w:r>
    </w:p>
    <w:p w:rsidR="00A77B3E" w:rsidRDefault="0091694B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2021 r. poz. 1372) oraz art.</w:t>
      </w:r>
      <w:r>
        <w:t> 53a ust. 4 ustawy z dnia 15 kwietnia</w:t>
      </w:r>
      <w:r>
        <w:br/>
        <w:t>2011 r. o działalności leczniczej (Dz. U. z 2021 r. poz. 711 i 1773), Rada Miejska w Łodzi</w:t>
      </w:r>
    </w:p>
    <w:p w:rsidR="00A77B3E" w:rsidRDefault="0091694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91694B">
      <w:pPr>
        <w:keepLines/>
        <w:spacing w:after="120"/>
        <w:ind w:firstLine="567"/>
        <w:jc w:val="both"/>
      </w:pPr>
      <w:r>
        <w:t>§ 1. </w:t>
      </w:r>
      <w:r>
        <w:t>Dokonuje się oceny sytuacji ekonomiczno-finansowej samodzielnego publicznego zakładu opieki zdrowot</w:t>
      </w:r>
      <w:r>
        <w:t>nej o nazwie Miejskie Centrum Terapii i Profilaktyki Zdrowotnej</w:t>
      </w:r>
      <w:r>
        <w:br/>
        <w:t>im. bł. Rafała Chylińskiego w Łodzi, na podstawie raportu o sytuacji ekonomiczno-finansowej sporządzonego za rok 2020, w brzmieniu stanowiącym załącznik do uchwały.</w:t>
      </w:r>
    </w:p>
    <w:p w:rsidR="00A77B3E" w:rsidRDefault="0091694B">
      <w:pPr>
        <w:keepLines/>
        <w:spacing w:after="120"/>
        <w:ind w:firstLine="567"/>
        <w:jc w:val="both"/>
      </w:pPr>
      <w:r>
        <w:t>§ 2. </w:t>
      </w:r>
      <w:r>
        <w:t>Wykonanie uchwały powi</w:t>
      </w:r>
      <w:r>
        <w:t>erza się Prezydentowi Miasta Łodzi.</w:t>
      </w:r>
    </w:p>
    <w:p w:rsidR="00A77B3E" w:rsidRDefault="0091694B">
      <w:pPr>
        <w:keepNext/>
        <w:keepLines/>
        <w:spacing w:after="120"/>
        <w:ind w:firstLine="567"/>
        <w:jc w:val="both"/>
      </w:pPr>
      <w:r>
        <w:t>§ 3.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B3A1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3A11" w:rsidRDefault="005B3A1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3A11" w:rsidRDefault="0091694B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Marcin^GOŁASZEWSKI</w:t>
            </w:r>
          </w:p>
        </w:tc>
      </w:tr>
    </w:tbl>
    <w:p w:rsidR="00A77B3E" w:rsidRDefault="0091694B">
      <w:pPr>
        <w:ind w:left="283" w:firstLine="227"/>
        <w:jc w:val="both"/>
      </w:pPr>
      <w:r>
        <w:t>Projektodawcą jest</w:t>
      </w:r>
    </w:p>
    <w:p w:rsidR="00A77B3E" w:rsidRDefault="0091694B">
      <w:pPr>
        <w:ind w:left="283" w:firstLine="227"/>
        <w:jc w:val="both"/>
      </w:pPr>
      <w:r>
        <w:t>Prezydent Miasta Łodzi</w:t>
      </w:r>
    </w:p>
    <w:p w:rsidR="00A77B3E" w:rsidRDefault="00A77B3E">
      <w:pPr>
        <w:ind w:left="283" w:firstLine="227"/>
        <w:jc w:val="both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3A11" w:rsidRDefault="0091694B">
      <w:pPr>
        <w:keepNext/>
        <w:ind w:left="4956" w:firstLine="708"/>
        <w:jc w:val="left"/>
        <w:outlineLvl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lastRenderedPageBreak/>
        <w:t>Załącznik</w:t>
      </w:r>
    </w:p>
    <w:p w:rsidR="005B3A11" w:rsidRDefault="0091694B">
      <w:pPr>
        <w:keepNext/>
        <w:ind w:left="4956" w:firstLine="708"/>
        <w:jc w:val="left"/>
        <w:outlineLvl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do uchwały Nr </w:t>
      </w:r>
    </w:p>
    <w:p w:rsidR="005B3A11" w:rsidRDefault="0091694B">
      <w:pPr>
        <w:keepNext/>
        <w:ind w:left="4956" w:firstLine="708"/>
        <w:jc w:val="left"/>
        <w:outlineLvl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Rady Miejskiej w Łodzi</w:t>
      </w:r>
    </w:p>
    <w:p w:rsidR="005B3A11" w:rsidRDefault="0091694B">
      <w:pPr>
        <w:keepNext/>
        <w:ind w:left="4956" w:firstLine="708"/>
        <w:jc w:val="left"/>
        <w:outlineLvl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z dnia </w:t>
      </w:r>
    </w:p>
    <w:p w:rsidR="005B3A11" w:rsidRDefault="005B3A1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B3A11" w:rsidRDefault="0091694B">
      <w:pPr>
        <w:keepNext/>
        <w:spacing w:before="240" w:after="60"/>
        <w:outlineLvl w:val="0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Ocena sytuacji ekonomiczno-finansowej Miejskiego Centrum Terapii i Profilaktyki Zdrowotnej im. bł. Rafała Chylińskiego w Łodzi na podstawie raportu o sytuacji </w:t>
      </w:r>
      <w:r>
        <w:rPr>
          <w:b/>
          <w:szCs w:val="20"/>
          <w:lang w:val="x-none" w:eastAsia="en-US" w:bidi="ar-SA"/>
        </w:rPr>
        <w:t>ekonomiczno-finansowej za rok 2020.</w:t>
      </w:r>
    </w:p>
    <w:p w:rsidR="005B3A11" w:rsidRDefault="0091694B">
      <w:pPr>
        <w:tabs>
          <w:tab w:val="left" w:pos="284"/>
          <w:tab w:val="left" w:pos="360"/>
        </w:tabs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Miejskie Centrum Terapii i Profilaktyki Zdrowotnej im. bł. Rafała Chylińskiego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Łodzi, zwane dalej MCTiPZ im. bł. R. Chylińskiego w Łodzi</w:t>
      </w:r>
      <w:r>
        <w:rPr>
          <w:rFonts w:ascii="TimesNewRoman" w:hAnsi="TimesNewRoman"/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przedstawiło raport prezentujący sytuację ekonomiczno-finansową jednostki w roku obrotowym 2020 oraz prognozę ekonomiczno-finansową na lata 2021-2023. Przedłożony dokument został sporządzony na podstawie rozporządzenia Ministra Zdrowia z dnia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12 kwietnia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2017 r. w sprawie wskaźników ekonomiczno-finansowych niezbędnych do sporządzenia analizy oraz prognozy sytuacji ekonomiczno-finansowej samodzielnych publicznych zakładów opieki zdrowotnej (Dz. U. poz. 832), które określa:</w:t>
      </w:r>
    </w:p>
    <w:p w:rsidR="005B3A11" w:rsidRDefault="0091694B">
      <w:pPr>
        <w:numPr>
          <w:ilvl w:val="0"/>
          <w:numId w:val="1"/>
        </w:numPr>
        <w:tabs>
          <w:tab w:val="left" w:pos="284"/>
        </w:tabs>
        <w:spacing w:before="24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wskaźniki ekonomiczno-finansowe i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sposób ich obliczania, prezentujące poszczególne aspekty sytuacji finansowej jednostki:</w:t>
      </w:r>
    </w:p>
    <w:p w:rsidR="005B3A11" w:rsidRDefault="0091694B">
      <w:pPr>
        <w:numPr>
          <w:ilvl w:val="0"/>
          <w:numId w:val="2"/>
        </w:numPr>
        <w:tabs>
          <w:tab w:val="left" w:pos="360"/>
          <w:tab w:val="left" w:pos="900"/>
        </w:tabs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zyskowności, tj. zdolności jednostki do generowania zysków,</w:t>
      </w:r>
    </w:p>
    <w:p w:rsidR="005B3A11" w:rsidRDefault="0091694B">
      <w:pPr>
        <w:numPr>
          <w:ilvl w:val="0"/>
          <w:numId w:val="2"/>
        </w:numPr>
        <w:tabs>
          <w:tab w:val="left" w:pos="360"/>
          <w:tab w:val="left" w:pos="90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płynności finansowej, tj. zdolności jednostki do terminowego regulowania zaciągniętych zobowiązań krótkoter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minowych,</w:t>
      </w:r>
    </w:p>
    <w:p w:rsidR="005B3A11" w:rsidRDefault="0091694B">
      <w:pPr>
        <w:numPr>
          <w:ilvl w:val="0"/>
          <w:numId w:val="2"/>
        </w:numPr>
        <w:tabs>
          <w:tab w:val="left" w:pos="360"/>
          <w:tab w:val="left" w:pos="90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efektywności zarządzania przepływami finansowymi,</w:t>
      </w:r>
    </w:p>
    <w:p w:rsidR="005B3A11" w:rsidRDefault="0091694B">
      <w:pPr>
        <w:numPr>
          <w:ilvl w:val="0"/>
          <w:numId w:val="2"/>
        </w:numPr>
        <w:tabs>
          <w:tab w:val="left" w:pos="360"/>
          <w:tab w:val="left" w:pos="90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zadłużenia, tj. stopnia finansowania aktywów kapitałami obcymi;</w:t>
      </w:r>
    </w:p>
    <w:p w:rsidR="005B3A11" w:rsidRDefault="0091694B">
      <w:pPr>
        <w:numPr>
          <w:ilvl w:val="0"/>
          <w:numId w:val="1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punktowe oceny dla określonych przedziałów wartości wskaźników.</w:t>
      </w:r>
    </w:p>
    <w:p w:rsidR="005B3A11" w:rsidRDefault="0091694B">
      <w:pPr>
        <w:tabs>
          <w:tab w:val="left" w:pos="360"/>
        </w:tabs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Sumaryczna, maksymalna możliwa ocena punktowa wszystkich wskaźników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ekonomiczno-finansowych dla Samodzielny</w:t>
      </w:r>
      <w:r>
        <w:rPr>
          <w:color w:val="000000"/>
          <w:szCs w:val="20"/>
          <w:shd w:val="clear" w:color="auto" w:fill="FFFFFF"/>
        </w:rPr>
        <w:t>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Publiczny</w:t>
      </w:r>
      <w:r>
        <w:rPr>
          <w:color w:val="000000"/>
          <w:szCs w:val="20"/>
          <w:shd w:val="clear" w:color="auto" w:fill="FFFFFF"/>
        </w:rPr>
        <w:t>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Zakład</w:t>
      </w:r>
      <w:r>
        <w:rPr>
          <w:color w:val="000000"/>
          <w:szCs w:val="20"/>
          <w:shd w:val="clear" w:color="auto" w:fill="FFFFFF"/>
        </w:rPr>
        <w:t>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Opieki Zdrowotnej</w:t>
      </w:r>
      <w:r>
        <w:rPr>
          <w:color w:val="000000"/>
          <w:szCs w:val="20"/>
          <w:shd w:val="clear" w:color="auto" w:fill="FFFFFF"/>
        </w:rPr>
        <w:t xml:space="preserve"> (SPZOZ)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wynikająca z ww. rozporządzenia (za dany rok) wynosi 70 pkt.</w:t>
      </w:r>
    </w:p>
    <w:p w:rsidR="005B3A11" w:rsidRDefault="0091694B">
      <w:pPr>
        <w:tabs>
          <w:tab w:val="left" w:pos="360"/>
        </w:tabs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Ocena formalno-merytoryczna</w:t>
      </w:r>
    </w:p>
    <w:p w:rsidR="005B3A11" w:rsidRDefault="0091694B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Przedstawiony przez MCTiPZ im. bł. R. Chylińskiego w Łodzi raport zawiera obow</w:t>
      </w:r>
      <w:r>
        <w:rPr>
          <w:color w:val="000000"/>
          <w:szCs w:val="20"/>
          <w:shd w:val="clear" w:color="auto" w:fill="FFFFFF"/>
          <w:lang w:val="x-none" w:eastAsia="en-US" w:bidi="ar-SA"/>
        </w:rPr>
        <w:t>iązkowe elementy wymienione w ww. rozporządzeniu. Zawarte w nim punktowe wartości wskaźników zostały wyliczone przez jednostkę prawidłowo i mają swoje odzwierciedlenie w składowych sprawozdania finansowego, tj. bilansie oraz rachunku zysków i strat za 2020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rok oraz prognozie na lata 2021-2023. Przyjęte w raporcie założenia oraz kierunki działań pozwalają na dalsze funkcjonowanie jednostki w ramach: leczenia i terapii uzależnień (w ramach kontraktów z NFZ); prowadzenia miejskich programów profilaktycznych fi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nansowanych z budżetu </w:t>
      </w:r>
      <w:r>
        <w:rPr>
          <w:color w:val="000000"/>
          <w:szCs w:val="20"/>
          <w:shd w:val="clear" w:color="auto" w:fill="FFFFFF"/>
        </w:rPr>
        <w:t>M</w:t>
      </w:r>
      <w:r>
        <w:rPr>
          <w:color w:val="000000"/>
          <w:szCs w:val="20"/>
          <w:shd w:val="clear" w:color="auto" w:fill="FFFFFF"/>
          <w:lang w:val="x-none" w:eastAsia="en-US" w:bidi="ar-SA"/>
        </w:rPr>
        <w:t>iasta</w:t>
      </w:r>
      <w:r>
        <w:rPr>
          <w:color w:val="000000"/>
          <w:szCs w:val="20"/>
          <w:shd w:val="clear" w:color="auto" w:fill="FFFFFF"/>
        </w:rPr>
        <w:t xml:space="preserve"> Łodzi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; wystawiania kart zgonów, usług medycznych świadczonych w ramach czynności wykonywanych przez Komendę Wojewódzką Policji w Łodzi oraz przeciwdziałania wykluczeniu społecznemu (realizacja programów „MOST” i „PORT”). </w:t>
      </w:r>
    </w:p>
    <w:p w:rsidR="005B3A11" w:rsidRDefault="005B3A11">
      <w:pPr>
        <w:tabs>
          <w:tab w:val="left" w:pos="360"/>
        </w:tabs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B3A11" w:rsidRDefault="0091694B">
      <w:pPr>
        <w:keepNext/>
        <w:spacing w:before="240"/>
        <w:jc w:val="left"/>
        <w:outlineLvl w:val="0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lastRenderedPageBreak/>
        <w:t>Wska</w:t>
      </w:r>
      <w:r>
        <w:rPr>
          <w:b/>
          <w:szCs w:val="20"/>
          <w:lang w:val="x-none" w:eastAsia="en-US" w:bidi="ar-SA"/>
        </w:rPr>
        <w:t>źniki MCTiPZ im. bł. R. Chylińskiego w Łodzi za rok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3989"/>
        <w:gridCol w:w="1630"/>
        <w:gridCol w:w="1795"/>
      </w:tblGrid>
      <w:tr w:rsidR="005B3A11">
        <w:trPr>
          <w:trHeight w:val="423"/>
        </w:trPr>
        <w:tc>
          <w:tcPr>
            <w:tcW w:w="8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5B3A11" w:rsidRDefault="0091694B">
            <w:pP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Grupa</w:t>
            </w:r>
          </w:p>
        </w:tc>
        <w:tc>
          <w:tcPr>
            <w:tcW w:w="21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</w:t>
            </w:r>
          </w:p>
        </w:tc>
        <w:tc>
          <w:tcPr>
            <w:tcW w:w="200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2020</w:t>
            </w:r>
          </w:p>
        </w:tc>
      </w:tr>
      <w:tr w:rsidR="005B3A11">
        <w:trPr>
          <w:trHeight w:val="440"/>
        </w:trPr>
        <w:tc>
          <w:tcPr>
            <w:tcW w:w="8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ind w:left="650" w:hanging="650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Wskaźnik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Ilość punktów</w:t>
            </w:r>
          </w:p>
        </w:tc>
      </w:tr>
      <w:tr w:rsidR="005B3A11">
        <w:trPr>
          <w:trHeight w:val="643"/>
        </w:trPr>
        <w:tc>
          <w:tcPr>
            <w:tcW w:w="8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WSKAŹNIKI ZYSKOWNOŚCI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zyskowności  netto  (%)                                               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2,38%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</w:tr>
      <w:tr w:rsidR="005B3A11">
        <w:trPr>
          <w:trHeight w:val="572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zyskowności działalności operacyjnej (%)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2,46%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5B3A11">
        <w:trPr>
          <w:trHeight w:val="650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zyskowność aktywów (%)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1,73%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5B3A11">
        <w:trPr>
          <w:trHeight w:val="667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Maksymalna ocena punktowa 15 pkt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 (67%)</w:t>
            </w:r>
          </w:p>
        </w:tc>
      </w:tr>
      <w:tr w:rsidR="005B3A11">
        <w:trPr>
          <w:trHeight w:val="672"/>
        </w:trPr>
        <w:tc>
          <w:tcPr>
            <w:tcW w:w="8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WSKAŹNIKI PŁYNNOŚCI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bieżącej płynności                               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1,51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</w:tr>
      <w:tr w:rsidR="005B3A11">
        <w:trPr>
          <w:trHeight w:val="547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szybkiej płynności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1,49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13</w:t>
            </w:r>
          </w:p>
        </w:tc>
      </w:tr>
      <w:tr w:rsidR="005B3A11">
        <w:trPr>
          <w:trHeight w:val="689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Maksymalna ocena punktowa 25 pkt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 25 (100%)</w:t>
            </w:r>
          </w:p>
        </w:tc>
      </w:tr>
      <w:tr w:rsidR="005B3A11">
        <w:trPr>
          <w:trHeight w:val="697"/>
        </w:trPr>
        <w:tc>
          <w:tcPr>
            <w:tcW w:w="8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WSKAŹNIKI EFEKTYWNOŚCI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rotacji należności (w dniach)               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13,84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5B3A11">
        <w:trPr>
          <w:trHeight w:val="716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rotacji zobowiązań (w dniach)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24,81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</w:tr>
      <w:tr w:rsidR="005B3A11">
        <w:trPr>
          <w:trHeight w:val="591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Maksymalna ocena punktowa 10 pkt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 (100%)</w:t>
            </w:r>
          </w:p>
        </w:tc>
      </w:tr>
      <w:tr w:rsidR="005B3A11">
        <w:trPr>
          <w:trHeight w:val="596"/>
        </w:trPr>
        <w:tc>
          <w:tcPr>
            <w:tcW w:w="8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WSKAŹNIKI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ZADŁUŻENIA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zadłużenia aktywów (%)                         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13,33%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</w:tr>
      <w:tr w:rsidR="005B3A11">
        <w:trPr>
          <w:trHeight w:val="741"/>
        </w:trPr>
        <w:tc>
          <w:tcPr>
            <w:tcW w:w="8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wypłacalności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0,32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</w:tr>
      <w:tr w:rsidR="005B3A11">
        <w:trPr>
          <w:trHeight w:val="618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Maksymalna ocena punktowa 20 pkt</w:t>
            </w:r>
          </w:p>
        </w:tc>
        <w:tc>
          <w:tcPr>
            <w:tcW w:w="9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20 (100%)</w:t>
            </w:r>
          </w:p>
        </w:tc>
      </w:tr>
      <w:tr w:rsidR="005B3A11">
        <w:trPr>
          <w:trHeight w:val="621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Łączna wartość punktów osiągniętych</w:t>
            </w:r>
          </w:p>
        </w:tc>
        <w:tc>
          <w:tcPr>
            <w:tcW w:w="200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65 (92,86%)</w:t>
            </w:r>
          </w:p>
        </w:tc>
      </w:tr>
      <w:tr w:rsidR="005B3A11">
        <w:trPr>
          <w:trHeight w:val="498"/>
        </w:trPr>
        <w:tc>
          <w:tcPr>
            <w:tcW w:w="29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Maksymalna wartość punktów możliwych do osiągnięcia</w:t>
            </w:r>
          </w:p>
        </w:tc>
        <w:tc>
          <w:tcPr>
            <w:tcW w:w="200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70 (100%)</w:t>
            </w:r>
          </w:p>
        </w:tc>
      </w:tr>
    </w:tbl>
    <w:p w:rsidR="005B3A11" w:rsidRDefault="0091694B">
      <w:pPr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2020 roku MCTiPZ im. bł. R. Chylińskiego w Łodzi osiągnęło wynik finansowy netto w wysokości 263.373 zł (większy o 141 tys. zł niż w 2019 roku). Po dodaniu kosztów amortyzacji wzrósł on do poziomu 440.016 zł. Z samej działalności operacyjnej jednostka o</w:t>
      </w:r>
      <w:r>
        <w:rPr>
          <w:color w:val="000000"/>
          <w:szCs w:val="20"/>
          <w:shd w:val="clear" w:color="auto" w:fill="FFFFFF"/>
          <w:lang w:val="x-none" w:eastAsia="en-US" w:bidi="ar-SA"/>
        </w:rPr>
        <w:t>siągnęła wynik finansowy w wysokości 271.755 zł (większy o prawie 144,4 tys. zł od osiągniętego w 2019 roku).</w:t>
      </w:r>
    </w:p>
    <w:p w:rsidR="005B3A11" w:rsidRDefault="0091694B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Podmiot osiągnął 10 na 15 punktów w skumulowanej skali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wskaźników zyskowności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co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pozwala stwierdzić, że jest rentowny i posiada stabilną sytuacj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ę finansową.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Ogółem wysokość przychodów wyniosła 11 mln zł, co stanowi wzrost w stosunku do 2019 roku (10 mln zł) o ok. 1 mln zł (9,4%). Wysokość kosztów w 2020 roku wyniosła 10,8 mln zł i była wyższa w stosunku do 2019 roku (9,9 mln zł) o 905 tys. zł (ok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8,4%).</w:t>
      </w:r>
    </w:p>
    <w:p w:rsidR="005B3A11" w:rsidRDefault="0091694B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Największy wzrost przychodów w stosunku do 2019 roku nastąpił w ramach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programów profilaktycznych finansowanych z budżetu Miasta Łodzi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5,9 mln zł do 7,1 mln zł (wzrost o 1,2 mln zł, tj. o 17,2%), które dotyczyły: profilaktyki i rozwiązywania pro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blemów alkoholowych, przeciwdziałania narkomanii, profilaktyki i rozwiązywania problemów uzależnień, ochrony zdrowia psychicznego. W przypadku przychodów zakontraktowanych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ramach NFZ ich wysokość spadła z 3,88 mln zł do prawie 3,58 mln zł (o 300 tys.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tj. o 8,4%).</w:t>
      </w:r>
    </w:p>
    <w:p w:rsidR="005B3A11" w:rsidRDefault="0091694B">
      <w:pPr>
        <w:spacing w:after="20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Wzrost kosztów w roku 2020 spowodowany był zwiększonymi wydatkami w szczególności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ramach: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usług obcych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wzrost o 483 tys. zł, w tym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usług medycznych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wzrost o 525 tys. zł;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wynagrodzeń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– wzrost o 331 tys. zł;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materiałów i energii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(m. in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sprzętu jednorazowego, odczynników chemicznych i materiałów diagnostycznych) – wzrost o 129 tys. zł;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ubezpieczeń społecznych i innych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wzrost o prawie 72 tys. zł. Oprócz tego wzrost odnotowano m. in. w pozycji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pozostałe koszty rodzajowe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postaci: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podró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że służbowe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wzrost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 1,3 tys. zł.</w:t>
      </w:r>
    </w:p>
    <w:p w:rsidR="005B3A11" w:rsidRDefault="0091694B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Osiągnięte przez jednostkę wartości w zakresie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wskaźników płynności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wskazują, że nie ma ona trudności z terminową spłatą zobowiązań. W ramach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bieżącej płynności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osiągnęła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ona wartość 1,51 (optymalny zakres wartości: 1,5-2,0), a w przypadku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szybkiej płynności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1,49 (optymalnie: 1 lub więcej). Oba wskaźniki uzyskały akceptowalną wielkość.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Warto również zaznaczyć, że wartość aktywów obrotowych jest większa od zobowiązań krótko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terminowych i rezerw na zobowiązania krótkoterminowe o 65,8%, co oznacza brak trudności w pokrywaniu bieżących zobowiązań (w badanym okresie czasu). </w:t>
      </w:r>
    </w:p>
    <w:p w:rsidR="005B3A11" w:rsidRDefault="0091694B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ramach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wskaźników efektywności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podmiot w 2020 roku średnio potrzebował 14 dni na uregulowanie zobowiąza</w:t>
      </w:r>
      <w:r>
        <w:rPr>
          <w:color w:val="000000"/>
          <w:szCs w:val="20"/>
          <w:shd w:val="clear" w:color="auto" w:fill="FFFFFF"/>
          <w:lang w:val="x-none" w:eastAsia="en-US" w:bidi="ar-SA"/>
        </w:rPr>
        <w:t>ń z tytułu dostaw towarów i usług (wskaźnik rotacji zobowiązań) oraz 25 dni na otrzymanie swoich należności (wskaźnik rotacji należności). Wielkości te są akceptowalne i oznaczają, że MCTiPZ im. bł. R. Chylińskiego w Łodzi działa w sposób efektywny – uzysk</w:t>
      </w:r>
      <w:r>
        <w:rPr>
          <w:color w:val="000000"/>
          <w:szCs w:val="20"/>
          <w:shd w:val="clear" w:color="auto" w:fill="FFFFFF"/>
          <w:lang w:val="x-none" w:eastAsia="en-US" w:bidi="ar-SA"/>
        </w:rPr>
        <w:t>ując maksymalną ilość punktów. Jednostka uzyskuje należności w czasie, który umożliwia terminowe regulowanie swoich zobowiązań.</w:t>
      </w:r>
    </w:p>
    <w:p w:rsidR="005B3A11" w:rsidRDefault="0091694B">
      <w:pPr>
        <w:spacing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2020 roku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 zadłużenia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aktywów jednostki wyniósł 13,33%, a współczynnik wypłacalności 0,32 co plasuje jednostkę w najwy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ższej kategorii punktowej.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Poziom zadłużenia podmiotu odpowiada 1/7 jej aktywów oraz 32 groszom jednej złotówki funduszu własnego, co potwierdza fakt stabilności finansowej i wypłacalności podmiotu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– MCTiPZ im. bł. R. Chylińskiego w Łodzi uzyskało maksym</w:t>
      </w:r>
      <w:r>
        <w:rPr>
          <w:color w:val="000000"/>
          <w:szCs w:val="20"/>
          <w:shd w:val="clear" w:color="auto" w:fill="FFFFFF"/>
          <w:lang w:val="x-none" w:eastAsia="en-US" w:bidi="ar-SA"/>
        </w:rPr>
        <w:t>alną ilość punktów.</w:t>
      </w:r>
    </w:p>
    <w:p w:rsidR="005B3A11" w:rsidRDefault="0091694B">
      <w:pPr>
        <w:spacing w:after="200" w:line="276" w:lineRule="auto"/>
        <w:jc w:val="both"/>
        <w:rPr>
          <w:i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podstawie wyliczonych wskaźników za 2020 rok MCTiPZ im. bł. R. Chylińskiego w Łodzi uzyskało łączną ocenę punktową w wysokości 65 pkt, co stanowi 92,86% punktów możliwych do uzyskania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5B3A11" w:rsidRDefault="005B3A11">
      <w:pPr>
        <w:spacing w:after="200" w:line="276" w:lineRule="auto"/>
        <w:jc w:val="both"/>
        <w:rPr>
          <w:i/>
          <w:color w:val="000000"/>
          <w:szCs w:val="20"/>
          <w:shd w:val="clear" w:color="auto" w:fill="FFFFFF"/>
          <w:lang w:val="x-none" w:eastAsia="en-US" w:bidi="ar-SA"/>
        </w:rPr>
      </w:pPr>
    </w:p>
    <w:p w:rsidR="005B3A11" w:rsidRDefault="005B3A11">
      <w:pPr>
        <w:spacing w:after="200" w:line="276" w:lineRule="auto"/>
        <w:jc w:val="both"/>
        <w:rPr>
          <w:i/>
          <w:color w:val="000000"/>
          <w:szCs w:val="20"/>
          <w:shd w:val="clear" w:color="auto" w:fill="FFFFFF"/>
          <w:lang w:val="x-none" w:eastAsia="en-US" w:bidi="ar-SA"/>
        </w:rPr>
      </w:pPr>
    </w:p>
    <w:p w:rsidR="005B3A11" w:rsidRDefault="0091694B">
      <w:pPr>
        <w:keepNext/>
        <w:spacing w:after="60"/>
        <w:jc w:val="both"/>
        <w:outlineLvl w:val="0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Wskaźniki MCTiPZ im. bł. R. Chylińskiego w Łod</w:t>
      </w:r>
      <w:r>
        <w:rPr>
          <w:b/>
          <w:szCs w:val="20"/>
          <w:lang w:val="x-none" w:eastAsia="en-US" w:bidi="ar-SA"/>
        </w:rPr>
        <w:t>zi – prognoza na lata 2021-2023</w:t>
      </w:r>
    </w:p>
    <w:tbl>
      <w:tblPr>
        <w:tblW w:w="10245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500"/>
        <w:gridCol w:w="1185"/>
        <w:gridCol w:w="1080"/>
        <w:gridCol w:w="1125"/>
        <w:gridCol w:w="1050"/>
        <w:gridCol w:w="1185"/>
        <w:gridCol w:w="1005"/>
      </w:tblGrid>
      <w:tr w:rsidR="005B3A11">
        <w:trPr>
          <w:trHeight w:val="106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Grupa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2021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2022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2023</w:t>
            </w:r>
          </w:p>
        </w:tc>
      </w:tr>
      <w:tr w:rsidR="005B3A11">
        <w:trPr>
          <w:trHeight w:val="394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Ilość punktów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Ilość punktów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Ilość punktów</w:t>
            </w:r>
          </w:p>
        </w:tc>
      </w:tr>
      <w:tr w:rsidR="005B3A11">
        <w:trPr>
          <w:trHeight w:val="160"/>
        </w:trPr>
        <w:tc>
          <w:tcPr>
            <w:tcW w:w="21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</w:t>
            </w: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NIKI ZYSKOWNOŚCI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zyskowności  netto  (%)                                               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-14,61%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-11,12%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-12,76%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</w:tr>
      <w:tr w:rsidR="005B3A11">
        <w:trPr>
          <w:trHeight w:val="306"/>
        </w:trPr>
        <w:tc>
          <w:tcPr>
            <w:tcW w:w="2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zyskowności działalności operacyjnej (%)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-14,30%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-11,09%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-12,73%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</w:tr>
      <w:tr w:rsidR="005B3A11">
        <w:trPr>
          <w:trHeight w:val="200"/>
        </w:trPr>
        <w:tc>
          <w:tcPr>
            <w:tcW w:w="2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zyskowność aktywów (%)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-9,42%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-6,86%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-6,86%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</w:tr>
      <w:tr w:rsidR="005B3A11">
        <w:trPr>
          <w:trHeight w:val="605"/>
        </w:trPr>
        <w:tc>
          <w:tcPr>
            <w:tcW w:w="3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 Maksymalna ocena punktowa 15 pkt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</w:tr>
      <w:tr w:rsidR="005B3A11">
        <w:trPr>
          <w:trHeight w:val="543"/>
        </w:trPr>
        <w:tc>
          <w:tcPr>
            <w:tcW w:w="21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 PŁYNNOŚCI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bieżącej płynności                               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</w:tr>
      <w:tr w:rsidR="005B3A11">
        <w:trPr>
          <w:trHeight w:val="181"/>
        </w:trPr>
        <w:tc>
          <w:tcPr>
            <w:tcW w:w="2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szybkiej płynności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</w:tr>
      <w:tr w:rsidR="005B3A11">
        <w:trPr>
          <w:trHeight w:val="134"/>
        </w:trPr>
        <w:tc>
          <w:tcPr>
            <w:tcW w:w="3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 Maksymalna ocena punktowa 25 pkt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</w:tr>
      <w:tr w:rsidR="005B3A11">
        <w:trPr>
          <w:trHeight w:val="436"/>
        </w:trPr>
        <w:tc>
          <w:tcPr>
            <w:tcW w:w="21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 EFEKTYWNOŚCI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rotacji należności (w dniach)               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13,07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11,14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11,14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</w:tr>
      <w:tr w:rsidR="005B3A11">
        <w:trPr>
          <w:trHeight w:val="330"/>
        </w:trPr>
        <w:tc>
          <w:tcPr>
            <w:tcW w:w="2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rotacji zobowiązań (w dniach)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40,57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57,37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83,63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</w:tr>
      <w:tr w:rsidR="005B3A11">
        <w:trPr>
          <w:trHeight w:val="83"/>
        </w:trPr>
        <w:tc>
          <w:tcPr>
            <w:tcW w:w="3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Maksymalna ocena punktowa 10 pkt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</w:t>
            </w:r>
          </w:p>
        </w:tc>
      </w:tr>
      <w:tr w:rsidR="005B3A11">
        <w:trPr>
          <w:trHeight w:val="86"/>
        </w:trPr>
        <w:tc>
          <w:tcPr>
            <w:tcW w:w="21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WSKAŹNIKI ZADŁUŻENIA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zadłużenia aktywów (%)              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13,93%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17,81%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18,28%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</w:tr>
      <w:tr w:rsidR="005B3A11">
        <w:trPr>
          <w:trHeight w:val="462"/>
        </w:trPr>
        <w:tc>
          <w:tcPr>
            <w:tcW w:w="2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jc w:val="left"/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wypłacalności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1,57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4,74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A11" w:rsidRDefault="0091694B">
            <w:pP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0</w:t>
            </w:r>
          </w:p>
        </w:tc>
      </w:tr>
      <w:tr w:rsidR="005B3A11">
        <w:trPr>
          <w:trHeight w:val="60"/>
        </w:trPr>
        <w:tc>
          <w:tcPr>
            <w:tcW w:w="3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Maksymalna ocena punktowa 20 pkt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91694B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Razem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18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5B3A11" w:rsidRDefault="005B3A11">
            <w:pPr>
              <w:jc w:val="left"/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</w:tr>
      <w:tr w:rsidR="005B3A11">
        <w:trPr>
          <w:trHeight w:val="71"/>
        </w:trPr>
        <w:tc>
          <w:tcPr>
            <w:tcW w:w="3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Łączna wartość punktów osiągniętych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28 (40%)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26 (37,14%)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17 (24,29%)</w:t>
            </w:r>
          </w:p>
        </w:tc>
      </w:tr>
      <w:tr w:rsidR="005B3A11">
        <w:trPr>
          <w:trHeight w:val="230"/>
        </w:trPr>
        <w:tc>
          <w:tcPr>
            <w:tcW w:w="3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Maksymalna wartość punktów możliwych do osiągnięcia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70   (100%)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70   (100%)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5B3A11" w:rsidRDefault="0091694B">
            <w:pP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70   (100%)</w:t>
            </w:r>
          </w:p>
        </w:tc>
      </w:tr>
    </w:tbl>
    <w:p w:rsidR="005B3A11" w:rsidRDefault="005B3A1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B3A11" w:rsidRDefault="0091694B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Prognozowane przez MCTiPZ im. bł. R. Chylińskiego w Łodzi wskaźniki na lata 2021-2023</w:t>
      </w:r>
    </w:p>
    <w:p w:rsidR="005B3A11" w:rsidRDefault="0091694B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Wskaźniki zyskowności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prognozuje się sukcesywny spadek wysokości wskaźników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ze względu na nieproporcjonalny wzrost kosztów do zakontraktowanych świadczeń.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efekcie 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oże dojść do sytuacji, w której jednostka skonsumuje posiadane środki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i będzie miała trudność z dalszym funkcjonowaniem. Ma to swoje odzwierciedlenie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wysokości prognozowanych wyników finansowych netto, które już w 2021 roku mogą być mniejsze o 1,8 mln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zł od osiągniętych w 2020 roku.</w:t>
      </w:r>
    </w:p>
    <w:p w:rsidR="005B3A11" w:rsidRDefault="0091694B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Wskaźniki płynności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MCTiPZ im. bł. R. Chylińskiego w Łodzi zakłada sukcesywny spadek płynności, co może rodzić trudności w bieżącym utrzymaniu podmiotu – ryzyko zwiększenia zaangażowania środków z budżetu </w:t>
      </w:r>
      <w:r>
        <w:rPr>
          <w:color w:val="000000"/>
          <w:szCs w:val="20"/>
          <w:shd w:val="clear" w:color="auto" w:fill="FFFFFF"/>
        </w:rPr>
        <w:t>M</w:t>
      </w:r>
      <w:r>
        <w:rPr>
          <w:color w:val="000000"/>
          <w:szCs w:val="20"/>
          <w:shd w:val="clear" w:color="auto" w:fill="FFFFFF"/>
          <w:lang w:val="x-none" w:eastAsia="en-US" w:bidi="ar-SA"/>
        </w:rPr>
        <w:t>iasta</w:t>
      </w:r>
      <w:r>
        <w:rPr>
          <w:color w:val="000000"/>
          <w:szCs w:val="20"/>
          <w:shd w:val="clear" w:color="auto" w:fill="FFFFFF"/>
        </w:rPr>
        <w:t xml:space="preserve"> Łodzi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</w:p>
    <w:p w:rsidR="005B3A11" w:rsidRDefault="0091694B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kaźniki efektywności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prognoza przewiduje stabilizację w zakresie rotacji należności (11-13 dni) oraz znaczny wzrost w zakresie rotacji zobowiązań (41-84 dni).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Oznacza to, że MCTiPZ im. bł. R. Chylińskiego w Łodzi przewiduje pojawienie się problemów z ef</w:t>
      </w:r>
      <w:r>
        <w:rPr>
          <w:color w:val="000000"/>
          <w:szCs w:val="20"/>
          <w:shd w:val="clear" w:color="auto" w:fill="FFFFFF"/>
          <w:lang w:val="x-none" w:eastAsia="en-US" w:bidi="ar-SA"/>
        </w:rPr>
        <w:t>ektywnym pokrywaniem zobowiązań.</w:t>
      </w:r>
    </w:p>
    <w:p w:rsidR="005B3A11" w:rsidRDefault="0091694B">
      <w:pPr>
        <w:numPr>
          <w:ilvl w:val="0"/>
          <w:numId w:val="3"/>
        </w:numPr>
        <w:tabs>
          <w:tab w:val="left" w:pos="360"/>
        </w:tabs>
        <w:spacing w:after="200" w:line="276" w:lineRule="auto"/>
        <w:ind w:left="36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Wskaźniki zadłużenia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prognozowane wielkoś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są większe niż osiągnięte w 2020 roku, na co wpływa niepewna sytuacja finansowa jednostki. W przypadku wskaźnika zadłużenia aktywów mieści się on w przedziale 13,93%-18,28%, co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uznaje się za akceptowalny poziom dla SPZOZ-ów. Z kolei wskaźnik wypłacalności osiągnął wielkość: 0,65 w 2021 roku, 1,57 w 2022 roku oraz 4,74 w 2023 roku. Oznacza to, że wysokość kapitałów obcych zaczyna przewyższać fundusz własny, a co za tym idzie sytua</w:t>
      </w:r>
      <w:r>
        <w:rPr>
          <w:color w:val="000000"/>
          <w:szCs w:val="20"/>
          <w:shd w:val="clear" w:color="auto" w:fill="FFFFFF"/>
          <w:lang w:val="x-none" w:eastAsia="en-US" w:bidi="ar-SA"/>
        </w:rPr>
        <w:t>cja finansowa MCTiPZ im. bł. R. Chylińskiego w Łodzi staje się niestabilna.</w:t>
      </w:r>
    </w:p>
    <w:p w:rsidR="005B3A11" w:rsidRDefault="0091694B">
      <w:pPr>
        <w:spacing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Prognoza MCTiPZ im. bł. R. Chylińskiego w Łodzi na lata 2021-2023 (zł)</w:t>
      </w:r>
    </w:p>
    <w:tbl>
      <w:tblPr>
        <w:tblW w:w="9086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1357"/>
        <w:gridCol w:w="911"/>
        <w:gridCol w:w="851"/>
        <w:gridCol w:w="992"/>
        <w:gridCol w:w="850"/>
        <w:gridCol w:w="1134"/>
      </w:tblGrid>
      <w:tr w:rsidR="005B3A11">
        <w:trPr>
          <w:trHeight w:val="14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5B3A11" w:rsidRDefault="0091694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Dane bilansowe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B3A11" w:rsidRDefault="0091694B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2021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B3A11" w:rsidRDefault="0091694B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B3A11" w:rsidRDefault="0091694B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3A11" w:rsidRDefault="0091694B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5B3A11">
        <w:trPr>
          <w:trHeight w:val="557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Wynik finansowy netto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trend: rosnący / 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malejący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/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stały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-1.577.782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-1.213.220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tabs>
                <w:tab w:val="left" w:pos="3530"/>
              </w:tabs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-1.388.920</w:t>
            </w:r>
          </w:p>
        </w:tc>
      </w:tr>
      <w:tr w:rsidR="005B3A11">
        <w:trPr>
          <w:trHeight w:val="81"/>
        </w:trPr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>wnioski : trend początkowo malejący, stabilizujący się na poziomie uniemożliwiającym jednostce prawidłowe funkcjonowanie.</w:t>
            </w:r>
          </w:p>
        </w:tc>
      </w:tr>
      <w:tr w:rsidR="005B3A11">
        <w:trPr>
          <w:trHeight w:val="258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Majątek trwały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trend: 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rosnący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/ malejący /stały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14.916.939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18.498.638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20.301.249</w:t>
            </w:r>
          </w:p>
        </w:tc>
      </w:tr>
      <w:tr w:rsidR="005B3A11">
        <w:trPr>
          <w:trHeight w:val="115"/>
        </w:trPr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wnioski: </w:t>
            </w: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>trend wzrostowy w wyniku finalizacji kolejnych inwestycji.</w:t>
            </w:r>
          </w:p>
        </w:tc>
      </w:tr>
      <w:tr w:rsidR="005B3A11">
        <w:trPr>
          <w:trHeight w:val="415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Kapitał własny                                                 trend: rosnący / </w:t>
            </w: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malejący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/ stały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3.416.954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2.203.734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814.814</w:t>
            </w:r>
          </w:p>
        </w:tc>
      </w:tr>
      <w:tr w:rsidR="005B3A11">
        <w:trPr>
          <w:trHeight w:val="131"/>
        </w:trPr>
        <w:tc>
          <w:tcPr>
            <w:tcW w:w="90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wnioski: trend malejący spowodowany przekazaniem nieruchomości przy </w:t>
            </w:r>
            <w:r>
              <w:rPr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>ul. Kilińskiego Miastu Łódź oraz planowanym ujemnym wynikiem finansowym.</w:t>
            </w:r>
          </w:p>
        </w:tc>
      </w:tr>
      <w:tr w:rsidR="005B3A11">
        <w:trPr>
          <w:trHeight w:val="131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Wynik finansowy ze sprzedaży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-1.405.532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-1.462.680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-1.615.210</w:t>
            </w:r>
          </w:p>
        </w:tc>
      </w:tr>
      <w:tr w:rsidR="005B3A11">
        <w:trPr>
          <w:trHeight w:val="131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Wynik finansowy z działalności operacyjnej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-1.544.182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-1.209.130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-1.385.210</w:t>
            </w:r>
          </w:p>
        </w:tc>
      </w:tr>
      <w:tr w:rsidR="005B3A11">
        <w:trPr>
          <w:trHeight w:val="131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Koszty amortyzacji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332.830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313.340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307.500</w:t>
            </w:r>
          </w:p>
        </w:tc>
      </w:tr>
      <w:tr w:rsidR="005B3A11">
        <w:trPr>
          <w:trHeight w:val="131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Wynik finansowy netto po dodaniu kosztów amortyzacji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-1.244.952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-899.880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3A11" w:rsidRDefault="0091694B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-1.081.420</w:t>
            </w:r>
          </w:p>
        </w:tc>
      </w:tr>
    </w:tbl>
    <w:p w:rsidR="005B3A11" w:rsidRDefault="0091694B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Prognoza na 2021 rok powstała w oparciu o obowiązujące umowy z: NFZ (3,1 mln zł), Miastem Łódź z tytułu programów profilaktycznych (7,1 mln zł) oraz w ramach pozo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stałej sprzedaży dotyczącej umów z Komendą Wojewódzką Policji w Łodzi oraz Miastem Łódź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zakresie wystawiania kart zgonów (MCTiPZ im. bł. R. Chylińskiego w Łodzi podało łączną kwotę w wysokości 217,5 tys. zł). </w:t>
      </w:r>
    </w:p>
    <w:p w:rsidR="005B3A11" w:rsidRDefault="0091694B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Wysokość kosztów została oszacowana w oparciu o średnią ich wielkość w latach poprzednich, z uwzględnieniem inflacji, wzrostów wynagrodzeń oraz potencjalnych kosztów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związanych z epidemią SARS-CoV-2. Kluczowymi pozycjami w tej kategorii są: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wynagrodzenia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wysokości 6,75 mln zł;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usług</w:t>
      </w:r>
      <w:r>
        <w:rPr>
          <w:b/>
          <w:color w:val="000000"/>
          <w:szCs w:val="20"/>
          <w:shd w:val="clear" w:color="auto" w:fill="FFFFFF"/>
        </w:rPr>
        <w:t>i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obc</w:t>
      </w:r>
      <w:r>
        <w:rPr>
          <w:b/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wysokości 2,6 mln zł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dotyczące podwykonawstwa medycznego (kontrakty lekarskie, umowy cywilno-prawne dot. świadczeń medycznych i usług lekarzy medycyny sądowej), w tym 1,86 mln zł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usługi medyczne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jak również 370 tys.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wyżywienie pacjentów.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kolei wartość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materiałów i energii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oszacowano na poziomie 751,4 tys. zł, w tym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materiałów niemedycznych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prawie 270 tys. zł (wyposażenie noclegowni „PORT”) 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materiałów medycznych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poziomie 108,4 tys. zł, a zakup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energii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ysokości 373 tys. zł. Oprócz tego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amortyzacja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została oszacowana na poziomie 332,8 tys. zł – zgodnie z planem amortyzacji z uwzględnieniem budynku ww. noclegowni, oddanej do użytku w 2021 roku.</w:t>
      </w:r>
    </w:p>
    <w:p w:rsidR="005B3A11" w:rsidRDefault="0091694B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Przedstawione kierunki działań, zmiany w zakresie finansowo-ek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onomicznym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oraz odpowiadające im wartości liczbowe odpowiadają danym wykazanym w korekcie planu na 2021 rok przedstawionego przez MCTiPZ im. bł. R. Chylińskiego w Łodzi.</w:t>
      </w:r>
    </w:p>
    <w:p w:rsidR="005B3A11" w:rsidRDefault="0091694B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Prognoza na kolejne lata zakłada utrzymanie działalności w dotychczasowym zakresie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o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raz na poziomie roku poprzedzającego, biorąc pod uwagę czynniki zewnętrzne oraz obowiązujące kontrakty z NFZ i Miastem Łódź, a także średnią wysokością kosztów z lat poprzednich, z jednoczesnym uwzględnieniem odpisów amortyzacyjnych w wyniku zrealizowanych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inwestycji. Warto zauważyć, że przychody w ramach kontraktów z NFZ zostały zaplanowane na lata 2021-2023 na poziomie niższym, niż wykonanie w 2020 roku.</w:t>
      </w:r>
    </w:p>
    <w:p w:rsidR="005B3A11" w:rsidRDefault="0091694B">
      <w:pPr>
        <w:spacing w:before="240" w:after="20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Reasumując, w kolejnych latach prognozuje się ogółem stały poziom przychodów i kosztów: w 2021 roku pr</w:t>
      </w:r>
      <w:r>
        <w:rPr>
          <w:color w:val="000000"/>
          <w:szCs w:val="20"/>
          <w:shd w:val="clear" w:color="auto" w:fill="FFFFFF"/>
          <w:lang w:val="x-none" w:eastAsia="en-US" w:bidi="ar-SA"/>
        </w:rPr>
        <w:t>zychody: 10.799.348 zł, koszty: 12.377.130 zł, w 2022 roku przychody: 10.916.910 zł, koszty: 12.130.130 zł, a w 2023 roku przychody: 10.885.140 zł, koszty: 12.274.060 zł. W rezultacie planowany wynik finansowy to: w 2021 roku -1.577.782 zł, w 2022 roku -1.</w:t>
      </w:r>
      <w:r>
        <w:rPr>
          <w:color w:val="000000"/>
          <w:szCs w:val="20"/>
          <w:shd w:val="clear" w:color="auto" w:fill="FFFFFF"/>
          <w:lang w:val="x-none" w:eastAsia="en-US" w:bidi="ar-SA"/>
        </w:rPr>
        <w:t>213.220 zł, a w 2023 roku -1.388.920 zł.</w:t>
      </w:r>
    </w:p>
    <w:p w:rsidR="005B3A11" w:rsidRDefault="0091694B">
      <w:pPr>
        <w:spacing w:after="20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Pozostałe założenia przyjęte przez MCTiPZ im. bł. R. Chylińskiego w Łodzi na lata 2021-2023</w:t>
      </w:r>
    </w:p>
    <w:p w:rsidR="005B3A11" w:rsidRDefault="0091694B">
      <w:pPr>
        <w:spacing w:after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2021 rok zaplanowano oddanie do użytku noclegowni przy ul. Przybyszewskiego 253 – projekt nosi nazwę „PORT” – Pomoc Opieka Ratunek Terapia. Inwestycja została zakończona w kwietniu 2021 roku. Jej koszt to 8,95 mln zł, z czego dofinansowanie Miasta Łodzi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wyniosło 4,77 mln zł (dofinansowanie z UE 2,43 zł; środki własne 1,75 mln zł).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2021 roku zaplanowano również kontynuację projektu „MOST” – Mieszkanie, Opieka, Samodzielność, Terapia – budowa hostelu dla osób wykluczonych. W II kwartale 2021 roku jednos</w:t>
      </w:r>
      <w:r>
        <w:rPr>
          <w:color w:val="000000"/>
          <w:szCs w:val="20"/>
          <w:shd w:val="clear" w:color="auto" w:fill="FFFFFF"/>
          <w:lang w:val="x-none" w:eastAsia="en-US" w:bidi="ar-SA"/>
        </w:rPr>
        <w:t>tka podpisała umowę z Urzędem Miasta Łodzi na dofinansowanie w wysokości 4.578.415 zł. Inwestycja ma się zakończyć w 2023 roku.</w:t>
      </w:r>
    </w:p>
    <w:p w:rsidR="005B3A11" w:rsidRDefault="0091694B">
      <w:pPr>
        <w:spacing w:after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MCTiPZ im. bł. R. Chylińskiego w Łodzi p</w:t>
      </w:r>
      <w:r>
        <w:rPr>
          <w:color w:val="000000"/>
          <w:szCs w:val="20"/>
          <w:shd w:val="clear" w:color="auto" w:fill="FFFFFF"/>
        </w:rPr>
        <w:t xml:space="preserve">rognozuje osiągnięcie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ujemn</w:t>
      </w:r>
      <w:r>
        <w:rPr>
          <w:color w:val="000000"/>
          <w:szCs w:val="20"/>
          <w:shd w:val="clear" w:color="auto" w:fill="FFFFFF"/>
        </w:rPr>
        <w:t>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wynik</w:t>
      </w:r>
      <w:r>
        <w:rPr>
          <w:color w:val="000000"/>
          <w:szCs w:val="20"/>
          <w:shd w:val="clear" w:color="auto" w:fill="FFFFFF"/>
        </w:rPr>
        <w:t>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latach 2021-2023 (np. w 2021 roku -1.577.782,20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zł), argumentując to sukcesywnym wzrostem kosztów w zakresie wynagrodzeń dla pracowników wykonujących zawody medyczne i pracowników działalności podstawowej oraz inflacją wpływającą na zwiększenie się wydatków na wyżywienie pacjentów. Oprócz tego jednostk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 zaznacza, że na planowane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wyniki wpływ ma ograniczenie finansowania programów profilaktycznych ze strony Miasta Łodzi. Są one podstawowym źródłem utrzymania jednostki (w 2020 roku było to 65% przychodów, a w 2021 roku jest to 66%).</w:t>
      </w:r>
    </w:p>
    <w:p w:rsidR="005B3A11" w:rsidRDefault="0091694B">
      <w:p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2022 roku planowana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jest kontynuacja dotychczasowej działalności jednostki oraz dalsza realizacja projektu „MOST”. W zakresie przychodów, ich wysokość ustalono w oparciu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o obowiązujące umowy. Koszty zostały oszacowane w oparciu o średnią ich wysokość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lat ubiegłych, z uwzg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lędnieniem inflacji oraz przeciętnego wynagrodzenia brutto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 gospodarce narodowej, a także w oparciu o odpisy aktualizacyjne środków trwałych m. in. w wyniku zakończonych inwestycji. Jednostka prognozuje ujemny wynik finansowy, wskazując na potrzebę zwięk</w:t>
      </w:r>
      <w:r>
        <w:rPr>
          <w:color w:val="000000"/>
          <w:szCs w:val="20"/>
          <w:shd w:val="clear" w:color="auto" w:fill="FFFFFF"/>
          <w:lang w:val="x-none" w:eastAsia="en-US" w:bidi="ar-SA"/>
        </w:rPr>
        <w:t>szenia wartości umów z Miastem Łódź do poziomu z 2020 roku.</w:t>
      </w:r>
    </w:p>
    <w:p w:rsidR="005B3A11" w:rsidRDefault="0091694B">
      <w:pPr>
        <w:spacing w:before="240"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2023 roku planowane jest oddanie do użytkowania obiektu przy ul. Niciarnianej 41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(w ramach projektu „MOST”) oraz kontynuacja dotychczasowej działalności.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Wysokość przychodów i kosztów została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oszacowana w sposób analogiczny do tych zaplanowanych na 2022 rok, z uwzględnieniem zwiększonego odpisu z tytułu amortyzacji. </w:t>
      </w:r>
    </w:p>
    <w:p w:rsidR="005B3A11" w:rsidRDefault="0091694B">
      <w:pPr>
        <w:spacing w:before="240" w:after="20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Informacja o istotnych zdarzeniach dla MCTiPZ im. bł. R. Chylińskiego w Łodzi – prognoza na lata 2021-2023</w:t>
      </w:r>
    </w:p>
    <w:p w:rsidR="005B3A11" w:rsidRDefault="0091694B">
      <w:pPr>
        <w:spacing w:line="276" w:lineRule="auto"/>
        <w:jc w:val="both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prognozie na lata 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21-2023 MCTiPZ im. bł. R. Chylińskiego w Łodzi zakłada </w:t>
      </w:r>
      <w:r>
        <w:rPr>
          <w:color w:val="000000"/>
          <w:szCs w:val="20"/>
          <w:shd w:val="clear" w:color="auto" w:fill="FFFFFF"/>
        </w:rPr>
        <w:t xml:space="preserve"> kontynuowanie dotychczasowej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działalności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jednakże w szerszym zakresie dzięki projektom inwestycyjnym PORT i MOST.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Największą część przychodów stanowią te z programów finansowanych z budżetu miasta</w:t>
      </w:r>
      <w:r>
        <w:rPr>
          <w:color w:val="000000"/>
          <w:szCs w:val="20"/>
          <w:shd w:val="clear" w:color="auto" w:fill="FFFFFF"/>
        </w:rPr>
        <w:t xml:space="preserve"> Ł</w:t>
      </w:r>
      <w:r>
        <w:rPr>
          <w:color w:val="000000"/>
          <w:szCs w:val="20"/>
          <w:shd w:val="clear" w:color="auto" w:fill="FFFFFF"/>
        </w:rPr>
        <w:t>odzi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(ok. 65%). Kluczow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kwesti</w:t>
      </w:r>
      <w:r>
        <w:rPr>
          <w:color w:val="000000"/>
          <w:szCs w:val="20"/>
          <w:shd w:val="clear" w:color="auto" w:fill="FFFFFF"/>
        </w:rPr>
        <w:t>e,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jakie wskazuje jednostka,</w:t>
      </w:r>
      <w:r>
        <w:rPr>
          <w:szCs w:val="20"/>
          <w:shd w:val="clear" w:color="auto" w:fill="FFFFFF"/>
          <w:lang w:val="x-none" w:eastAsia="en-US" w:bidi="ar-SA"/>
        </w:rPr>
        <w:t xml:space="preserve"> </w:t>
      </w:r>
      <w:r>
        <w:rPr>
          <w:szCs w:val="20"/>
          <w:shd w:val="clear" w:color="auto" w:fill="FFFFFF"/>
        </w:rPr>
        <w:t>to</w:t>
      </w:r>
      <w:r>
        <w:rPr>
          <w:szCs w:val="20"/>
          <w:shd w:val="clear" w:color="auto" w:fill="FFFFFF"/>
          <w:lang w:val="x-none" w:eastAsia="en-US" w:bidi="ar-SA"/>
        </w:rPr>
        <w:t>:</w:t>
      </w:r>
    </w:p>
    <w:p w:rsidR="005B3A11" w:rsidRDefault="0091694B">
      <w:pPr>
        <w:numPr>
          <w:ilvl w:val="0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osiąganie niewystarczających przychodów w stosunku do dynamiki wzrostu kosztów utrzymania jednostki - m. in.: w zakresie wynagrodzeń</w:t>
      </w:r>
      <w:r>
        <w:rPr>
          <w:color w:val="000000"/>
          <w:szCs w:val="20"/>
          <w:shd w:val="clear" w:color="auto" w:fill="FFFFFF"/>
        </w:rPr>
        <w:t>, na co wpływ mają uregulowania zewnętrzne (np. realizacj</w:t>
      </w:r>
      <w:r>
        <w:rPr>
          <w:color w:val="000000"/>
          <w:szCs w:val="20"/>
          <w:shd w:val="clear" w:color="auto" w:fill="FFFFFF"/>
        </w:rPr>
        <w:t>a przepisów prawnych podnoszących wynagrodzenia personelu medycznego i niemedycznego);</w:t>
      </w:r>
    </w:p>
    <w:p w:rsidR="005B3A11" w:rsidRDefault="0091694B">
      <w:pPr>
        <w:numPr>
          <w:ilvl w:val="0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przywrócenie równowagi finansowej poprzez zwiększenie </w:t>
      </w:r>
      <w:r>
        <w:rPr>
          <w:color w:val="000000"/>
          <w:szCs w:val="20"/>
          <w:shd w:val="clear" w:color="auto" w:fill="FFFFFF"/>
        </w:rPr>
        <w:t>dofinansowania zadań zleconych jednostce przez Miasto Łódź;</w:t>
      </w:r>
    </w:p>
    <w:p w:rsidR="005B3A11" w:rsidRDefault="0091694B">
      <w:pPr>
        <w:numPr>
          <w:ilvl w:val="0"/>
          <w:numId w:val="4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przedłużający się czas pandemii generujący dodatkowe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zadania i wydatki z nimi związane, kosztem podstawowej działalności i realizacji zakontraktowanych świadczeń.</w:t>
      </w:r>
    </w:p>
    <w:p w:rsidR="005B3A11" w:rsidRDefault="0091694B">
      <w:pPr>
        <w:spacing w:before="240" w:after="200" w:line="276" w:lineRule="auto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Podsumowanie</w:t>
      </w:r>
    </w:p>
    <w:p w:rsidR="005B3A11" w:rsidRDefault="0091694B">
      <w:p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podstawie raportu o sytuacji ekonomiczno-finansowej MCTiPZ im. bł. R. Chylińskiego w Łodzi, funkcjonującego jako </w:t>
      </w:r>
      <w:r>
        <w:rPr>
          <w:color w:val="000000"/>
          <w:szCs w:val="20"/>
          <w:shd w:val="clear" w:color="auto" w:fill="FFFFFF"/>
        </w:rPr>
        <w:t>SPZOZ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należy stwi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erdzić, że:</w:t>
      </w:r>
    </w:p>
    <w:p w:rsidR="005B3A11" w:rsidRDefault="0091694B">
      <w:pPr>
        <w:numPr>
          <w:ilvl w:val="0"/>
          <w:numId w:val="5"/>
        </w:numPr>
        <w:spacing w:line="276" w:lineRule="auto"/>
        <w:jc w:val="both"/>
        <w:rPr>
          <w:i/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ocena dokonana na podstawie wskaźników ekonomiczno-finansowych 2020 roku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jest pozytywna – podmiot posiada obecnie stabilną sytuację finansową</w:t>
      </w:r>
      <w:r>
        <w:rPr>
          <w:color w:val="000000"/>
          <w:szCs w:val="20"/>
          <w:shd w:val="clear" w:color="auto" w:fill="FFFFFF"/>
        </w:rPr>
        <w:t>,</w:t>
      </w:r>
    </w:p>
    <w:p w:rsidR="005B3A11" w:rsidRDefault="0091694B">
      <w:pPr>
        <w:numPr>
          <w:ilvl w:val="0"/>
          <w:numId w:val="5"/>
        </w:numPr>
        <w:spacing w:line="276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jednostka wskazuje na konieczność urealnienia przychodów w latach 2021-2023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ramach umów z Miastem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Łódź – brak ich zwiększenia może spowodować problemy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płynnością, regulowaniem bieżących zobowiązań oraz jakością realizowanych świadczeń.</w:t>
      </w:r>
    </w:p>
    <w:p w:rsidR="005B3A11" w:rsidRDefault="0091694B">
      <w:pPr>
        <w:spacing w:before="240" w:line="276" w:lineRule="auto"/>
        <w:jc w:val="both"/>
        <w:rPr>
          <w:szCs w:val="20"/>
          <w:shd w:val="clear" w:color="auto" w:fill="FFFFFF"/>
          <w:lang w:val="x-none" w:eastAsia="en-US" w:bidi="ar-SA"/>
        </w:rPr>
        <w:sectPr w:rsidR="005B3A11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titlePg/>
        </w:sectPr>
      </w:pPr>
      <w:r>
        <w:rPr>
          <w:szCs w:val="20"/>
          <w:shd w:val="clear" w:color="auto" w:fill="FFFFFF"/>
          <w:lang w:val="x-none" w:eastAsia="en-US" w:bidi="ar-SA"/>
        </w:rPr>
        <w:lastRenderedPageBreak/>
        <w:t>W związku z powyższym dokonuje się pozytywnej oceny sytuacji ekonomiczno-finansowej MCTiPZ im. bł. R. Chylińskiego w Łodzi na podstawie przedstawionego przez jednostkę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raportu o sytuacji ekonomiczno-finansowej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za 2020 rok.</w:t>
      </w:r>
      <w:r>
        <w:rPr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szCs w:val="20"/>
          <w:shd w:val="clear" w:color="auto" w:fill="FFFFFF"/>
          <w:lang w:val="x-none" w:eastAsia="en-US" w:bidi="ar-SA"/>
        </w:rPr>
        <w:fldChar w:fldCharType="end"/>
      </w:r>
    </w:p>
    <w:p w:rsidR="005B3A11" w:rsidRDefault="005B3A11">
      <w:pPr>
        <w:rPr>
          <w:szCs w:val="20"/>
        </w:rPr>
      </w:pPr>
    </w:p>
    <w:p w:rsidR="005B3A11" w:rsidRDefault="0091694B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5B3A11" w:rsidRDefault="005B3A11">
      <w:pPr>
        <w:rPr>
          <w:b/>
          <w:szCs w:val="20"/>
        </w:rPr>
      </w:pPr>
    </w:p>
    <w:p w:rsidR="005B3A11" w:rsidRDefault="0091694B">
      <w:pPr>
        <w:ind w:firstLine="567"/>
        <w:jc w:val="both"/>
        <w:rPr>
          <w:szCs w:val="20"/>
        </w:rPr>
      </w:pPr>
      <w:r>
        <w:rPr>
          <w:szCs w:val="20"/>
        </w:rPr>
        <w:t xml:space="preserve">Zgodnie z wymogami art. 53a ustawy </w:t>
      </w:r>
      <w:r>
        <w:rPr>
          <w:color w:val="000000"/>
          <w:szCs w:val="20"/>
          <w:u w:color="000000"/>
        </w:rPr>
        <w:t xml:space="preserve">z dnia 15 kwietnia 2011 r. </w:t>
      </w:r>
      <w:r>
        <w:rPr>
          <w:szCs w:val="20"/>
        </w:rPr>
        <w:t xml:space="preserve">o działalności leczniczej samodzielny publiczny zakład opieki zdrowotnej o nazwie Miejskie Centrum </w:t>
      </w:r>
      <w:r>
        <w:rPr>
          <w:szCs w:val="20"/>
          <w:shd w:val="clear" w:color="auto" w:fill="FFFFFF"/>
        </w:rPr>
        <w:t>Terapii i Profilaktyki Zdrowotnej im. bł. Rafała Chylińskiego w Łodzi</w:t>
      </w:r>
      <w:r>
        <w:rPr>
          <w:szCs w:val="20"/>
        </w:rPr>
        <w:t xml:space="preserve"> przedstawiło w wymaganym </w:t>
      </w:r>
      <w:r>
        <w:rPr>
          <w:szCs w:val="20"/>
        </w:rPr>
        <w:t>terminie raport o sytuacji ekonomiczno-finansowej przygotowany na podstawie sprawozdania finansowego za poprzedni rok obrotowy zawierający w szczególności analizę sytuacji ekonomiczno-finansowej za poprzedni rok obrotowy, tj. 2020, a także prognozę sytuacj</w:t>
      </w:r>
      <w:r>
        <w:rPr>
          <w:szCs w:val="20"/>
        </w:rPr>
        <w:t>i ekonomiczno-finansowej na kolejne trzy lata obrotowe wraz z opisem przyjętych założeń oraz informację o istotnych zdarzeniach mających wpływ na sytuację ekonomiczno-finansową samodzielnego publicznego zakładu opieki zdrowotnej.</w:t>
      </w:r>
    </w:p>
    <w:p w:rsidR="005B3A11" w:rsidRDefault="0091694B">
      <w:pPr>
        <w:spacing w:before="120" w:after="120"/>
        <w:ind w:firstLine="570"/>
        <w:jc w:val="both"/>
        <w:rPr>
          <w:color w:val="000000"/>
          <w:szCs w:val="20"/>
        </w:rPr>
      </w:pPr>
      <w:r>
        <w:rPr>
          <w:color w:val="000000"/>
          <w:szCs w:val="20"/>
          <w:u w:color="000000"/>
        </w:rPr>
        <w:t>Przedmiotowa ocena raportu</w:t>
      </w:r>
      <w:r>
        <w:rPr>
          <w:color w:val="000000"/>
          <w:szCs w:val="20"/>
          <w:u w:color="000000"/>
        </w:rPr>
        <w:t xml:space="preserve"> </w:t>
      </w:r>
      <w:r>
        <w:rPr>
          <w:szCs w:val="20"/>
        </w:rPr>
        <w:t>o sytuacji ekonomiczno-finansowej</w:t>
      </w:r>
      <w:r>
        <w:rPr>
          <w:color w:val="000000"/>
          <w:szCs w:val="20"/>
          <w:u w:color="000000"/>
        </w:rPr>
        <w:t xml:space="preserve"> została przygotowana zgodnie z wymogami  ustawy z dnia 15 kwietnia 2011 r. o działalności leczniczej  przez komórkę organizacyjną sprawującą bezpośredni nadzór nad samodzielnymi publicznymi zakładami opieki zdrowotnej dla</w:t>
      </w:r>
      <w:r>
        <w:rPr>
          <w:color w:val="000000"/>
          <w:szCs w:val="20"/>
          <w:u w:color="000000"/>
        </w:rPr>
        <w:t xml:space="preserve"> których podmiotem tworzącym jest Miasto Łódź, tj. Wydział Zdrowia i Spraw Społecznych  Urzędu Miasta Łodzi w Departamencie Zdrowia i Spraw Społecznych Urzędu Miasta Łodzi.</w:t>
      </w:r>
    </w:p>
    <w:p w:rsidR="005B3A11" w:rsidRDefault="0091694B">
      <w:pPr>
        <w:ind w:firstLine="567"/>
        <w:jc w:val="both"/>
        <w:rPr>
          <w:szCs w:val="20"/>
        </w:rPr>
      </w:pPr>
      <w:r>
        <w:rPr>
          <w:szCs w:val="20"/>
        </w:rPr>
        <w:t>Ocena sytuacji ekonomiczno-finansowej jednostki należy do kompetencji Rady Miejskie</w:t>
      </w:r>
      <w:r>
        <w:rPr>
          <w:szCs w:val="20"/>
        </w:rPr>
        <w:t xml:space="preserve">j w Łodzi, tj. podmiotu tworzącego dla </w:t>
      </w:r>
      <w:r>
        <w:rPr>
          <w:color w:val="000000"/>
          <w:szCs w:val="20"/>
          <w:u w:color="000000"/>
        </w:rPr>
        <w:t xml:space="preserve">Miejskiego Centrum </w:t>
      </w:r>
      <w:r>
        <w:rPr>
          <w:szCs w:val="20"/>
          <w:shd w:val="clear" w:color="auto" w:fill="FFFFFF"/>
        </w:rPr>
        <w:t>Terapii i Profilaktyki Zdrowotnej im. bł. Rafała Chylińskiego w Łodzi</w:t>
      </w:r>
      <w:r>
        <w:rPr>
          <w:szCs w:val="20"/>
        </w:rPr>
        <w:t>, co stanowi przedmiot niniejszego projektu uchwały.</w:t>
      </w:r>
    </w:p>
    <w:p w:rsidR="005B3A11" w:rsidRDefault="005B3A11">
      <w:pPr>
        <w:spacing w:before="120" w:after="120"/>
        <w:ind w:left="283" w:firstLine="227"/>
        <w:jc w:val="both"/>
        <w:rPr>
          <w:color w:val="000000"/>
          <w:szCs w:val="20"/>
        </w:rPr>
      </w:pPr>
    </w:p>
    <w:p w:rsidR="005B3A11" w:rsidRDefault="005B3A11">
      <w:pPr>
        <w:spacing w:before="120" w:after="120"/>
        <w:ind w:left="283" w:firstLine="227"/>
        <w:jc w:val="both"/>
        <w:rPr>
          <w:color w:val="000000"/>
          <w:szCs w:val="20"/>
        </w:rPr>
      </w:pPr>
    </w:p>
    <w:p w:rsidR="005B3A11" w:rsidRDefault="005B3A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</w:p>
    <w:sectPr w:rsidR="005B3A11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4B" w:rsidRDefault="0091694B">
      <w:r>
        <w:separator/>
      </w:r>
    </w:p>
  </w:endnote>
  <w:endnote w:type="continuationSeparator" w:id="0">
    <w:p w:rsidR="0091694B" w:rsidRDefault="0091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B3A1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3A11" w:rsidRDefault="0091694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3A11" w:rsidRDefault="009169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A7895">
            <w:rPr>
              <w:sz w:val="18"/>
            </w:rPr>
            <w:fldChar w:fldCharType="separate"/>
          </w:r>
          <w:r w:rsidR="002A78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B3A11" w:rsidRDefault="005B3A1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5B3A11">
      <w:tc>
        <w:tcPr>
          <w:tcW w:w="604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3A11" w:rsidRDefault="0091694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3A11" w:rsidRDefault="009169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A7895">
            <w:rPr>
              <w:sz w:val="18"/>
            </w:rPr>
            <w:fldChar w:fldCharType="separate"/>
          </w:r>
          <w:r w:rsidR="002A7895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5B3A11" w:rsidRDefault="005B3A1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B3A1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3A11" w:rsidRDefault="0091694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3A11" w:rsidRDefault="009169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A7895">
            <w:rPr>
              <w:sz w:val="18"/>
            </w:rPr>
            <w:fldChar w:fldCharType="separate"/>
          </w:r>
          <w:r w:rsidR="002A7895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5B3A11" w:rsidRDefault="005B3A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4B" w:rsidRDefault="0091694B">
      <w:r>
        <w:separator/>
      </w:r>
    </w:p>
  </w:footnote>
  <w:footnote w:type="continuationSeparator" w:id="0">
    <w:p w:rsidR="0091694B" w:rsidRDefault="0091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8FB"/>
    <w:multiLevelType w:val="hybridMultilevel"/>
    <w:tmpl w:val="00000000"/>
    <w:lvl w:ilvl="0" w:tplc="5A04E6E2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E980546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658CFE8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71E4D854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8EC0F0F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0604BDE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F8440F20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9762F25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4BEE900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9BE1784"/>
    <w:multiLevelType w:val="hybridMultilevel"/>
    <w:tmpl w:val="00000000"/>
    <w:lvl w:ilvl="0" w:tplc="0054E4B6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CFF807C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1C30C3D0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98AA238E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8A2EA51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57C61C4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CF67920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3018516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2C61C5C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FB45031"/>
    <w:multiLevelType w:val="hybridMultilevel"/>
    <w:tmpl w:val="00000000"/>
    <w:lvl w:ilvl="0" w:tplc="4C48DAE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D032BB90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26ACED9A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E20CA9FC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C0727F32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24123224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A2CAEFA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50E27110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E26C0D6E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4F6D46C8"/>
    <w:multiLevelType w:val="hybridMultilevel"/>
    <w:tmpl w:val="00000000"/>
    <w:lvl w:ilvl="0" w:tplc="46407F32">
      <w:start w:val="1"/>
      <w:numFmt w:val="decimal"/>
      <w:lvlText w:val="%1."/>
      <w:lvlJc w:val="left"/>
      <w:pPr>
        <w:ind w:left="720" w:hanging="360"/>
      </w:pPr>
    </w:lvl>
    <w:lvl w:ilvl="1" w:tplc="386AAAD6">
      <w:start w:val="1"/>
      <w:numFmt w:val="lowerLetter"/>
      <w:lvlText w:val="%2."/>
      <w:lvlJc w:val="left"/>
      <w:pPr>
        <w:ind w:left="1440" w:hanging="360"/>
      </w:pPr>
    </w:lvl>
    <w:lvl w:ilvl="2" w:tplc="80D84BA2">
      <w:start w:val="1"/>
      <w:numFmt w:val="lowerRoman"/>
      <w:lvlText w:val="%3."/>
      <w:lvlJc w:val="right"/>
      <w:pPr>
        <w:ind w:left="2160" w:hanging="180"/>
      </w:pPr>
    </w:lvl>
    <w:lvl w:ilvl="3" w:tplc="F684EA62">
      <w:start w:val="1"/>
      <w:numFmt w:val="decimal"/>
      <w:lvlText w:val="%4."/>
      <w:lvlJc w:val="left"/>
      <w:pPr>
        <w:ind w:left="2880" w:hanging="360"/>
      </w:pPr>
    </w:lvl>
    <w:lvl w:ilvl="4" w:tplc="75A26682">
      <w:start w:val="1"/>
      <w:numFmt w:val="lowerLetter"/>
      <w:lvlText w:val="%5."/>
      <w:lvlJc w:val="left"/>
      <w:pPr>
        <w:ind w:left="3600" w:hanging="360"/>
      </w:pPr>
    </w:lvl>
    <w:lvl w:ilvl="5" w:tplc="140A09FE">
      <w:start w:val="1"/>
      <w:numFmt w:val="lowerRoman"/>
      <w:lvlText w:val="%6."/>
      <w:lvlJc w:val="right"/>
      <w:pPr>
        <w:ind w:left="4320" w:hanging="180"/>
      </w:pPr>
    </w:lvl>
    <w:lvl w:ilvl="6" w:tplc="AA6EDD00">
      <w:start w:val="1"/>
      <w:numFmt w:val="decimal"/>
      <w:lvlText w:val="%7."/>
      <w:lvlJc w:val="left"/>
      <w:pPr>
        <w:ind w:left="5040" w:hanging="360"/>
      </w:pPr>
    </w:lvl>
    <w:lvl w:ilvl="7" w:tplc="E2800948">
      <w:start w:val="1"/>
      <w:numFmt w:val="lowerLetter"/>
      <w:lvlText w:val="%8."/>
      <w:lvlJc w:val="left"/>
      <w:pPr>
        <w:ind w:left="5760" w:hanging="360"/>
      </w:pPr>
    </w:lvl>
    <w:lvl w:ilvl="8" w:tplc="5AC46C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7914"/>
    <w:multiLevelType w:val="hybridMultilevel"/>
    <w:tmpl w:val="00000000"/>
    <w:lvl w:ilvl="0" w:tplc="9C4451BE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6B762A5E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E0DCDB6A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3786C2A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EDA31AA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D5A816EE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BA2ABFC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79B8EEA6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149AE012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A7895"/>
    <w:rsid w:val="005B3A11"/>
    <w:rsid w:val="0091694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F126C-15B1-454E-A6EA-1177E843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  <w:jc w:val="left"/>
      <w:outlineLvl w:val="0"/>
    </w:pPr>
    <w:rPr>
      <w:b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jc w:val="left"/>
    </w:pPr>
    <w:rPr>
      <w:szCs w:val="20"/>
      <w:lang w:val="x-none" w:eastAsia="en-US" w:bidi="ar-SA"/>
    </w:rPr>
  </w:style>
  <w:style w:type="character" w:styleId="Numerstrony">
    <w:name w:val="page number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2857</Words>
  <Characters>17142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oceny sytuacji ekonomiczno-finansowej
samodzielnego publicznego zakładu opieki zdrowotnej o^nazwie
Miejskie Centrum Terapii i^Profilaktyki Zdrowotnej im. bł. Rafała Chylińskiego w^Łodzi, na podstawie raportu o^sytuacji ekonomiczno-finansowej za rok 2020.</dc:subject>
  <dc:creator>elukowicz</dc:creator>
  <cp:lastModifiedBy>Martyna Hanuszkiewicz</cp:lastModifiedBy>
  <cp:revision>2</cp:revision>
  <dcterms:created xsi:type="dcterms:W3CDTF">2021-11-09T11:07:00Z</dcterms:created>
  <dcterms:modified xsi:type="dcterms:W3CDTF">2021-11-09T11:07:00Z</dcterms:modified>
  <cp:category>Akt prawny</cp:category>
</cp:coreProperties>
</file>