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A559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D33DA5">
            <w:pPr>
              <w:ind w:left="6236"/>
              <w:jc w:val="left"/>
            </w:pPr>
            <w:r>
              <w:t>Druk Nr</w:t>
            </w:r>
          </w:p>
          <w:p w:rsidR="00A77B3E" w:rsidRDefault="00D33DA5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D33DA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33DA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D33DA5">
      <w:pPr>
        <w:keepNext/>
        <w:spacing w:after="480"/>
      </w:pPr>
      <w:r>
        <w:rPr>
          <w:b/>
        </w:rPr>
        <w:t>zmieniająca uchwałę w sprawie zasad gospodarowania lokalami użytkowymi.</w:t>
      </w:r>
    </w:p>
    <w:p w:rsidR="00A77B3E" w:rsidRDefault="00D33DA5">
      <w:pPr>
        <w:keepLines/>
        <w:spacing w:before="120" w:after="120"/>
        <w:ind w:firstLine="567"/>
        <w:jc w:val="both"/>
      </w:pPr>
      <w:r>
        <w:t>Na podstawie art. 40 ust. 2 </w:t>
      </w:r>
      <w:proofErr w:type="spellStart"/>
      <w:r>
        <w:t>pkt</w:t>
      </w:r>
      <w:proofErr w:type="spellEnd"/>
      <w:r>
        <w:t xml:space="preserve"> 3 ustawy z dnia 8 marca 1990 r. </w:t>
      </w:r>
      <w:r>
        <w:t>o samorządzie gminnym (Dz. U. z 2021 r. poz. 1372 i 1834), Rada Miejska w Łodzi</w:t>
      </w:r>
    </w:p>
    <w:p w:rsidR="00A77B3E" w:rsidRDefault="00D33DA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33DA5">
      <w:pPr>
        <w:keepLines/>
        <w:spacing w:before="240" w:after="120"/>
        <w:ind w:firstLine="567"/>
        <w:jc w:val="both"/>
      </w:pPr>
      <w:r>
        <w:t>§ 1. </w:t>
      </w:r>
      <w:r>
        <w:t>W uchwale Nr XI/186/07 Rady Miejskiej w Łodzi z dnia 16 maja 2007 r. w sprawie zasad gospodarowania lokalami użytkowymi (Dz. Urz. Woj. Łódzkiego z 2</w:t>
      </w:r>
      <w:r>
        <w:t>016 r. poz. 4039), zmienionej uchwałą Nr XXXIV/1123/20 Rady Miejskiej w Łodzi z dnia 24 grudnia 2020 r. (Dz. Urz. Woj. Łódzkiego z 2021 r. poz. 233), w § 6:</w:t>
      </w:r>
    </w:p>
    <w:p w:rsidR="00A77B3E" w:rsidRDefault="00D33DA5">
      <w:pPr>
        <w:spacing w:before="120" w:after="120"/>
        <w:ind w:left="227" w:hanging="227"/>
        <w:jc w:val="both"/>
      </w:pPr>
      <w:r>
        <w:t>1) </w:t>
      </w:r>
      <w:r>
        <w:t>w ust. 4 </w:t>
      </w:r>
      <w:proofErr w:type="spellStart"/>
      <w:r>
        <w:t>pkt</w:t>
      </w:r>
      <w:proofErr w:type="spellEnd"/>
      <w:r>
        <w:t> 1 i 2 otrzymują brzmienie:</w:t>
      </w:r>
    </w:p>
    <w:p w:rsidR="00A77B3E" w:rsidRDefault="00D33DA5">
      <w:pPr>
        <w:spacing w:before="120" w:after="120"/>
        <w:ind w:left="567" w:hanging="340"/>
        <w:jc w:val="both"/>
      </w:pPr>
      <w:r>
        <w:t>„</w:t>
      </w:r>
      <w:r>
        <w:t>1) </w:t>
      </w:r>
      <w:r>
        <w:t xml:space="preserve">najemcom lokali użytkowych, z wyłączeniem najemców </w:t>
      </w:r>
      <w:r>
        <w:t>garaży, którym umowy zostały wypowiedziane z uwagi na realizowane inwestycje Miasta Łodzi, zbycie nieruchomości, przeznaczenie budynku do rozbiórki, rewitalizacji lub remontu kapitalnego, wyłączenie lokalu użytkowego z użytkowania ze względu na nieodpowied</w:t>
      </w:r>
      <w:r>
        <w:t>ni stan techniczny albo przeznaczenie lokalu użytkowego na potrzeby Miasta Łodzi;</w:t>
      </w:r>
    </w:p>
    <w:p w:rsidR="00A77B3E" w:rsidRDefault="00D33DA5">
      <w:pPr>
        <w:spacing w:before="120" w:after="120"/>
        <w:ind w:left="567" w:hanging="227"/>
        <w:jc w:val="both"/>
      </w:pPr>
      <w:r>
        <w:t>2) </w:t>
      </w:r>
      <w:r>
        <w:t>dzierżawcom gruntów, stanowiących własność Miasta Łodzi, zabudowanych obiektami handlowymi z przeznaczeniem na działalność handlową, gastronomiczną lub usługową, którym um</w:t>
      </w:r>
      <w:r>
        <w:t>owy zostały wypowiedziane z uwagi na realizowane inwestycje Miasta Łodzi albo zbycie nieruchomości i którzy usuną obiekt, a grunt przekażą Miastu Łodzi protokołem zdawczo-odbiorczym;</w:t>
      </w:r>
      <w:r>
        <w:t>”</w:t>
      </w:r>
      <w:r>
        <w:t>;</w:t>
      </w:r>
    </w:p>
    <w:p w:rsidR="00A77B3E" w:rsidRDefault="00D33DA5">
      <w:pPr>
        <w:spacing w:before="120" w:after="120"/>
        <w:ind w:left="227" w:hanging="227"/>
        <w:jc w:val="both"/>
      </w:pPr>
      <w:r>
        <w:t>2) </w:t>
      </w:r>
      <w:r>
        <w:t>w ust. 13 </w:t>
      </w:r>
      <w:proofErr w:type="spellStart"/>
      <w:r>
        <w:t>pkt</w:t>
      </w:r>
      <w:proofErr w:type="spellEnd"/>
      <w:r>
        <w:t> 3 otrzymuje brzmienie:</w:t>
      </w:r>
    </w:p>
    <w:p w:rsidR="00A77B3E" w:rsidRDefault="00D33DA5">
      <w:pPr>
        <w:spacing w:before="120" w:after="120"/>
        <w:ind w:left="567" w:hanging="340"/>
        <w:jc w:val="both"/>
      </w:pPr>
      <w:r>
        <w:t>„</w:t>
      </w:r>
      <w:r>
        <w:t>3) </w:t>
      </w:r>
      <w:r>
        <w:t>wnioskodawca przyjmuje w ci</w:t>
      </w:r>
      <w:r>
        <w:t>ągu 7 dni od dnia otrzymania zawiadomienia stawkę czynszu lokalu użytkowego, określoną w drodze przetargu, a w przypadku negatywnego wyniku przetargu na dany lokal użytkowy, stawkę czynszu, jaka była wynikiem przetargu na lokal użytkowy o zbliżonych parame</w:t>
      </w:r>
      <w:r>
        <w:t>trach, takich jak m.in. powierzchnia, wyposażenie techniczne, położenie budynku.</w:t>
      </w:r>
      <w:r>
        <w:t>”</w:t>
      </w:r>
      <w:r>
        <w:t>;</w:t>
      </w:r>
    </w:p>
    <w:p w:rsidR="00A77B3E" w:rsidRDefault="00D33DA5">
      <w:pPr>
        <w:spacing w:before="120" w:after="120"/>
        <w:ind w:left="227" w:hanging="227"/>
        <w:jc w:val="both"/>
      </w:pPr>
      <w:r>
        <w:t>3) </w:t>
      </w:r>
      <w:r>
        <w:t>po ust. 13 dodaje się ust. 13a-13d w brzmieniu:</w:t>
      </w:r>
    </w:p>
    <w:p w:rsidR="00A77B3E" w:rsidRDefault="00D33DA5">
      <w:pPr>
        <w:keepLines/>
        <w:spacing w:before="120" w:after="120"/>
        <w:ind w:left="340" w:firstLine="454"/>
        <w:jc w:val="both"/>
      </w:pPr>
      <w:r>
        <w:t>„</w:t>
      </w:r>
      <w:r>
        <w:t>13a. </w:t>
      </w:r>
      <w:r>
        <w:t>W przypadku braku możliwości powrotu do lokali użytkowych, z uwagi na zmianę struktury, powierzchni lub funkcję loka</w:t>
      </w:r>
      <w:r>
        <w:t xml:space="preserve">li, przez ich byłych najemców, o których mowa w ust. 13, dopuszcza się możliwość przyznania innych lokali użytkowych w budynkach </w:t>
      </w:r>
      <w:proofErr w:type="spellStart"/>
      <w:r>
        <w:t>zrewitalizowanych</w:t>
      </w:r>
      <w:proofErr w:type="spellEnd"/>
      <w:r>
        <w:t xml:space="preserve"> lub w których zakończony został remont kapitalny, pod warunkiem spełnienia łącznie następujących kryteriów:</w:t>
      </w:r>
    </w:p>
    <w:p w:rsidR="00A77B3E" w:rsidRDefault="00D33DA5">
      <w:pPr>
        <w:spacing w:before="120" w:after="120"/>
        <w:ind w:left="567" w:hanging="227"/>
        <w:jc w:val="both"/>
      </w:pPr>
      <w:r>
        <w:lastRenderedPageBreak/>
        <w:t>1) </w:t>
      </w:r>
      <w:r>
        <w:t>lokal użytkowy, o który wnioskuje zainteresowany powinien posiadać zbliżoną powierzchnię;</w:t>
      </w:r>
    </w:p>
    <w:p w:rsidR="00A77B3E" w:rsidRDefault="00D33DA5">
      <w:pPr>
        <w:spacing w:before="120" w:after="120"/>
        <w:ind w:left="567" w:hanging="227"/>
        <w:jc w:val="both"/>
      </w:pPr>
      <w:r>
        <w:t>2) </w:t>
      </w:r>
      <w:r>
        <w:t>wnioskodawca złoży oświadczenie o rezygnacji z zajmowanego na dzień złożenia wniosku lokalu użytkowego zamiennego pozyskanego na podstawie ust. 4 </w:t>
      </w:r>
      <w:proofErr w:type="spellStart"/>
      <w:r>
        <w:t>pkt</w:t>
      </w:r>
      <w:proofErr w:type="spellEnd"/>
      <w:r>
        <w:t> 1;</w:t>
      </w:r>
    </w:p>
    <w:p w:rsidR="00A77B3E" w:rsidRDefault="00D33DA5">
      <w:pPr>
        <w:spacing w:before="120" w:after="120"/>
        <w:ind w:left="567" w:hanging="227"/>
        <w:jc w:val="both"/>
      </w:pPr>
      <w:r>
        <w:t>3) </w:t>
      </w:r>
      <w:r>
        <w:t>wnio</w:t>
      </w:r>
      <w:r>
        <w:t>skodawca przyjmuje w ciągu 7 dni od dnia otrzymania zawiadomienia stawkę czynszu lokalu użytkowego, określoną w drodze przetargu, a w przypadku negatywnego wyniku przetargu na dany lokal użytkowy, stawkę czynszu, jaka była wynikiem przetargu na lokal użytk</w:t>
      </w:r>
      <w:r>
        <w:t>owy o zbliżonych parametrach, takich jak m.in. powierzchnia, wyposażenie techniczne, położenie budynku.</w:t>
      </w:r>
    </w:p>
    <w:p w:rsidR="00A77B3E" w:rsidRDefault="00D33DA5">
      <w:pPr>
        <w:keepLines/>
        <w:spacing w:before="120" w:after="120"/>
        <w:ind w:left="340" w:firstLine="567"/>
        <w:jc w:val="both"/>
      </w:pPr>
      <w:r>
        <w:t>13b. </w:t>
      </w:r>
      <w:r>
        <w:t xml:space="preserve">W trybie </w:t>
      </w:r>
      <w:proofErr w:type="spellStart"/>
      <w:r>
        <w:t>bezprzetargowym</w:t>
      </w:r>
      <w:proofErr w:type="spellEnd"/>
      <w:r>
        <w:t xml:space="preserve"> mogą być wynajmowane lokale użytkowe znajdujące się w budynkach </w:t>
      </w:r>
      <w:proofErr w:type="spellStart"/>
      <w:r>
        <w:t>zrewitalizowanych</w:t>
      </w:r>
      <w:proofErr w:type="spellEnd"/>
      <w:r>
        <w:t xml:space="preserve"> lub w których zakończony został remont k</w:t>
      </w:r>
      <w:r>
        <w:t>apitalny, na rzecz ich byłych najemców, którym wypowiedziane zostały umowy najmu na podstawie art. 11 ust. 2 </w:t>
      </w:r>
      <w:proofErr w:type="spellStart"/>
      <w:r>
        <w:t>pkt</w:t>
      </w:r>
      <w:proofErr w:type="spellEnd"/>
      <w:r>
        <w:t> 4 ustawy z dnia 21 czerwca 2001 r. o ochronie praw lokatorów, mieszkaniowym zasobie gminy i o zmianie Kodeksu cywilnego (Dz. U. z 2020 r. poz. </w:t>
      </w:r>
      <w:r>
        <w:t>611 oraz z 2021 r. poz. 11 i 1243), po uprzednim złożeniu przez nich oświadczenia o rezygnacji z prawa najmu lokalu zamiennego.</w:t>
      </w:r>
    </w:p>
    <w:p w:rsidR="00A77B3E" w:rsidRDefault="00D33DA5">
      <w:pPr>
        <w:keepLines/>
        <w:spacing w:before="120" w:after="120"/>
        <w:ind w:left="340" w:firstLine="567"/>
        <w:jc w:val="both"/>
      </w:pPr>
      <w:r>
        <w:t>13c. </w:t>
      </w:r>
      <w:r>
        <w:t>W przypadku braku możliwości powrotu do lokali użytkowych przez ich byłych najemców, o których mowa w ust. 13b, dopuszcza s</w:t>
      </w:r>
      <w:r>
        <w:t xml:space="preserve">ię możliwość przyznania innych lokali użytkowych w budynkach </w:t>
      </w:r>
      <w:proofErr w:type="spellStart"/>
      <w:r>
        <w:t>zrewitalizowanych</w:t>
      </w:r>
      <w:proofErr w:type="spellEnd"/>
      <w:r>
        <w:t xml:space="preserve"> lub w których zakończony został remont kapitalny, po uprzednim złożeniu przez nich oświadczenia o rezygnacji z prawa najmu lokalu zamiennego.</w:t>
      </w:r>
    </w:p>
    <w:p w:rsidR="00A77B3E" w:rsidRDefault="00D33DA5">
      <w:pPr>
        <w:keepLines/>
        <w:spacing w:before="120" w:after="120"/>
        <w:ind w:left="340" w:firstLine="567"/>
        <w:jc w:val="both"/>
      </w:pPr>
      <w:r>
        <w:t>13d. </w:t>
      </w:r>
      <w:r>
        <w:t>Stawkę czynszu najmu lokali uż</w:t>
      </w:r>
      <w:r>
        <w:t>ytkowych, o których mowa w ust. 13b i 13c ustala się na podstawie wartości rynkowej stawki czynszu określonej przez rzeczoznawcę majątkowego w wysokości nie niższej niż jej wartość rynkowa oraz nie niższej niż stawka czynszu obowiązująca przed dniem rozpoc</w:t>
      </w:r>
      <w:r>
        <w:t>zęcia robót remontowych.</w:t>
      </w:r>
      <w:r>
        <w:t>”</w:t>
      </w:r>
      <w:r>
        <w:t>.</w:t>
      </w:r>
    </w:p>
    <w:p w:rsidR="00A77B3E" w:rsidRDefault="00D33DA5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D33DA5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A559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593" w:rsidRDefault="005A559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593" w:rsidRDefault="00D33DA5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33DA5">
      <w:pPr>
        <w:ind w:left="283" w:firstLine="227"/>
        <w:jc w:val="both"/>
      </w:pPr>
      <w:r>
        <w:t>Projektodawcą jest</w:t>
      </w:r>
    </w:p>
    <w:p w:rsidR="00A77B3E" w:rsidRDefault="00D33DA5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5A5593" w:rsidRDefault="005A559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A5593" w:rsidRDefault="00D33DA5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5A5593" w:rsidRDefault="00D33DA5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Przedłożony projekt uchwały zmieniającej uchwałę Nr XI/186/07 Rady Miejskiej w Łodzi </w:t>
      </w:r>
      <w:r>
        <w:rPr>
          <w:color w:val="000000"/>
          <w:szCs w:val="20"/>
          <w:shd w:val="clear" w:color="auto" w:fill="FFFFFF"/>
        </w:rPr>
        <w:br/>
        <w:t xml:space="preserve">z dnia 16 maja 2007 r. w sprawie zasad gospodarowania lokalami użytkowymi (tekst jednolity wprowadzony uchwałą Nr XXXIII/876/16 Rady Miejskiej w Łodzi z dnia 31 sierpnia </w:t>
      </w:r>
      <w:r>
        <w:rPr>
          <w:color w:val="000000"/>
          <w:szCs w:val="20"/>
          <w:shd w:val="clear" w:color="auto" w:fill="FFFFFF"/>
        </w:rPr>
        <w:t xml:space="preserve">2016 r. </w:t>
      </w:r>
      <w:r>
        <w:rPr>
          <w:color w:val="000000"/>
          <w:szCs w:val="20"/>
          <w:shd w:val="clear" w:color="auto" w:fill="FFFFFF"/>
        </w:rPr>
        <w:br/>
        <w:t xml:space="preserve">Dz. Urz. Woj. Łódzkiego poz. 4039) wprowadza zmianę brzmienia w § 6 w ust. 4 </w:t>
      </w:r>
      <w:proofErr w:type="spellStart"/>
      <w:r>
        <w:rPr>
          <w:color w:val="000000"/>
          <w:szCs w:val="20"/>
          <w:shd w:val="clear" w:color="auto" w:fill="FFFFFF"/>
        </w:rPr>
        <w:t>pkt</w:t>
      </w:r>
      <w:proofErr w:type="spellEnd"/>
      <w:r>
        <w:rPr>
          <w:color w:val="000000"/>
          <w:szCs w:val="20"/>
          <w:shd w:val="clear" w:color="auto" w:fill="FFFFFF"/>
        </w:rPr>
        <w:t xml:space="preserve"> 1 i 2, która ma charakter porządkujący. W proponowanym projekcie „sprzedaż nieruchomości" zastąpiono szerzej rozumianym "zbyciem nieruchomości".</w:t>
      </w:r>
    </w:p>
    <w:p w:rsidR="005A5593" w:rsidRDefault="00D33DA5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Kolejna zaproponowana</w:t>
      </w:r>
      <w:r>
        <w:rPr>
          <w:color w:val="000000"/>
          <w:szCs w:val="20"/>
          <w:shd w:val="clear" w:color="auto" w:fill="FFFFFF"/>
        </w:rPr>
        <w:t xml:space="preserve"> zmiana dotyczy przepisu w § 6 w ust. 13 </w:t>
      </w:r>
      <w:proofErr w:type="spellStart"/>
      <w:r>
        <w:rPr>
          <w:color w:val="000000"/>
          <w:szCs w:val="20"/>
          <w:shd w:val="clear" w:color="auto" w:fill="FFFFFF"/>
        </w:rPr>
        <w:t>pkt</w:t>
      </w:r>
      <w:proofErr w:type="spellEnd"/>
      <w:r>
        <w:rPr>
          <w:color w:val="000000"/>
          <w:szCs w:val="20"/>
          <w:shd w:val="clear" w:color="auto" w:fill="FFFFFF"/>
        </w:rPr>
        <w:t xml:space="preserve"> 3, który reguluje kwestię zastosowania stawki czynszu najmu w lokalach użytkowych znajdujących się w budynkach </w:t>
      </w:r>
      <w:proofErr w:type="spellStart"/>
      <w:r>
        <w:rPr>
          <w:color w:val="000000"/>
          <w:szCs w:val="20"/>
          <w:shd w:val="clear" w:color="auto" w:fill="FFFFFF"/>
        </w:rPr>
        <w:t>zrewitalizowanych</w:t>
      </w:r>
      <w:proofErr w:type="spellEnd"/>
      <w:r>
        <w:rPr>
          <w:color w:val="000000"/>
          <w:szCs w:val="20"/>
          <w:shd w:val="clear" w:color="auto" w:fill="FFFFFF"/>
        </w:rPr>
        <w:t xml:space="preserve"> lub w których zakończony został remont kapitalny, na rzecz ich byłych najemców. W </w:t>
      </w:r>
      <w:r>
        <w:rPr>
          <w:color w:val="000000"/>
          <w:szCs w:val="20"/>
          <w:shd w:val="clear" w:color="auto" w:fill="FFFFFF"/>
        </w:rPr>
        <w:t xml:space="preserve">projekcie uchwały usunięto przepisy ograniczające ten tryb najmu tylko i wyłącznie do przetargu pisemnego (konkursu ofert), dając tym samym możliwość zastosowania go również </w:t>
      </w:r>
      <w:r>
        <w:rPr>
          <w:color w:val="000000"/>
          <w:szCs w:val="20"/>
          <w:shd w:val="clear" w:color="auto" w:fill="FFFFFF"/>
        </w:rPr>
        <w:br/>
        <w:t xml:space="preserve">do </w:t>
      </w:r>
      <w:r>
        <w:rPr>
          <w:color w:val="000000"/>
          <w:szCs w:val="20"/>
          <w:shd w:val="clear" w:color="auto" w:fill="FFFFFF"/>
          <w:lang w:eastAsia="en-US" w:bidi="ar-SA"/>
        </w:rPr>
        <w:t>przetargu ustnego</w:t>
      </w:r>
      <w:r>
        <w:rPr>
          <w:color w:val="000000"/>
          <w:szCs w:val="20"/>
          <w:shd w:val="clear" w:color="auto" w:fill="FFFFFF"/>
        </w:rPr>
        <w:t xml:space="preserve">, tzw. </w:t>
      </w:r>
      <w:r>
        <w:rPr>
          <w:color w:val="000000"/>
          <w:szCs w:val="20"/>
          <w:shd w:val="clear" w:color="auto" w:fill="FFFFFF"/>
          <w:lang w:eastAsia="en-US" w:bidi="ar-SA"/>
        </w:rPr>
        <w:t>licytacji</w:t>
      </w:r>
      <w:r>
        <w:rPr>
          <w:color w:val="000000"/>
          <w:szCs w:val="20"/>
          <w:shd w:val="clear" w:color="auto" w:fill="FFFFFF"/>
        </w:rPr>
        <w:t>. Takie rozwiązanie daje większą szansę na uz</w:t>
      </w:r>
      <w:r>
        <w:rPr>
          <w:color w:val="000000"/>
          <w:szCs w:val="20"/>
          <w:shd w:val="clear" w:color="auto" w:fill="FFFFFF"/>
        </w:rPr>
        <w:t xml:space="preserve">yskanie korzystniejszych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rFonts w:ascii="Times New Roman Baltic" w:hAnsi="Times New Roman Baltic"/>
          <w:color w:val="000000"/>
          <w:szCs w:val="20"/>
          <w:shd w:val="clear" w:color="auto" w:fill="FFFFFF"/>
          <w:lang w:eastAsia="en-US" w:bidi="ar-SA"/>
        </w:rPr>
        <w:t>staw</w:t>
      </w:r>
      <w:r>
        <w:rPr>
          <w:rFonts w:ascii="Times New Roman Baltic" w:hAnsi="Times New Roman Baltic"/>
          <w:color w:val="000000"/>
          <w:szCs w:val="20"/>
          <w:shd w:val="clear" w:color="auto" w:fill="FFFFFF"/>
        </w:rPr>
        <w:t>e</w:t>
      </w:r>
      <w:proofErr w:type="spellEnd"/>
      <w:r>
        <w:rPr>
          <w:rFonts w:ascii="Times New Roman Baltic" w:hAnsi="Times New Roman Baltic"/>
          <w:color w:val="000000"/>
          <w:szCs w:val="20"/>
          <w:shd w:val="clear" w:color="auto" w:fill="FFFFFF"/>
          <w:lang w:eastAsia="en-US" w:bidi="ar-SA"/>
        </w:rPr>
        <w:t>k</w:t>
      </w:r>
      <w:r>
        <w:rPr>
          <w:rFonts w:ascii="Times New Roman Baltic" w:hAnsi="Times New Roman Baltic"/>
          <w:color w:val="000000"/>
          <w:szCs w:val="20"/>
          <w:shd w:val="clear" w:color="auto" w:fill="FFFFFF"/>
        </w:rPr>
        <w:t xml:space="preserve"> za</w:t>
      </w:r>
      <w:r>
        <w:rPr>
          <w:rFonts w:ascii="Times New Roman Baltic" w:hAnsi="Times New Roman Baltic"/>
          <w:color w:val="000000"/>
          <w:szCs w:val="20"/>
          <w:shd w:val="clear" w:color="auto" w:fill="FFFFFF"/>
          <w:lang w:eastAsia="en-US" w:bidi="ar-SA"/>
        </w:rPr>
        <w:t xml:space="preserve"> najmu 1 </w:t>
      </w:r>
      <w:proofErr w:type="spellStart"/>
      <w:r>
        <w:rPr>
          <w:rFonts w:ascii="Times New Roman Baltic" w:hAnsi="Times New Roman Baltic"/>
          <w:color w:val="000000"/>
          <w:szCs w:val="20"/>
          <w:shd w:val="clear" w:color="auto" w:fill="FFFFFF"/>
          <w:lang w:eastAsia="en-US" w:bidi="ar-SA"/>
        </w:rPr>
        <w:t>m²</w:t>
      </w:r>
      <w:proofErr w:type="spellEnd"/>
      <w:r>
        <w:rPr>
          <w:rFonts w:ascii="Times New Roman Baltic" w:hAnsi="Times New Roman Baltic"/>
          <w:color w:val="000000"/>
          <w:szCs w:val="20"/>
          <w:shd w:val="clear" w:color="auto" w:fill="FFFFFF"/>
          <w:lang w:eastAsia="en-US" w:bidi="ar-SA"/>
        </w:rPr>
        <w:t xml:space="preserve"> powierzchni uż</w:t>
      </w:r>
      <w:r>
        <w:rPr>
          <w:color w:val="000000"/>
          <w:szCs w:val="20"/>
          <w:shd w:val="clear" w:color="auto" w:fill="FFFFFF"/>
          <w:lang w:eastAsia="en-US" w:bidi="ar-SA"/>
        </w:rPr>
        <w:t>ytkowej lokalu</w:t>
      </w:r>
      <w:r>
        <w:rPr>
          <w:color w:val="000000"/>
          <w:szCs w:val="20"/>
          <w:shd w:val="clear" w:color="auto" w:fill="FFFFFF"/>
        </w:rPr>
        <w:t xml:space="preserve">. </w:t>
      </w:r>
    </w:p>
    <w:p w:rsidR="005A5593" w:rsidRDefault="00D33DA5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Ponadto w przedstawionym projekcie proponuje się wprowadzenie w § 6 ust. 13a.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Najemcy lokali użytkowych, którzy opuścili lokal położony w budynku przeznaczonym do rewitalizacji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lub remontu kapitalnego mają prawo do powrotu do lokalu użytkowego po zakończonym remoncie (zgodnie z </w:t>
      </w:r>
      <w:r>
        <w:rPr>
          <w:color w:val="000000"/>
          <w:szCs w:val="20"/>
          <w:shd w:val="clear" w:color="auto" w:fill="FFFFFF"/>
        </w:rPr>
        <w:t>ust</w:t>
      </w:r>
      <w:r>
        <w:rPr>
          <w:color w:val="000000"/>
          <w:szCs w:val="20"/>
          <w:shd w:val="clear" w:color="auto" w:fill="FFFFFF"/>
          <w:lang w:eastAsia="en-US" w:bidi="ar-SA"/>
        </w:rPr>
        <w:t>. 13 uchwały). Mogą skorzystać z tego prawa w przypadku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gdy dotychczasowy lokal pozostał w nieruchomości i jest przeznaczony do wynajmu. </w:t>
      </w:r>
      <w:r>
        <w:rPr>
          <w:color w:val="000000"/>
          <w:szCs w:val="20"/>
          <w:shd w:val="clear" w:color="auto" w:fill="FFFFFF"/>
        </w:rPr>
        <w:t>W przypadku k</w:t>
      </w:r>
      <w:r>
        <w:rPr>
          <w:color w:val="000000"/>
          <w:szCs w:val="20"/>
          <w:shd w:val="clear" w:color="auto" w:fill="FFFFFF"/>
        </w:rPr>
        <w:t xml:space="preserve">iedy lokal </w:t>
      </w:r>
      <w:r>
        <w:rPr>
          <w:color w:val="000000"/>
          <w:szCs w:val="20"/>
          <w:shd w:val="clear" w:color="auto" w:fill="FFFFFF"/>
        </w:rPr>
        <w:br/>
        <w:t xml:space="preserve">po rewitalizacji lub remoncie kapitalnym zmienił swoje parametry lub przeznaczenie zasadnym jest, aby osoby, które nie będą mogły wrócić do takiego lokalu, miały możliwość wynajęcia innego lokalu </w:t>
      </w:r>
      <w:r>
        <w:rPr>
          <w:color w:val="000000"/>
          <w:szCs w:val="20"/>
          <w:shd w:val="clear" w:color="auto" w:fill="FFFFFF"/>
          <w:lang w:eastAsia="en-US" w:bidi="ar-SA"/>
        </w:rPr>
        <w:t>po rewitalizacji lub remoncie kapitalnym. Powyżs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za zmiana daje </w:t>
      </w:r>
      <w:r>
        <w:rPr>
          <w:color w:val="000000"/>
          <w:szCs w:val="20"/>
          <w:shd w:val="clear" w:color="auto" w:fill="FFFFFF"/>
        </w:rPr>
        <w:t xml:space="preserve">im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pierwszeństwo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do wynajmu lokalu, </w:t>
      </w:r>
      <w:r>
        <w:rPr>
          <w:color w:val="000000"/>
          <w:szCs w:val="20"/>
          <w:shd w:val="clear" w:color="auto" w:fill="FFFFFF"/>
        </w:rPr>
        <w:t>po przyjęciu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stawk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czynszu ustalon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</w:t>
      </w:r>
      <w:r>
        <w:rPr>
          <w:color w:val="000000"/>
          <w:szCs w:val="20"/>
          <w:shd w:val="clear" w:color="auto" w:fill="FFFFFF"/>
        </w:rPr>
        <w:t xml:space="preserve">wyniku </w:t>
      </w:r>
      <w:r>
        <w:rPr>
          <w:color w:val="000000"/>
          <w:szCs w:val="20"/>
          <w:shd w:val="clear" w:color="auto" w:fill="FFFFFF"/>
          <w:lang w:eastAsia="en-US" w:bidi="ar-SA"/>
        </w:rPr>
        <w:t>przetargu. Dzięki temu zostaje zachowana rynkowa stawka najmu oraz społeczny aspekt rewitalizacji.</w:t>
      </w:r>
    </w:p>
    <w:p w:rsidR="005A5593" w:rsidRDefault="00D33DA5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Dodatkowo w przedstawionym projekcie uchwały w § 6 w ust. </w:t>
      </w:r>
      <w:r>
        <w:rPr>
          <w:color w:val="000000"/>
          <w:szCs w:val="20"/>
          <w:shd w:val="clear" w:color="auto" w:fill="FFFFFF"/>
        </w:rPr>
        <w:t xml:space="preserve">13b i 13c dopuszczona została możliwość wynajmu w trybie </w:t>
      </w:r>
      <w:proofErr w:type="spellStart"/>
      <w:r>
        <w:rPr>
          <w:color w:val="000000"/>
          <w:szCs w:val="20"/>
          <w:shd w:val="clear" w:color="auto" w:fill="FFFFFF"/>
        </w:rPr>
        <w:t>bezprzetargowym</w:t>
      </w:r>
      <w:proofErr w:type="spellEnd"/>
      <w:r>
        <w:rPr>
          <w:color w:val="000000"/>
          <w:szCs w:val="20"/>
          <w:shd w:val="clear" w:color="auto" w:fill="FFFFFF"/>
        </w:rPr>
        <w:t xml:space="preserve"> lokali użytkowych (pracowni twórczych) znajdujących się w budynkach </w:t>
      </w:r>
      <w:proofErr w:type="spellStart"/>
      <w:r>
        <w:rPr>
          <w:color w:val="000000"/>
          <w:szCs w:val="20"/>
          <w:shd w:val="clear" w:color="auto" w:fill="FFFFFF"/>
        </w:rPr>
        <w:t>zrewitalizowanych</w:t>
      </w:r>
      <w:proofErr w:type="spellEnd"/>
      <w:r>
        <w:rPr>
          <w:color w:val="000000"/>
          <w:szCs w:val="20"/>
          <w:shd w:val="clear" w:color="auto" w:fill="FFFFFF"/>
        </w:rPr>
        <w:t xml:space="preserve"> lub w których zakończony został remont kapitalny na rzecz ich byłych najemców, którym wypowiedzia</w:t>
      </w:r>
      <w:r>
        <w:rPr>
          <w:color w:val="000000"/>
          <w:szCs w:val="20"/>
          <w:shd w:val="clear" w:color="auto" w:fill="FFFFFF"/>
        </w:rPr>
        <w:t xml:space="preserve">ne zostały umowy najmu </w:t>
      </w:r>
      <w:r>
        <w:rPr>
          <w:color w:val="000000"/>
          <w:szCs w:val="20"/>
          <w:shd w:val="clear" w:color="auto" w:fill="FFFFFF"/>
        </w:rPr>
        <w:br/>
        <w:t>na podstawie art.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11 ust. 2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4 ustawy z dnia 21 czerwca 2001 r. o ochronie praw lokatorów, mieszkaniowym zasobie gminy i o zmianie Kodeksu cywilnego (Dz. U. z 2020 r. poz. 611 oraz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2021 r. poz. 11 i 1243), po uprzednim złożeni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 przez nich oświadczenia o rezygnacji z prawa najmu </w:t>
      </w:r>
      <w:r>
        <w:rPr>
          <w:color w:val="000000"/>
          <w:szCs w:val="20"/>
          <w:shd w:val="clear" w:color="auto" w:fill="FFFFFF"/>
        </w:rPr>
        <w:t xml:space="preserve">do przyznanego </w:t>
      </w:r>
      <w:r>
        <w:rPr>
          <w:color w:val="000000"/>
          <w:szCs w:val="20"/>
          <w:shd w:val="clear" w:color="auto" w:fill="FFFFFF"/>
          <w:lang w:eastAsia="en-US" w:bidi="ar-SA"/>
        </w:rPr>
        <w:t>lokalu zamiennego.</w:t>
      </w:r>
      <w:r>
        <w:rPr>
          <w:color w:val="000000"/>
          <w:szCs w:val="20"/>
          <w:shd w:val="clear" w:color="auto" w:fill="FFFFFF"/>
        </w:rPr>
        <w:t xml:space="preserve"> W przypadku braku możliwości powrotu do lokali użytkowych przez ich byłych najemców (np. w wyniku zmiany parametrów technicznych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</w:rPr>
        <w:lastRenderedPageBreak/>
        <w:t>lub przeznaczenia) dopuszczono możliwoś</w:t>
      </w:r>
      <w:r>
        <w:rPr>
          <w:color w:val="000000"/>
          <w:szCs w:val="20"/>
          <w:shd w:val="clear" w:color="auto" w:fill="FFFFFF"/>
        </w:rPr>
        <w:t xml:space="preserve">ć przyznania innych lokali użytkowych (pracowni twórczych) znajdujących się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budynkach </w:t>
      </w:r>
      <w:proofErr w:type="spellStart"/>
      <w:r>
        <w:rPr>
          <w:color w:val="000000"/>
          <w:szCs w:val="20"/>
          <w:shd w:val="clear" w:color="auto" w:fill="FFFFFF"/>
        </w:rPr>
        <w:t>zrewitalizowanych</w:t>
      </w:r>
      <w:proofErr w:type="spellEnd"/>
      <w:r>
        <w:rPr>
          <w:color w:val="000000"/>
          <w:szCs w:val="20"/>
          <w:shd w:val="clear" w:color="auto" w:fill="FFFFFF"/>
        </w:rPr>
        <w:t xml:space="preserve"> lub w których zakończony został remont kapitalny. Dodatkowo w projekcie uchwały przyjęto (ust. 13d), doprecyzowujący sposób obliczania stawki czynszu </w:t>
      </w:r>
      <w:r>
        <w:rPr>
          <w:color w:val="000000"/>
          <w:szCs w:val="20"/>
          <w:shd w:val="clear" w:color="auto" w:fill="FFFFFF"/>
        </w:rPr>
        <w:t xml:space="preserve">najmu dla tych lokali, ustalanej poprzez wycenę dokonywaną przez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zeczoznawcę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majątkowego. </w:t>
      </w:r>
      <w:r>
        <w:rPr>
          <w:color w:val="000000"/>
          <w:szCs w:val="20"/>
          <w:shd w:val="clear" w:color="auto" w:fill="FFFFFF"/>
        </w:rPr>
        <w:t xml:space="preserve">Rozwiązanie to gwarantuje Miastu uzyskanie czynszu za lokale </w:t>
      </w:r>
      <w:r>
        <w:rPr>
          <w:color w:val="000000"/>
          <w:szCs w:val="20"/>
          <w:shd w:val="clear" w:color="auto" w:fill="FFFFFF"/>
        </w:rPr>
        <w:br/>
        <w:t>w wyremontowanych kamienicach na poziomie odpowiadającym ich realnej wartości rynkowej.</w:t>
      </w:r>
    </w:p>
    <w:p w:rsidR="005A5593" w:rsidRDefault="00D33DA5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Uchwała nie rod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zi negatywnych skutków finansowych dla Miasta. </w:t>
      </w:r>
    </w:p>
    <w:p w:rsidR="005A5593" w:rsidRDefault="005A5593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5A5593" w:rsidRDefault="005A5593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:rsidR="005A5593" w:rsidRDefault="005A5593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:rsidR="005A5593" w:rsidRDefault="005A5593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5A5593" w:rsidSect="005A559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A5" w:rsidRDefault="00D33DA5" w:rsidP="005A5593">
      <w:r>
        <w:separator/>
      </w:r>
    </w:p>
  </w:endnote>
  <w:endnote w:type="continuationSeparator" w:id="0">
    <w:p w:rsidR="00D33DA5" w:rsidRDefault="00D33DA5" w:rsidP="005A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altic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A559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593" w:rsidRDefault="00D33DA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593" w:rsidRDefault="00D33D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559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1046">
            <w:rPr>
              <w:sz w:val="18"/>
            </w:rPr>
            <w:fldChar w:fldCharType="separate"/>
          </w:r>
          <w:r w:rsidR="00D11046">
            <w:rPr>
              <w:noProof/>
              <w:sz w:val="18"/>
            </w:rPr>
            <w:t>1</w:t>
          </w:r>
          <w:r w:rsidR="005A5593">
            <w:rPr>
              <w:sz w:val="18"/>
            </w:rPr>
            <w:fldChar w:fldCharType="end"/>
          </w:r>
        </w:p>
      </w:tc>
    </w:tr>
  </w:tbl>
  <w:p w:rsidR="005A5593" w:rsidRDefault="005A559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5A559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593" w:rsidRDefault="00D33DA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A5593" w:rsidRDefault="00D33D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A559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1046">
            <w:rPr>
              <w:sz w:val="18"/>
            </w:rPr>
            <w:fldChar w:fldCharType="separate"/>
          </w:r>
          <w:r w:rsidR="00D11046">
            <w:rPr>
              <w:noProof/>
              <w:sz w:val="18"/>
            </w:rPr>
            <w:t>4</w:t>
          </w:r>
          <w:r w:rsidR="005A5593">
            <w:rPr>
              <w:sz w:val="18"/>
            </w:rPr>
            <w:fldChar w:fldCharType="end"/>
          </w:r>
        </w:p>
      </w:tc>
    </w:tr>
  </w:tbl>
  <w:p w:rsidR="005A5593" w:rsidRDefault="005A559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A5" w:rsidRDefault="00D33DA5" w:rsidP="005A5593">
      <w:r>
        <w:separator/>
      </w:r>
    </w:p>
  </w:footnote>
  <w:footnote w:type="continuationSeparator" w:id="0">
    <w:p w:rsidR="00D33DA5" w:rsidRDefault="00D33DA5" w:rsidP="005A5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A5593"/>
    <w:rsid w:val="00A77B3E"/>
    <w:rsid w:val="00CA2A55"/>
    <w:rsid w:val="00D11046"/>
    <w:rsid w:val="00D3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593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2021 r.</dc:title>
  <dc:subject>zmieniająca uchwałę w^sprawie zasad gospodarowania lokalami użytkowymi.</dc:subject>
  <dc:creator>owrobel</dc:creator>
  <cp:lastModifiedBy>owrobel</cp:lastModifiedBy>
  <cp:revision>2</cp:revision>
  <dcterms:created xsi:type="dcterms:W3CDTF">2021-12-06T08:12:00Z</dcterms:created>
  <dcterms:modified xsi:type="dcterms:W3CDTF">2021-12-06T08:12:00Z</dcterms:modified>
  <cp:category>Akt prawny</cp:category>
</cp:coreProperties>
</file>