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F472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  <w:bookmarkStart w:id="0" w:name="_GoBack"/>
            <w:bookmarkEnd w:id="0"/>
          </w:p>
          <w:p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:rsidR="00A77B3E" w:rsidRDefault="00EE5C52">
            <w:pPr>
              <w:ind w:left="5669"/>
              <w:jc w:val="left"/>
            </w:pPr>
            <w:r>
              <w:t>Druk Nr 47/2022</w:t>
            </w:r>
          </w:p>
          <w:p w:rsidR="00A77B3E" w:rsidRDefault="00EE5C52">
            <w:pPr>
              <w:ind w:left="5669"/>
              <w:jc w:val="left"/>
            </w:pPr>
            <w:r>
              <w:t>Projekt z dnia 25 lutego 2022 r.</w:t>
            </w:r>
          </w:p>
          <w:p w:rsidR="00A77B3E" w:rsidRDefault="00A77B3E">
            <w:pPr>
              <w:ind w:left="5669"/>
              <w:jc w:val="left"/>
            </w:pPr>
          </w:p>
        </w:tc>
      </w:tr>
    </w:tbl>
    <w:p w:rsidR="00A77B3E" w:rsidRDefault="00A77B3E"/>
    <w:p w:rsidR="00A77B3E" w:rsidRDefault="00EE5C52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EE5C52">
      <w:pPr>
        <w:spacing w:before="240" w:after="240"/>
        <w:rPr>
          <w:b/>
          <w:caps/>
        </w:rPr>
      </w:pPr>
      <w:r>
        <w:rPr>
          <w:b/>
        </w:rPr>
        <w:t>z dnia                      2022 r.</w:t>
      </w:r>
    </w:p>
    <w:p w:rsidR="00A77B3E" w:rsidRDefault="00EE5C52">
      <w:pPr>
        <w:keepNext/>
        <w:spacing w:after="240"/>
      </w:pPr>
      <w:r>
        <w:rPr>
          <w:b/>
        </w:rPr>
        <w:t>zmieniająca uchwałę w sprawie wprowadzenia Regulaminu utrzymania czystości i porządku na terenie Miasta Łodzi.</w:t>
      </w:r>
    </w:p>
    <w:p w:rsidR="00A77B3E" w:rsidRDefault="00EE5C52">
      <w:pPr>
        <w:keepLines/>
        <w:spacing w:before="120" w:after="120"/>
        <w:ind w:firstLine="567"/>
        <w:jc w:val="both"/>
      </w:pPr>
      <w:r>
        <w:t>Na podstawie art. 18 ust. 2 pkt 15, art. 40 ust. 1 i art. 41 ust. 1 ustawy z dnia 8 marca 1990 r. o samorządzie gminnym (Dz. U. z 2021 r. poz. 1372 i 1834) oraz art. 4 ustawy z dnia 13 września 1996 r. o utrzymaniu czystości i porządku w gminach (Dz. U. z</w:t>
      </w:r>
      <w:r>
        <w:t> 2021 r. poz. 888, 1648 i 2151), Rada Miejska w Łodzi</w:t>
      </w:r>
    </w:p>
    <w:p w:rsidR="00A77B3E" w:rsidRDefault="00EE5C52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EE5C52">
      <w:pPr>
        <w:keepLines/>
        <w:spacing w:before="240" w:after="120"/>
        <w:ind w:firstLine="567"/>
        <w:jc w:val="both"/>
      </w:pPr>
      <w:r>
        <w:t>§ 1. </w:t>
      </w:r>
      <w:r>
        <w:t>W Regulaminie utrzymania czystości i porządku na terenie Miasta Łodzi, stanowiącym załącznik do uchwały Nr XXXII/1057/20 Rady Miejskiej w Łodzi z dnia 19 listopada 2020 r. w </w:t>
      </w:r>
      <w:r>
        <w:t>sprawie wprowadzenia Regulaminu utrzymania czystości i porządku na terenie Miasta Łodzi (Dz. Urz. Woj. Łódzkiego poz. 6349), wprowadza się następujące zmiany:</w:t>
      </w:r>
    </w:p>
    <w:p w:rsidR="00A77B3E" w:rsidRDefault="00EE5C52">
      <w:pPr>
        <w:spacing w:before="120" w:after="120"/>
        <w:ind w:left="227" w:hanging="227"/>
        <w:jc w:val="both"/>
      </w:pPr>
      <w:r>
        <w:t>1) </w:t>
      </w:r>
      <w:r>
        <w:t>w § 1 pkt 2 otrzymuje brzmienie:</w:t>
      </w:r>
    </w:p>
    <w:p w:rsidR="00A77B3E" w:rsidRDefault="00EE5C52">
      <w:pPr>
        <w:spacing w:before="120" w:after="120"/>
        <w:ind w:left="567" w:hanging="340"/>
        <w:jc w:val="both"/>
      </w:pPr>
      <w:r>
        <w:t>„</w:t>
      </w:r>
      <w:r>
        <w:t>2) </w:t>
      </w:r>
      <w:r>
        <w:t>odpady resztkowe (pozostałe po segregacji) oraz zmieszane</w:t>
      </w:r>
      <w:r>
        <w:t xml:space="preserve"> zbiera się w pojemnikach;</w:t>
      </w:r>
      <w:r>
        <w:t>”</w:t>
      </w:r>
      <w:r>
        <w:t>;</w:t>
      </w:r>
    </w:p>
    <w:p w:rsidR="00A77B3E" w:rsidRDefault="00EE5C52">
      <w:pPr>
        <w:spacing w:before="120" w:after="120"/>
        <w:ind w:left="227" w:hanging="227"/>
        <w:jc w:val="both"/>
      </w:pPr>
      <w:r>
        <w:t>2) </w:t>
      </w:r>
      <w:r>
        <w:t>w § 5 w pkt 1:</w:t>
      </w:r>
    </w:p>
    <w:p w:rsidR="00A77B3E" w:rsidRDefault="00EE5C52">
      <w:pPr>
        <w:keepLines/>
        <w:spacing w:before="120" w:after="120"/>
        <w:ind w:left="454" w:hanging="227"/>
        <w:jc w:val="both"/>
      </w:pPr>
      <w:r>
        <w:t>a) </w:t>
      </w:r>
      <w:r>
        <w:t>lit. b otrzymuje brzmienie:</w:t>
      </w:r>
    </w:p>
    <w:p w:rsidR="00A77B3E" w:rsidRDefault="00EE5C52">
      <w:pPr>
        <w:keepLines/>
        <w:spacing w:before="120" w:after="120"/>
        <w:ind w:left="794" w:hanging="340"/>
        <w:jc w:val="both"/>
      </w:pPr>
      <w:r>
        <w:t>„</w:t>
      </w:r>
      <w:r>
        <w:t>b) </w:t>
      </w:r>
      <w:r>
        <w:t>dla zabudowy wielolokalowej w częściach, w których zamieszkują mieszkańcy:</w:t>
      </w:r>
    </w:p>
    <w:p w:rsidR="00A77B3E" w:rsidRDefault="00EE5C52">
      <w:pPr>
        <w:keepLines/>
        <w:spacing w:before="120" w:after="120"/>
        <w:ind w:left="1021" w:hanging="113"/>
        <w:jc w:val="both"/>
      </w:pPr>
      <w:r>
        <w:t>- </w:t>
      </w:r>
      <w:r>
        <w:t>do papieru, szkła, tworzyw sztucznych wraz z metalami i odpadami opakowaniowymi wielomateriałowym</w:t>
      </w:r>
      <w:r>
        <w:t>i - pojemniki o minimalnej pojemności 120 l lub worki o minimalnej pojemności 30 l,</w:t>
      </w:r>
    </w:p>
    <w:p w:rsidR="00A77B3E" w:rsidRDefault="00EE5C52">
      <w:pPr>
        <w:keepLines/>
        <w:spacing w:before="120" w:after="120"/>
        <w:ind w:left="1021" w:hanging="113"/>
        <w:jc w:val="both"/>
      </w:pPr>
      <w:r>
        <w:t>- </w:t>
      </w:r>
      <w:r>
        <w:t>do bioodpadów stanowiących odpady spożywcze i kuchenne z gospodarstw domowych - wyłącznie pojemniki o minimalnej pojemności 120 l,</w:t>
      </w:r>
    </w:p>
    <w:p w:rsidR="00A77B3E" w:rsidRDefault="00EE5C52">
      <w:pPr>
        <w:keepLines/>
        <w:spacing w:before="120" w:after="120"/>
        <w:ind w:left="1021" w:hanging="113"/>
        <w:jc w:val="both"/>
      </w:pPr>
      <w:r>
        <w:t>- </w:t>
      </w:r>
      <w:r>
        <w:t>do odpadów resztkowych (pozostałych p</w:t>
      </w:r>
      <w:r>
        <w:t>o segregacji) oraz zmieszanych - wyłącznie pojemniki o minimalnej pojemności od 240 l,</w:t>
      </w:r>
      <w:r>
        <w:t>”</w:t>
      </w:r>
      <w:r>
        <w:t>,</w:t>
      </w:r>
    </w:p>
    <w:p w:rsidR="00A77B3E" w:rsidRDefault="00EE5C52">
      <w:pPr>
        <w:keepLines/>
        <w:spacing w:before="120" w:after="120"/>
        <w:ind w:left="454" w:hanging="227"/>
        <w:jc w:val="both"/>
      </w:pPr>
      <w:r>
        <w:t>b) </w:t>
      </w:r>
      <w:r>
        <w:t>dodaje się lit. c w brzmieniu:</w:t>
      </w:r>
    </w:p>
    <w:p w:rsidR="00A77B3E" w:rsidRDefault="00EE5C52">
      <w:pPr>
        <w:keepLines/>
        <w:spacing w:before="120" w:after="120"/>
        <w:ind w:left="794" w:hanging="340"/>
        <w:jc w:val="both"/>
      </w:pPr>
      <w:r>
        <w:t>„</w:t>
      </w:r>
      <w:r>
        <w:t>c) </w:t>
      </w:r>
      <w:r>
        <w:t>dla zabudowy wielolokalowej w częściach, w których nie zamieszkują mieszkańcy, a powstają odpady komunalne:</w:t>
      </w:r>
    </w:p>
    <w:p w:rsidR="00A77B3E" w:rsidRDefault="00EE5C52">
      <w:pPr>
        <w:keepLines/>
        <w:spacing w:before="120" w:after="120"/>
        <w:ind w:left="1021" w:hanging="113"/>
        <w:jc w:val="both"/>
      </w:pPr>
      <w:r>
        <w:t>- </w:t>
      </w:r>
      <w:r>
        <w:t xml:space="preserve">do papieru, szkła, </w:t>
      </w:r>
      <w:r>
        <w:t>tworzyw sztucznych wraz z metalami i odpadami opakowaniowymi wielomateriałowymi - pojemniki o minimalnej pojemności 60 l lub worki o minimalnej pojemności 30 l,</w:t>
      </w:r>
    </w:p>
    <w:p w:rsidR="00A77B3E" w:rsidRDefault="00EE5C52">
      <w:pPr>
        <w:keepLines/>
        <w:spacing w:before="120" w:after="120"/>
        <w:ind w:left="1021" w:hanging="113"/>
        <w:jc w:val="both"/>
      </w:pPr>
      <w:r>
        <w:lastRenderedPageBreak/>
        <w:t>- </w:t>
      </w:r>
      <w:r>
        <w:t>do bioodpadów stanowiących odpady spożywcze i kuchenne z gospodarstw domowych - pojemniki o m</w:t>
      </w:r>
      <w:r>
        <w:t>inimalnej pojemności 60 l lub worki o minimalnej pojemności 30 l,</w:t>
      </w:r>
    </w:p>
    <w:p w:rsidR="00A77B3E" w:rsidRDefault="00EE5C52">
      <w:pPr>
        <w:keepLines/>
        <w:spacing w:before="120" w:after="120"/>
        <w:ind w:left="1021" w:hanging="113"/>
        <w:jc w:val="both"/>
      </w:pPr>
      <w:r>
        <w:t>- </w:t>
      </w:r>
      <w:r>
        <w:t>do odpadów resztkowych (pozostałych po segregacji) oraz zmieszanych - wyłącznie pojemniki o minimalnej pojemności od 60 l.</w:t>
      </w:r>
      <w:r>
        <w:t>”</w:t>
      </w:r>
      <w:r>
        <w:t>.</w:t>
      </w:r>
    </w:p>
    <w:p w:rsidR="00A77B3E" w:rsidRDefault="00EE5C52">
      <w:pPr>
        <w:keepLines/>
        <w:spacing w:before="240" w:after="120"/>
        <w:ind w:firstLine="567"/>
        <w:jc w:val="both"/>
      </w:pPr>
      <w:r>
        <w:t>§ 2. </w:t>
      </w:r>
      <w:r>
        <w:t>Wykonanie uchwały powierza się Prezydentowi Miasta Łodzi.</w:t>
      </w:r>
    </w:p>
    <w:p w:rsidR="00A77B3E" w:rsidRDefault="00EE5C52">
      <w:pPr>
        <w:keepNext/>
        <w:keepLines/>
        <w:spacing w:before="240" w:after="120"/>
        <w:ind w:firstLine="567"/>
        <w:jc w:val="both"/>
      </w:pPr>
      <w:r>
        <w:t>§ 3. </w:t>
      </w:r>
      <w:r>
        <w:t>Uchwała wchodzi w życie po upływie 14 dni od dnia jej ogłoszenia w Dzienniku Urzędowym Województwa Łódzkiego, z mocą od dnia 1 stycznia 2022 r.</w:t>
      </w:r>
    </w:p>
    <w:p w:rsidR="00A77B3E" w:rsidRDefault="00EE5C52">
      <w:pPr>
        <w:keepNext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F472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4725" w:rsidRDefault="00CF4725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4725" w:rsidRDefault="00EE5C52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EE5C52">
      <w:pPr>
        <w:ind w:left="283" w:firstLine="227"/>
        <w:jc w:val="both"/>
      </w:pPr>
      <w:r>
        <w:t>Projektodawcą jest</w:t>
      </w:r>
    </w:p>
    <w:p w:rsidR="00A77B3E" w:rsidRDefault="00EE5C52">
      <w:pPr>
        <w:ind w:left="283" w:firstLine="22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 Miasta Łodzi</w:t>
      </w:r>
    </w:p>
    <w:p w:rsidR="00CF4725" w:rsidRDefault="00CF472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F4725" w:rsidRDefault="00EE5C52">
      <w:pPr>
        <w:rPr>
          <w:b/>
          <w:caps/>
          <w:color w:val="000000"/>
          <w:szCs w:val="20"/>
          <w:shd w:val="clear" w:color="auto" w:fill="FFFFFF"/>
          <w:lang w:val="en-US" w:eastAsia="en-US" w:bidi="en-US"/>
        </w:rPr>
      </w:pPr>
      <w:r>
        <w:rPr>
          <w:b/>
          <w:caps/>
          <w:color w:val="000000"/>
          <w:szCs w:val="20"/>
          <w:shd w:val="clear" w:color="auto" w:fill="FFFFFF"/>
          <w:lang w:val="en-US" w:eastAsia="en-US" w:bidi="en-US"/>
        </w:rPr>
        <w:t>uzasadnienie</w:t>
      </w:r>
    </w:p>
    <w:p w:rsidR="00CF4725" w:rsidRDefault="00CF4725">
      <w:pPr>
        <w:rPr>
          <w:b/>
          <w:caps/>
          <w:color w:val="000000"/>
          <w:szCs w:val="20"/>
          <w:shd w:val="clear" w:color="auto" w:fill="FFFFFF"/>
          <w:lang w:val="en-US" w:eastAsia="en-US" w:bidi="en-US"/>
        </w:rPr>
      </w:pPr>
    </w:p>
    <w:p w:rsidR="00CF4725" w:rsidRDefault="00EE5C52">
      <w:pPr>
        <w:ind w:right="480" w:firstLine="72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Celem niniejszej uchwały jest wprowadzenie możliwości, by na nieruchomościach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o zabudowie wielolokalowej, w ich częściach, na których nie zamieszkują mieszkańcy,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en-US" w:eastAsia="en-US" w:bidi="en-US"/>
        </w:rPr>
        <w:t>a powstają odpady komunalne, wszystkie rodzaje wytwarzanych na nich odpadów mających charakter surowcowy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oraz odpady bio-kuchenne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mogły być zbierane zarówno w pojemnikach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jak i w workach.</w:t>
      </w:r>
    </w:p>
    <w:p w:rsidR="00CF4725" w:rsidRDefault="00EE5C52">
      <w:pPr>
        <w:ind w:right="48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W częściach niezamieszkałych tych nieruchomości zazwyczaj prowadzone są działalności gospodarcze lub usługowe, które wykonywane są często przez pojedyncze osoby. Powstają zatem niewielkie ilości odpadów, praktycznie nie zawierające frakcj</w:t>
      </w:r>
      <w:r>
        <w:rPr>
          <w:color w:val="000000"/>
          <w:szCs w:val="20"/>
          <w:shd w:val="clear" w:color="auto" w:fill="FFFFFF"/>
          <w:lang w:val="en-US" w:eastAsia="en-US" w:bidi="en-US"/>
        </w:rPr>
        <w:t>i o charakterze biologicznym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-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kuchennym. W takich przypadkach gromadzenie odpadów w workach nie spowoduje żadnych negatywnych zjawisk. Zmiana ta pozwoli także na obniżenie wysokości opłat za odpady, którą ponoszą przedsiębiorcy lub usługodawcy.</w:t>
      </w:r>
    </w:p>
    <w:p w:rsidR="00CF4725" w:rsidRDefault="00EE5C52">
      <w:pPr>
        <w:ind w:right="48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</w:t>
      </w:r>
      <w:r>
        <w:rPr>
          <w:color w:val="000000"/>
          <w:szCs w:val="20"/>
          <w:shd w:val="clear" w:color="auto" w:fill="FFFFFF"/>
          <w:lang w:val="en-US" w:eastAsia="en-US" w:bidi="en-US"/>
        </w:rPr>
        <w:t>możliwien</w:t>
      </w:r>
      <w:r>
        <w:rPr>
          <w:color w:val="000000"/>
          <w:szCs w:val="20"/>
          <w:shd w:val="clear" w:color="auto" w:fill="FFFFFF"/>
          <w:lang w:val="en-US" w:eastAsia="en-US" w:bidi="en-US"/>
        </w:rPr>
        <w:t>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dla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części niezamieszkałej nieruchomości „mieszanych”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gromadzenia odpadów w nich wytwarzanych w mniejszych workach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wraz z jednoczesnym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</w:t>
      </w:r>
      <w:r>
        <w:rPr>
          <w:color w:val="000000"/>
          <w:szCs w:val="20"/>
          <w:shd w:val="clear" w:color="auto" w:fill="FFFFFF"/>
          <w:lang w:val="en-US" w:eastAsia="en-US" w:bidi="en-US"/>
        </w:rPr>
        <w:t>mniejszenie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>m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częstotliwości odbioru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tych </w:t>
      </w:r>
      <w:r>
        <w:rPr>
          <w:color w:val="000000"/>
          <w:szCs w:val="20"/>
          <w:shd w:val="clear" w:color="auto" w:fill="FFFFFF"/>
          <w:lang w:val="en-US" w:eastAsia="en-US" w:bidi="en-US"/>
        </w:rPr>
        <w:t>odpadów, co dokonane zostanie odrębną uchwałą, umożliwią znaczne obniżenie w</w:t>
      </w:r>
      <w:r>
        <w:rPr>
          <w:color w:val="000000"/>
          <w:szCs w:val="20"/>
          <w:shd w:val="clear" w:color="auto" w:fill="FFFFFF"/>
          <w:lang w:val="en-US" w:eastAsia="en-US" w:bidi="en-US"/>
        </w:rPr>
        <w:t>ysokości opłat za odpady, którą ponosiliby przedsiębiorcy prowadzący przeróżne działalności o charakterze handlowo-usługowo-rzemieślniczym, ulokowane w tych częściach nieruchomości. Ten wzrost opłat za odpady byłby skutkiem zmiany w ustawie o utrzymaniu cz</w:t>
      </w:r>
      <w:r>
        <w:rPr>
          <w:color w:val="000000"/>
          <w:szCs w:val="20"/>
          <w:shd w:val="clear" w:color="auto" w:fill="FFFFFF"/>
          <w:lang w:val="en-US" w:eastAsia="en-US" w:bidi="en-US"/>
        </w:rPr>
        <w:t>ystości i porządku w gminach, która zaczęła obowiązywać od dnia 23 września 2021 r. Polegała ona na zmianie metody obliczania wysokości opłaty za pojemnik/worek z odpadami, z nieuwzględniającej częstotliwości w miesiącu odbiorów odpadów – na uwzględniającą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tą częstotliwość. Efekt praktyczny byłby taki, że za odpady z lokalu użytkowego znajdującego się w nieruchomości mieszanej, w którym pracuje tylko 1 osoba, opłata miesięczna wynosiłaby ponad 300 zł. Sytuacja ta stworzyłaby istotne nieprawidłowości:</w:t>
      </w:r>
    </w:p>
    <w:p w:rsidR="00CF4725" w:rsidRDefault="00EE5C52">
      <w:pPr>
        <w:ind w:left="285" w:right="480" w:hanging="285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-</w:t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  <w:t>Mias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to pobierałoby opłatę niewspółmiernie wysoką w stosunku do rzeczywistych kosztów odbioru, transportu i zagospodarowania odpadów komunalnych, </w:t>
      </w:r>
    </w:p>
    <w:p w:rsidR="00CF4725" w:rsidRDefault="00EE5C52">
      <w:pPr>
        <w:ind w:left="285" w:right="480" w:hanging="285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-</w:t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  <w:t>znacznie wyższa opłata za odpady ponoszona przez przedsiębiorców prowadzących działalność w nieruchomościach mie</w:t>
      </w:r>
      <w:r>
        <w:rPr>
          <w:color w:val="000000"/>
          <w:szCs w:val="20"/>
          <w:shd w:val="clear" w:color="auto" w:fill="FFFFFF"/>
          <w:lang w:val="en-US" w:eastAsia="en-US" w:bidi="en-US"/>
        </w:rPr>
        <w:t>szanych powodowałaby obniżenie ich konkurencyjności rynkowej w stosunku do przedsiębiorców mających lokale w innych nieruchomościach, gdzie opłata może być ustalana w warunkach swobody gospodarczej. Odbierane są sygnały, że przedsiębiorcy z pierwszej grupy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przenosiliby swoją działalność do innych miejsc lub ją likwidowaliby, co byłoby niekorzystne zarówno dla nich, jak i dla społeczności lokalnych, </w:t>
      </w:r>
    </w:p>
    <w:p w:rsidR="00CF4725" w:rsidRDefault="00EE5C52">
      <w:pPr>
        <w:ind w:left="285" w:right="480" w:hanging="285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-</w:t>
      </w:r>
      <w:r>
        <w:rPr>
          <w:color w:val="000000"/>
          <w:szCs w:val="20"/>
          <w:shd w:val="clear" w:color="auto" w:fill="FFFFFF"/>
          <w:lang w:val="en-US" w:eastAsia="en-US" w:bidi="en-US"/>
        </w:rPr>
        <w:tab/>
        <w:t>w obecnej sytuacji długotrwałej pandemii działania administracyjne powinny być nakierunkowane na wykorzysty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wanie wszelkich możliwości, które wspomagają prowadzących działalność gospodarczą. </w:t>
      </w:r>
    </w:p>
    <w:p w:rsidR="00CF4725" w:rsidRDefault="00EE5C52">
      <w:pPr>
        <w:ind w:right="48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Skutecznym rozwiązaniem tych problemów będzie zmiana niektórych zasad gospodarki odpadami (umożliwienie zmniejszenia częstotliwości odbioru odpadów oraz minimalnej </w:t>
      </w:r>
      <w:r>
        <w:rPr>
          <w:color w:val="000000"/>
          <w:szCs w:val="20"/>
          <w:shd w:val="clear" w:color="auto" w:fill="FFFFFF"/>
          <w:lang w:val="en-US" w:eastAsia="en-US" w:bidi="en-US"/>
        </w:rPr>
        <w:t>wielkości pojemników/worków), które odnoszą się tylko do części niezamieszkałych nieruchomości mieszanych. Uzyskały one pozytywną opinię Państwowego Powiatowego Inspektora Sanitarnego. Ich skutkiem będzie obniżenie minimalnej wysokości miesięcznej opłaty z</w:t>
      </w:r>
      <w:r>
        <w:rPr>
          <w:color w:val="000000"/>
          <w:szCs w:val="20"/>
          <w:shd w:val="clear" w:color="auto" w:fill="FFFFFF"/>
          <w:lang w:val="en-US" w:eastAsia="en-US" w:bidi="en-US"/>
        </w:rPr>
        <w:t>a odpady do kwoty mniejszej niż 90 zł w miesiącach letnich oraz mniejszej niż 60 zł w miesiącach zimowych.</w:t>
      </w:r>
    </w:p>
    <w:p w:rsidR="00CF4725" w:rsidRDefault="00EE5C52">
      <w:pPr>
        <w:ind w:right="48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Przedstawione zmiany w obydwu uchwałach powinny mieć moc obowiązującą od dnia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en-US" w:eastAsia="en-US" w:bidi="en-US"/>
        </w:rPr>
        <w:t>1 stycznia 202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r., czyli od dnia obowiązywania obecnej uchwały Rady Mi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ejskiej w Łodzi ustanawiającej wysokości opłat za gospodarowanie odpadami komunalnymi, która wprowadziła czynnik częstotliwości w obliczaniu opłaty za pojemnik/worek z odpadami. </w:t>
      </w:r>
      <w:r>
        <w:rPr>
          <w:color w:val="000000"/>
          <w:szCs w:val="20"/>
          <w:shd w:val="clear" w:color="auto" w:fill="FFFFFF"/>
          <w:lang w:val="en-US" w:eastAsia="en-US" w:bidi="en-US"/>
        </w:rPr>
        <w:lastRenderedPageBreak/>
        <w:t>Tylko wtedy część przedsiębiorców, o których mowa powyżej, nie zostanie obciąż</w:t>
      </w:r>
      <w:r>
        <w:rPr>
          <w:color w:val="000000"/>
          <w:szCs w:val="20"/>
          <w:shd w:val="clear" w:color="auto" w:fill="FFFFFF"/>
          <w:lang w:val="en-US" w:eastAsia="en-US" w:bidi="en-US"/>
        </w:rPr>
        <w:t>ona nieuzasadnionymi, wysokimi opłatami. Umożliwia to art. 5 ustawy z dnia 20 lipca 2000 r. o ogłaszaniu aktów normatywnych i niektórych innych aktów prawnych (Dz. U. z 2019 r. poz. 1461), który stanowi, iż jest możliwość nadania aktowi normatywnemu wstecz</w:t>
      </w:r>
      <w:r>
        <w:rPr>
          <w:color w:val="000000"/>
          <w:szCs w:val="20"/>
          <w:shd w:val="clear" w:color="auto" w:fill="FFFFFF"/>
          <w:lang w:val="en-US" w:eastAsia="en-US" w:bidi="en-US"/>
        </w:rPr>
        <w:t>nej mocy obowiązującej, jeżeli zasady demokratycznego państwa prawnego nie stoją temu na przeszkodzie. Zgodnie z ukształtowanym orzecznictwem cofnięcie skutków prawnych musi dotyczyć poprawy sytuacji prawnej podmiotów objętych dyspozycją nowych norm prawny</w:t>
      </w:r>
      <w:r>
        <w:rPr>
          <w:color w:val="000000"/>
          <w:szCs w:val="20"/>
          <w:shd w:val="clear" w:color="auto" w:fill="FFFFFF"/>
          <w:lang w:val="en-US" w:eastAsia="en-US" w:bidi="en-US"/>
        </w:rPr>
        <w:t>ch. I właśnie z taką sytuacją mamy do czynienia.</w:t>
      </w:r>
    </w:p>
    <w:p w:rsidR="00CF4725" w:rsidRDefault="00EE5C52">
      <w:pPr>
        <w:ind w:right="48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Wprowadzenie nowych przepisów z ewentualnym skróceniem 14-dniowego vacatio legis nie narusza zasady zaufania obywateli wobec Państwa, gdyż jak już wyjaśniono – zmiany są korzystne dla przedsiębiorców. Naczel</w:t>
      </w:r>
      <w:r>
        <w:rPr>
          <w:color w:val="000000"/>
          <w:szCs w:val="20"/>
          <w:shd w:val="clear" w:color="auto" w:fill="FFFFFF"/>
          <w:lang w:val="en-US" w:eastAsia="en-US" w:bidi="en-US"/>
        </w:rPr>
        <w:t>ny Sąd Administracyjny (wyrok II FSK 1272/09 z 19 listopada 2010 r.) wskazał, że wsteczna moc prawa dotyczyć może tylko przyznania praw, a wykluczyć należy możliwość stosowania retroakcji do nakładania obowiązków.</w:t>
      </w:r>
    </w:p>
    <w:p w:rsidR="00CF4725" w:rsidRDefault="00EE5C52">
      <w:pPr>
        <w:ind w:right="480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>Zgodnie z art. 88 ust. 1 i 2 Konstytucji R</w:t>
      </w:r>
      <w:r>
        <w:rPr>
          <w:color w:val="000000"/>
          <w:szCs w:val="20"/>
          <w:shd w:val="clear" w:color="auto" w:fill="FFFFFF"/>
          <w:lang w:val="en-US" w:eastAsia="en-US" w:bidi="en-US"/>
        </w:rPr>
        <w:t>zeczypospolitej Polskiej z dnia 2 kwietnia</w:t>
      </w:r>
      <w:r>
        <w:rPr>
          <w:color w:val="000000"/>
          <w:szCs w:val="20"/>
          <w:shd w:val="clear" w:color="auto" w:fill="FFFFFF"/>
        </w:rPr>
        <w:t xml:space="preserve"> 1997 r.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wejście w życie aktu prawa miejscowego jest uwarunkowane od jego ogłoszenia na zasadach i w trybie przewidzianym w ustawie, do której odsyła także w odniesieniu do zasad i trybu wydawania tych aktów (art. </w:t>
      </w:r>
      <w:r>
        <w:rPr>
          <w:color w:val="000000"/>
          <w:szCs w:val="20"/>
          <w:shd w:val="clear" w:color="auto" w:fill="FFFFFF"/>
          <w:lang w:val="en-US" w:eastAsia="en-US" w:bidi="en-US"/>
        </w:rPr>
        <w:t>94 Konstytucji RP). Realizacja dyspozycji zawartej w Konstytucji następuje w przytaczanej już ustawie z dnia 20 lipca 2000 r. o ogłaszaniu aktów normatywnych i niektórych innych aktów prawnych, która jednocześnie przesądza z jednej strony o kwalifikacji ak</w:t>
      </w:r>
      <w:r>
        <w:rPr>
          <w:color w:val="000000"/>
          <w:szCs w:val="20"/>
          <w:shd w:val="clear" w:color="auto" w:fill="FFFFFF"/>
          <w:lang w:val="en-US" w:eastAsia="en-US" w:bidi="en-US"/>
        </w:rPr>
        <w:t>tów prawa miejscowego, stanowionych przez organy gminy, do katalogu aktów podlegających publikacji w wojewódzkim dzienniku urzędowym (art. 13 pkt 2 ww. ustawy), a z drugiej strony o konieczności ustalenia odpowiedniego terminu wejścia w życie takiego aktu,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oznaczonego nie wcześniej niż po upływie 14 dni od dnia ich ogłoszenia (art. 4 ust. 1 ww. ustawy). Jednakże art. 5 ustawy o ogłaszaniu aktów normatywnych i niektórych innych aktów prawnych przewiduje możliwość nadania aktowi normatywnemu wstecznej mocy ob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owiązującej, jeżeli zasady demokratycznego państwa prawa nie stoją temu na przeszkodzie. Należy podkreślić, że Trybunał Konstytucyjny w wyroku z dnia 25 września 2000 r. uznał, że działanie prawa wstecz nie oznacza naruszenia art. 2 Konstytucji, o ile tak </w:t>
      </w:r>
      <w:r>
        <w:rPr>
          <w:color w:val="000000"/>
          <w:szCs w:val="20"/>
          <w:shd w:val="clear" w:color="auto" w:fill="FFFFFF"/>
          <w:lang w:val="en-US" w:eastAsia="en-US" w:bidi="en-US"/>
        </w:rPr>
        <w:t>wprowadzone przepisy polepszają sytuację prawną niektórych adresatów danej normy prawnej i zarazem nie pogarszają sytuacji prawnej pozostałych jej adresatów (sygn. akt K 26/99, OTK 2000 nr 6, poz. 186). Zatem mimo potencjalnego działania uchwał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wstecz, bę</w:t>
      </w:r>
      <w:r>
        <w:rPr>
          <w:color w:val="000000"/>
          <w:szCs w:val="20"/>
          <w:shd w:val="clear" w:color="auto" w:fill="FFFFFF"/>
          <w:lang w:val="en-US" w:eastAsia="en-US" w:bidi="en-US"/>
        </w:rPr>
        <w:t>d</w:t>
      </w:r>
      <w:r>
        <w:rPr>
          <w:color w:val="000000"/>
          <w:szCs w:val="20"/>
          <w:shd w:val="clear" w:color="auto" w:fill="FFFFFF"/>
        </w:rPr>
        <w:t>zie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ona realizował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zasady demokratycznego państwa prawnego.</w:t>
      </w:r>
    </w:p>
    <w:p w:rsidR="00CF4725" w:rsidRDefault="00CF4725">
      <w:pPr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</w:p>
    <w:p w:rsidR="00CF4725" w:rsidRDefault="00CF4725">
      <w:pPr>
        <w:spacing w:line="360" w:lineRule="auto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F472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52" w:rsidRDefault="00EE5C52">
      <w:r>
        <w:separator/>
      </w:r>
    </w:p>
  </w:endnote>
  <w:endnote w:type="continuationSeparator" w:id="0">
    <w:p w:rsidR="00EE5C52" w:rsidRDefault="00EE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F4725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4725" w:rsidRDefault="00EE5C5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4725" w:rsidRDefault="00EE5C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C1790">
            <w:rPr>
              <w:sz w:val="18"/>
            </w:rPr>
            <w:fldChar w:fldCharType="separate"/>
          </w:r>
          <w:r w:rsidR="00EC179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F4725" w:rsidRDefault="00CF472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F4725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4725" w:rsidRDefault="00EE5C5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4725" w:rsidRDefault="00EE5C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C1790">
            <w:rPr>
              <w:sz w:val="18"/>
            </w:rPr>
            <w:fldChar w:fldCharType="separate"/>
          </w:r>
          <w:r w:rsidR="00EC1790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CF4725" w:rsidRDefault="00CF472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52" w:rsidRDefault="00EE5C52">
      <w:r>
        <w:separator/>
      </w:r>
    </w:p>
  </w:footnote>
  <w:footnote w:type="continuationSeparator" w:id="0">
    <w:p w:rsidR="00EE5C52" w:rsidRDefault="00EE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A2A55"/>
    <w:rsid w:val="00CF4725"/>
    <w:rsid w:val="00EC1790"/>
    <w:rsid w:val="00E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BC7F12-2A48-4978-BD62-4980F2BA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1264</Words>
  <Characters>7587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wprowadzenia Regulaminu utrzymania czystości i^porządku na terenie Miasta Łodzi.</dc:subject>
  <dc:creator>jpastwinski</dc:creator>
  <cp:lastModifiedBy>Violetta Gandziarska</cp:lastModifiedBy>
  <cp:revision>2</cp:revision>
  <dcterms:created xsi:type="dcterms:W3CDTF">2022-03-04T12:18:00Z</dcterms:created>
  <dcterms:modified xsi:type="dcterms:W3CDTF">2022-03-04T12:18:00Z</dcterms:modified>
  <cp:category>Akt prawny</cp:category>
</cp:coreProperties>
</file>