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4"/>
      </w:tblGrid>
      <w:tr w:rsidR="001E32D5">
        <w:tc>
          <w:tcPr>
            <w:tcW w:w="10318" w:type="dxa"/>
            <w:tcBorders>
              <w:top w:val="nil"/>
              <w:left w:val="nil"/>
              <w:bottom w:val="nil"/>
              <w:right w:val="nil"/>
            </w:tcBorders>
            <w:tcMar>
              <w:top w:w="100" w:type="dxa"/>
            </w:tcMar>
          </w:tcPr>
          <w:p w:rsidR="00A77B3E" w:rsidRDefault="0048103B">
            <w:pPr>
              <w:ind w:left="5669"/>
              <w:jc w:val="left"/>
            </w:pPr>
            <w:r>
              <w:t>Druk Nr</w:t>
            </w:r>
            <w:r w:rsidR="00B35562">
              <w:t xml:space="preserve"> 106/2022</w:t>
            </w:r>
          </w:p>
          <w:p w:rsidR="00A77B3E" w:rsidRDefault="0048103B">
            <w:pPr>
              <w:ind w:left="5669"/>
              <w:jc w:val="left"/>
            </w:pPr>
            <w:r>
              <w:t>Projekt z dnia</w:t>
            </w:r>
            <w:r w:rsidR="00B35562">
              <w:t xml:space="preserve"> 29 kwietnia 2022 r.</w:t>
            </w:r>
          </w:p>
          <w:p w:rsidR="00A77B3E" w:rsidRDefault="00A77B3E">
            <w:pPr>
              <w:ind w:left="5669"/>
              <w:jc w:val="left"/>
            </w:pPr>
          </w:p>
          <w:p w:rsidR="00A77B3E" w:rsidRDefault="00A77B3E">
            <w:pPr>
              <w:ind w:left="5669"/>
              <w:jc w:val="left"/>
            </w:pPr>
          </w:p>
        </w:tc>
      </w:tr>
    </w:tbl>
    <w:p w:rsidR="00A77B3E" w:rsidRDefault="00A77B3E"/>
    <w:p w:rsidR="00A77B3E" w:rsidRDefault="0048103B">
      <w:pPr>
        <w:jc w:val="center"/>
        <w:rPr>
          <w:b/>
          <w:caps/>
        </w:rPr>
      </w:pPr>
      <w:r>
        <w:rPr>
          <w:b/>
          <w:caps/>
        </w:rPr>
        <w:t>Uchwała Nr ^^^^^^^^^^^^^^^^^^^^</w:t>
      </w:r>
      <w:r>
        <w:rPr>
          <w:b/>
          <w:caps/>
        </w:rPr>
        <w:br/>
        <w:t>Rady Miejskiej w Łodzi</w:t>
      </w:r>
    </w:p>
    <w:p w:rsidR="00A77B3E" w:rsidRDefault="0048103B">
      <w:pPr>
        <w:spacing w:before="40" w:after="280"/>
        <w:jc w:val="center"/>
        <w:rPr>
          <w:b/>
          <w:caps/>
        </w:rPr>
      </w:pPr>
      <w:r>
        <w:rPr>
          <w:b/>
        </w:rPr>
        <w:t>z dnia .................... 2022 r.</w:t>
      </w:r>
    </w:p>
    <w:p w:rsidR="00A77B3E" w:rsidRDefault="0048103B">
      <w:pPr>
        <w:keepNext/>
        <w:spacing w:after="240"/>
        <w:jc w:val="center"/>
      </w:pPr>
      <w:r>
        <w:rPr>
          <w:b/>
        </w:rPr>
        <w:t>zmieniająca uchwałę w sprawie ustalenia opłat za usługi przewozowe lokalnego transportu zbiorowego w Łodzi.</w:t>
      </w:r>
    </w:p>
    <w:p w:rsidR="00A77B3E" w:rsidRDefault="0048103B">
      <w:pPr>
        <w:keepLines/>
        <w:spacing w:before="120" w:after="120"/>
        <w:ind w:firstLine="567"/>
      </w:pPr>
      <w:r>
        <w:t>Na podstawie art. 7 ust. 1 pkt 4 w związku z art. 18 ust. 2 pkt 15 ustawy z dnia 8 marca 1990 r. o samorządzie gminnym (Dz. U. z 2022 r. poz. 559 i 583), art. 50a ust. 1 i 2 ustawy z dnia 16 grudnia 2010 r. o publicznym transporcie zbiorowym (Dz. U. z 2021 r. poz. 1371 i 2445) oraz art. 34a ust. 2 ustawy z dnia 15 listopada 1984 r. – Prawo przewozowe (Dz. U. z 2020 r. poz. 8), Rada Miejska w Łodzi</w:t>
      </w:r>
    </w:p>
    <w:p w:rsidR="00A77B3E" w:rsidRDefault="0048103B">
      <w:pPr>
        <w:spacing w:before="120" w:after="120"/>
        <w:jc w:val="center"/>
        <w:rPr>
          <w:b/>
        </w:rPr>
      </w:pPr>
      <w:r>
        <w:rPr>
          <w:b/>
        </w:rPr>
        <w:t>uchwala, co następuje:</w:t>
      </w:r>
    </w:p>
    <w:p w:rsidR="00A77B3E" w:rsidRDefault="0048103B">
      <w:pPr>
        <w:keepLines/>
        <w:spacing w:before="240" w:after="240"/>
        <w:ind w:firstLine="567"/>
      </w:pPr>
      <w:r>
        <w:t>§ 1. W przepisach taryfowych w lokalnym transporcie zbiorowym Miasta Łodzi, stanowiących załącznik Nr 1 do uchwały Nr XLII/1108/17 Rady Miejskiej w Łodzi z dnia 22 lutego 2017 r. w sprawie ustalenia opłat za usługi przewozowe lokalnego transportu zbiorowego w Łodzi (Dz. Urz. Woj. Łódzkiego z 2022 r. poz. 2291), w § 4 pkt 23 otrzymuje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4417"/>
        <w:gridCol w:w="5328"/>
      </w:tblGrid>
      <w:tr w:rsidR="001E32D5">
        <w:trPr>
          <w:trHeight w:val="675"/>
        </w:trPr>
        <w:tc>
          <w:tcPr>
            <w:tcW w:w="780" w:type="dxa"/>
            <w:tcBorders>
              <w:top w:val="single" w:sz="2" w:space="0" w:color="auto"/>
              <w:left w:val="single" w:sz="2" w:space="0" w:color="auto"/>
              <w:bottom w:val="single" w:sz="2" w:space="0" w:color="auto"/>
              <w:right w:val="single" w:sz="2" w:space="0" w:color="auto"/>
            </w:tcBorders>
            <w:tcMar>
              <w:top w:w="100" w:type="dxa"/>
            </w:tcMar>
          </w:tcPr>
          <w:p w:rsidR="00A77B3E" w:rsidRDefault="0048103B">
            <w:pPr>
              <w:jc w:val="left"/>
            </w:pPr>
            <w:r>
              <w:t>23)</w:t>
            </w:r>
          </w:p>
        </w:tc>
        <w:tc>
          <w:tcPr>
            <w:tcW w:w="4365" w:type="dxa"/>
            <w:tcBorders>
              <w:top w:val="single" w:sz="2" w:space="0" w:color="auto"/>
              <w:left w:val="single" w:sz="2" w:space="0" w:color="auto"/>
              <w:bottom w:val="single" w:sz="2" w:space="0" w:color="auto"/>
              <w:right w:val="single" w:sz="2" w:space="0" w:color="auto"/>
            </w:tcBorders>
            <w:tcMar>
              <w:top w:w="100" w:type="dxa"/>
            </w:tcMar>
          </w:tcPr>
          <w:p w:rsidR="00A77B3E" w:rsidRDefault="0048103B">
            <w:pPr>
              <w:jc w:val="left"/>
            </w:pPr>
            <w:r>
              <w:t>seniorzy powyżej 60 roku życia w czasie obchodów Łódzkich Senioraliów przypadających w terminach określonych</w:t>
            </w:r>
            <w:r>
              <w:br/>
              <w:t>w ogłoszeniach Prezydenta Miasta Łodzi publikowanych w Biuletynie Informacji Publicznej Urzędu Miasta Łodzi</w:t>
            </w:r>
          </w:p>
        </w:tc>
        <w:tc>
          <w:tcPr>
            <w:tcW w:w="5265" w:type="dxa"/>
            <w:tcBorders>
              <w:top w:val="single" w:sz="2" w:space="0" w:color="auto"/>
              <w:left w:val="single" w:sz="2" w:space="0" w:color="auto"/>
              <w:bottom w:val="single" w:sz="2" w:space="0" w:color="auto"/>
              <w:right w:val="single" w:sz="2" w:space="0" w:color="auto"/>
            </w:tcBorders>
            <w:tcMar>
              <w:top w:w="100" w:type="dxa"/>
            </w:tcMar>
          </w:tcPr>
          <w:p w:rsidR="00A77B3E" w:rsidRDefault="0048103B">
            <w:pPr>
              <w:jc w:val="left"/>
            </w:pPr>
            <w:r>
              <w:t>Miejska Karta Seniora bądź Karta Mieszkańca,</w:t>
            </w:r>
            <w:r>
              <w:br/>
              <w:t>o której mowa w § 3 ust. 6 z aktywnym pakietem seniora wraz z dokumentem stwierdzającym tożsamość lub potwierdzeniem tożsamości przy pomocy aplikacji mObywatel</w:t>
            </w:r>
            <w:bookmarkStart w:id="0" w:name="_GoBack"/>
            <w:bookmarkEnd w:id="0"/>
            <w:r>
              <w:t>;</w:t>
            </w:r>
          </w:p>
        </w:tc>
      </w:tr>
    </w:tbl>
    <w:p w:rsidR="00A77B3E" w:rsidRDefault="0048103B">
      <w:pPr>
        <w:keepLines/>
        <w:spacing w:before="240" w:after="240"/>
        <w:ind w:firstLine="567"/>
      </w:pPr>
      <w:r>
        <w:t>§ 2. Wykonanie uchwały powierza się Prezydentowi Miasta Łodzi.</w:t>
      </w:r>
    </w:p>
    <w:p w:rsidR="00A77B3E" w:rsidRDefault="0048103B">
      <w:pPr>
        <w:keepNext/>
        <w:keepLines/>
        <w:spacing w:before="240" w:after="240"/>
        <w:ind w:firstLine="567"/>
      </w:pPr>
      <w:r>
        <w:t>§ 3. Uchwała wchodzi w życie po upływie 14 dni od dnia ogłoszenia w Dzienniku Urzędowym Województwa Łódzkiego, z mocą od dnia 21 maja 2022 r.</w:t>
      </w:r>
    </w:p>
    <w:p w:rsidR="00A77B3E" w:rsidRDefault="0048103B">
      <w:pPr>
        <w:keepNext/>
        <w:keepLines/>
        <w:ind w:firstLine="227"/>
      </w:pPr>
      <w:r>
        <w:t>  </w:t>
      </w:r>
    </w:p>
    <w:p w:rsidR="00A77B3E" w:rsidRDefault="0048103B">
      <w:pPr>
        <w:keepNext/>
      </w:pPr>
      <w:r>
        <w:rPr>
          <w:color w:val="000000"/>
        </w:rPr>
        <w:t> </w:t>
      </w:r>
    </w:p>
    <w:tbl>
      <w:tblPr>
        <w:tblW w:w="5000" w:type="pct"/>
        <w:tblCellMar>
          <w:left w:w="0" w:type="dxa"/>
          <w:right w:w="0" w:type="dxa"/>
        </w:tblCellMar>
        <w:tblLook w:val="04A0"/>
      </w:tblPr>
      <w:tblGrid>
        <w:gridCol w:w="5159"/>
        <w:gridCol w:w="5159"/>
      </w:tblGrid>
      <w:tr w:rsidR="001E32D5">
        <w:tc>
          <w:tcPr>
            <w:tcW w:w="2500" w:type="pct"/>
            <w:tcMar>
              <w:top w:w="0" w:type="dxa"/>
              <w:left w:w="0" w:type="dxa"/>
              <w:bottom w:w="0" w:type="dxa"/>
              <w:right w:w="0" w:type="dxa"/>
            </w:tcMar>
            <w:hideMark/>
          </w:tcPr>
          <w:p w:rsidR="001E32D5" w:rsidRDefault="001E32D5">
            <w:pPr>
              <w:keepNext/>
              <w:keepLines/>
              <w:jc w:val="left"/>
              <w:rPr>
                <w:color w:val="000000"/>
              </w:rPr>
            </w:pPr>
          </w:p>
        </w:tc>
        <w:tc>
          <w:tcPr>
            <w:tcW w:w="2500" w:type="pct"/>
            <w:tcMar>
              <w:top w:w="0" w:type="dxa"/>
              <w:left w:w="0" w:type="dxa"/>
              <w:bottom w:w="0" w:type="dxa"/>
              <w:right w:w="0" w:type="dxa"/>
            </w:tcMar>
            <w:hideMark/>
          </w:tcPr>
          <w:p w:rsidR="001E32D5" w:rsidRDefault="0048103B">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48103B">
      <w:pPr>
        <w:ind w:firstLine="227"/>
      </w:pPr>
      <w:r>
        <w:t>Projektodawcą jest</w:t>
      </w:r>
    </w:p>
    <w:p w:rsidR="00A77B3E" w:rsidRDefault="0048103B">
      <w:pPr>
        <w:ind w:firstLine="227"/>
        <w:sectPr w:rsidR="00A77B3E">
          <w:footerReference w:type="default" r:id="rId6"/>
          <w:endnotePr>
            <w:numFmt w:val="decimal"/>
          </w:endnotePr>
          <w:pgSz w:w="11906" w:h="16838"/>
          <w:pgMar w:top="850" w:right="794" w:bottom="1417" w:left="794" w:header="708" w:footer="708" w:gutter="0"/>
          <w:cols w:space="708"/>
          <w:docGrid w:linePitch="360"/>
        </w:sectPr>
      </w:pPr>
      <w:r>
        <w:t>Prezydent Miasta Łodzi</w:t>
      </w:r>
    </w:p>
    <w:p w:rsidR="001E32D5" w:rsidRDefault="001E32D5">
      <w:pPr>
        <w:rPr>
          <w:szCs w:val="20"/>
        </w:rPr>
      </w:pPr>
    </w:p>
    <w:p w:rsidR="001E32D5" w:rsidRDefault="0048103B">
      <w:pPr>
        <w:jc w:val="center"/>
        <w:rPr>
          <w:szCs w:val="20"/>
        </w:rPr>
      </w:pPr>
      <w:r>
        <w:rPr>
          <w:b/>
          <w:szCs w:val="20"/>
        </w:rPr>
        <w:t>Uzasadnienie</w:t>
      </w:r>
    </w:p>
    <w:p w:rsidR="001E32D5" w:rsidRDefault="0048103B">
      <w:pPr>
        <w:rPr>
          <w:b/>
          <w:szCs w:val="20"/>
        </w:rPr>
      </w:pPr>
      <w:r>
        <w:rPr>
          <w:b/>
          <w:szCs w:val="20"/>
        </w:rPr>
        <w:t xml:space="preserve">do projektu uchwały Rady Miejskiej w Łodzi zmieniającej uchwałę w sprawie ustalenia opłat </w:t>
      </w:r>
      <w:r>
        <w:rPr>
          <w:b/>
          <w:szCs w:val="20"/>
        </w:rPr>
        <w:br/>
        <w:t xml:space="preserve">za usługi przewozowe lokalnego transportu zbiorowego w Łodzi. </w:t>
      </w:r>
    </w:p>
    <w:p w:rsidR="001E32D5" w:rsidRDefault="001E32D5">
      <w:pPr>
        <w:ind w:firstLine="227"/>
        <w:rPr>
          <w:color w:val="000000"/>
          <w:szCs w:val="20"/>
          <w:u w:color="000000"/>
        </w:rPr>
      </w:pPr>
    </w:p>
    <w:p w:rsidR="001E32D5" w:rsidRDefault="0048103B">
      <w:pPr>
        <w:ind w:firstLine="720"/>
        <w:rPr>
          <w:szCs w:val="20"/>
        </w:rPr>
      </w:pPr>
      <w:r>
        <w:rPr>
          <w:szCs w:val="20"/>
        </w:rPr>
        <w:t>W związku z wdrożeniem w dniu 1 maja 2022 r. pakietu seniora w ramach Karty Mieszkańca, wydawanej przez Łódzką Organizację Turystyczną, która docelowo zastąpi projekt Miejskiej Karty Seniora konieczne jest dopisanie Karty Mieszkańca do uchwały, jako dodatkowego dokumentu upoważniającego seniorów do bezpłatnych przejazdów podczas Łódzkich Senioraliów organizowanych przez Urząd Miasta Łodzi.</w:t>
      </w:r>
    </w:p>
    <w:p w:rsidR="001E32D5" w:rsidRDefault="0048103B">
      <w:pPr>
        <w:ind w:firstLine="720"/>
        <w:rPr>
          <w:szCs w:val="20"/>
        </w:rPr>
      </w:pPr>
      <w:r>
        <w:rPr>
          <w:szCs w:val="20"/>
        </w:rPr>
        <w:t xml:space="preserve">Tegoroczna edycja Łódzkich Senioraliów będzie trwała od dnia 21 maja 2022 r. do dnia </w:t>
      </w:r>
      <w:r>
        <w:rPr>
          <w:szCs w:val="20"/>
        </w:rPr>
        <w:br/>
        <w:t>3 czerwca 2022 r. Jednocześnie od dnia 1 maja 2022 r. do dnia 31 sierpnia 2022 r. Miejska Karta Seniora oraz pakiet seniora w ramach Karty Mieszkańca będą funkcjonowały równolegle, co powoduje konieczność wprowadzenia zmian do uchwały.</w:t>
      </w:r>
    </w:p>
    <w:p w:rsidR="001E32D5" w:rsidRDefault="0048103B">
      <w:pPr>
        <w:ind w:firstLine="720"/>
        <w:rPr>
          <w:szCs w:val="20"/>
        </w:rPr>
      </w:pPr>
      <w:r>
        <w:rPr>
          <w:szCs w:val="20"/>
        </w:rPr>
        <w:t>Zmiana ta ma charakter wyłącznie organizacyjny. Wprowadzenie dodatkowego dokumentu, który docelowo zastąpi poprzedni, nie wywołuje skutków finansowych, ponieważ uprawnienie w dalszym ciągu dotyczy tego samego grona osób, do którego zostało pierwotnie skierowane.</w:t>
      </w:r>
    </w:p>
    <w:p w:rsidR="001E32D5" w:rsidRDefault="0048103B">
      <w:pPr>
        <w:ind w:firstLine="720"/>
        <w:rPr>
          <w:color w:val="000000"/>
          <w:szCs w:val="20"/>
          <w:u w:color="000000"/>
        </w:rPr>
      </w:pPr>
      <w:r>
        <w:rPr>
          <w:szCs w:val="20"/>
        </w:rPr>
        <w:t xml:space="preserve">Należy uznać, że wejście w życie uchwały z mocą obowiązującą od dnia 21 maja 2022 r., </w:t>
      </w:r>
      <w:r>
        <w:rPr>
          <w:szCs w:val="20"/>
        </w:rPr>
        <w:br/>
        <w:t xml:space="preserve">ze względu na termin organizacji Łódzkich Senioraliów oraz pozytywny charakter proponowanych zmian, będzie dopuszczalne w myśl art. 5 ustawy z dnia 20 lipca 2000 r. </w:t>
      </w:r>
      <w:r>
        <w:rPr>
          <w:i/>
          <w:szCs w:val="20"/>
        </w:rPr>
        <w:t xml:space="preserve">o ogłaszaniu aktów normatywnych </w:t>
      </w:r>
      <w:r>
        <w:rPr>
          <w:i/>
          <w:szCs w:val="20"/>
        </w:rPr>
        <w:br/>
        <w:t xml:space="preserve">i niektórych innych aktów prawnych </w:t>
      </w:r>
      <w:r>
        <w:rPr>
          <w:szCs w:val="20"/>
        </w:rPr>
        <w:t xml:space="preserve">(Dz. U. z 2019 r. poz. 1461). Jak wynika z przywołanego przepisu dopuszcza się możliwość uchwalania aktów prawnych, które mają moc wsteczną o ile nie stoją temu </w:t>
      </w:r>
      <w:r>
        <w:rPr>
          <w:szCs w:val="20"/>
        </w:rPr>
        <w:br/>
        <w:t xml:space="preserve">na przeszkodzie zasady demokratycznego państwa prawnego. Zasada demokratycznego państwa prawnego wyrażona w art. 2 Konstytucji Rzeczypospolitej Polskiej była przedmiotem interpretacji Trybunału Konstytucyjnego (wyrok Trybunału Konstytucyjnego z dnia 25 września 2000 r., K 26/99) oraz sądów administracyjnych (wyrok Naczelnego Sądu Administracyjnego w Warszawie z dnia 7 czerwca 2013 r., </w:t>
      </w:r>
      <w:r>
        <w:rPr>
          <w:szCs w:val="20"/>
        </w:rPr>
        <w:br/>
        <w:t>I FSK 1233/12), które uznały, że działanie prawa wstecz nie stanowi naruszenia zasady demokratycznego państwa prawnego, o ile tak wprowadzone przepisy polepszają sytuację prawną niektórych adresatów danej normy prawnej i zarazem nie pogarszają sytuacji prawnej pozostałych jej adresatów.</w:t>
      </w:r>
    </w:p>
    <w:p w:rsidR="001E32D5" w:rsidRDefault="001E32D5">
      <w:pPr>
        <w:ind w:firstLine="570"/>
        <w:rPr>
          <w:color w:val="000000"/>
          <w:szCs w:val="20"/>
          <w:u w:color="000000"/>
        </w:rPr>
      </w:pPr>
    </w:p>
    <w:sectPr w:rsidR="001E32D5" w:rsidSect="00473421">
      <w:footerReference w:type="default" r:id="rId7"/>
      <w:endnotePr>
        <w:numFmt w:val="decimal"/>
      </w:endnotePr>
      <w:pgSz w:w="11906" w:h="16838"/>
      <w:pgMar w:top="850" w:right="794" w:bottom="1417" w:left="79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9D7" w:rsidRDefault="00A679D7">
      <w:r>
        <w:separator/>
      </w:r>
    </w:p>
  </w:endnote>
  <w:endnote w:type="continuationSeparator" w:id="0">
    <w:p w:rsidR="00A679D7" w:rsidRDefault="00A67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9"/>
      <w:gridCol w:w="3439"/>
    </w:tblGrid>
    <w:tr w:rsidR="001E32D5">
      <w:tc>
        <w:tcPr>
          <w:tcW w:w="6879" w:type="dxa"/>
          <w:tcBorders>
            <w:top w:val="single" w:sz="4" w:space="0" w:color="auto"/>
            <w:left w:val="nil"/>
            <w:bottom w:val="nil"/>
            <w:right w:val="nil"/>
          </w:tcBorders>
          <w:tcMar>
            <w:top w:w="100" w:type="dxa"/>
            <w:left w:w="0" w:type="dxa"/>
            <w:bottom w:w="0" w:type="dxa"/>
            <w:right w:w="0" w:type="dxa"/>
          </w:tcMar>
          <w:hideMark/>
        </w:tcPr>
        <w:p w:rsidR="001E32D5" w:rsidRDefault="001E32D5">
          <w:pPr>
            <w:jc w:val="left"/>
            <w:rPr>
              <w:sz w:val="18"/>
            </w:rPr>
          </w:pPr>
        </w:p>
      </w:tc>
      <w:tc>
        <w:tcPr>
          <w:tcW w:w="3439" w:type="dxa"/>
          <w:tcBorders>
            <w:top w:val="single" w:sz="4" w:space="0" w:color="auto"/>
            <w:left w:val="nil"/>
            <w:bottom w:val="nil"/>
            <w:right w:val="nil"/>
          </w:tcBorders>
          <w:tcMar>
            <w:top w:w="100" w:type="dxa"/>
            <w:left w:w="0" w:type="dxa"/>
            <w:bottom w:w="0" w:type="dxa"/>
            <w:right w:w="0" w:type="dxa"/>
          </w:tcMar>
          <w:hideMark/>
        </w:tcPr>
        <w:p w:rsidR="001E32D5" w:rsidRDefault="001E32D5">
          <w:pPr>
            <w:jc w:val="right"/>
            <w:rPr>
              <w:sz w:val="18"/>
            </w:rPr>
          </w:pPr>
        </w:p>
      </w:tc>
    </w:tr>
  </w:tbl>
  <w:p w:rsidR="001E32D5" w:rsidRDefault="001E32D5">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9"/>
      <w:gridCol w:w="3439"/>
    </w:tblGrid>
    <w:tr w:rsidR="001E32D5">
      <w:tc>
        <w:tcPr>
          <w:tcW w:w="6879" w:type="dxa"/>
          <w:tcBorders>
            <w:top w:val="single" w:sz="4" w:space="0" w:color="auto"/>
            <w:left w:val="nil"/>
            <w:bottom w:val="nil"/>
            <w:right w:val="nil"/>
          </w:tcBorders>
          <w:tcMar>
            <w:top w:w="100" w:type="dxa"/>
            <w:left w:w="0" w:type="dxa"/>
            <w:bottom w:w="0" w:type="dxa"/>
            <w:right w:w="0" w:type="dxa"/>
          </w:tcMar>
          <w:hideMark/>
        </w:tcPr>
        <w:p w:rsidR="001E32D5" w:rsidRDefault="001E32D5">
          <w:pPr>
            <w:jc w:val="left"/>
            <w:rPr>
              <w:sz w:val="18"/>
            </w:rPr>
          </w:pPr>
        </w:p>
      </w:tc>
      <w:tc>
        <w:tcPr>
          <w:tcW w:w="3439" w:type="dxa"/>
          <w:tcBorders>
            <w:top w:val="single" w:sz="4" w:space="0" w:color="auto"/>
            <w:left w:val="nil"/>
            <w:bottom w:val="nil"/>
            <w:right w:val="nil"/>
          </w:tcBorders>
          <w:tcMar>
            <w:top w:w="100" w:type="dxa"/>
            <w:left w:w="0" w:type="dxa"/>
            <w:bottom w:w="0" w:type="dxa"/>
            <w:right w:w="0" w:type="dxa"/>
          </w:tcMar>
          <w:hideMark/>
        </w:tcPr>
        <w:p w:rsidR="001E32D5" w:rsidRDefault="001E32D5">
          <w:pPr>
            <w:jc w:val="right"/>
            <w:rPr>
              <w:sz w:val="18"/>
            </w:rPr>
          </w:pPr>
        </w:p>
      </w:tc>
    </w:tr>
  </w:tbl>
  <w:p w:rsidR="001E32D5" w:rsidRDefault="001E32D5">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9D7" w:rsidRDefault="00A679D7">
      <w:r>
        <w:separator/>
      </w:r>
    </w:p>
  </w:footnote>
  <w:footnote w:type="continuationSeparator" w:id="0">
    <w:p w:rsidR="00A679D7" w:rsidRDefault="00A679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131EA2"/>
    <w:rsid w:val="001E32D5"/>
    <w:rsid w:val="00473421"/>
    <w:rsid w:val="0048103B"/>
    <w:rsid w:val="00A022BE"/>
    <w:rsid w:val="00A679D7"/>
    <w:rsid w:val="00A77B3E"/>
    <w:rsid w:val="00B35562"/>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73421"/>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3492</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vt:lpstr>
      <vt:lpstr/>
    </vt:vector>
  </TitlesOfParts>
  <Company>Rada Miejska w Łodzi</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zmieniająca uchwałę w^sprawie ustalenia opłat za usługi przewozowe lokalnego transportu zbiorowego w^Łodzi.</dc:subject>
  <dc:creator>iwmajewska</dc:creator>
  <cp:lastModifiedBy>sstanczyk</cp:lastModifiedBy>
  <cp:revision>4</cp:revision>
  <dcterms:created xsi:type="dcterms:W3CDTF">2022-04-29T16:59:00Z</dcterms:created>
  <dcterms:modified xsi:type="dcterms:W3CDTF">2022-05-02T06:36:00Z</dcterms:modified>
  <cp:category>Akt prawny</cp:category>
</cp:coreProperties>
</file>