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6254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483DBE">
            <w:pPr>
              <w:ind w:left="5669"/>
              <w:jc w:val="left"/>
            </w:pPr>
            <w:r>
              <w:t>Druk Nr 142/2022</w:t>
            </w:r>
          </w:p>
          <w:p w:rsidR="00A77B3E" w:rsidRDefault="00483DBE">
            <w:pPr>
              <w:ind w:left="5669"/>
              <w:jc w:val="left"/>
            </w:pPr>
            <w:r>
              <w:t>Projekt z dnia 20 maja 2022 r.</w:t>
            </w:r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483DB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483DBE">
      <w:pPr>
        <w:spacing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483DBE">
      <w:pPr>
        <w:keepNext/>
        <w:spacing w:after="240"/>
      </w:pPr>
      <w:r>
        <w:rPr>
          <w:b/>
        </w:rPr>
        <w:t xml:space="preserve">w sprawie wyrażenia zgody na sprzedaż, w drodze przetargu, nieruchomości położonej w Łodzi przy ul. płk. Jana </w:t>
      </w:r>
      <w:r>
        <w:rPr>
          <w:b/>
        </w:rPr>
        <w:t>Kilińskiego 232.</w:t>
      </w:r>
    </w:p>
    <w:p w:rsidR="00A77B3E" w:rsidRDefault="00483DBE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2022 r. poz. 559, 583 i 1005) oraz art. 13 ust. 1 i art. 37 ust. 1 ustawy z dnia 21 sierpnia 1997 r. o gospodarce nieruchomościami (Dz. </w:t>
      </w:r>
      <w:r>
        <w:t>U. z 2021 r. poz. 1899), Rada Miejska w Łodzi</w:t>
      </w:r>
    </w:p>
    <w:p w:rsidR="00A77B3E" w:rsidRDefault="00483DB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483DBE">
      <w:pPr>
        <w:keepLines/>
        <w:spacing w:before="240" w:after="120"/>
        <w:ind w:firstLine="567"/>
        <w:jc w:val="both"/>
      </w:pPr>
      <w:r>
        <w:t>§ 1. </w:t>
      </w:r>
      <w:r>
        <w:t>Wyraża się zgodę na sprzedaż w drodze przetargu nieruchomości stanowiącej własność Miasta Łodzi, położonej w Łodzi przy ul. płk. Jana Kilińskiego 232, oznaczonej</w:t>
      </w:r>
      <w:r>
        <w:br/>
        <w:t xml:space="preserve">w ewidencji gruntów </w:t>
      </w:r>
      <w:r>
        <w:t>w obrębie G-5 jako działka nr 63/1 o powierzchni 1 831 m², dla której prowadzona jest księga wieczysta nr LD1M/00100811/3.</w:t>
      </w:r>
    </w:p>
    <w:p w:rsidR="00A77B3E" w:rsidRDefault="00483DBE">
      <w:pPr>
        <w:keepLines/>
        <w:spacing w:before="240" w:after="120"/>
        <w:ind w:firstLine="567"/>
        <w:jc w:val="both"/>
      </w:pPr>
      <w:r>
        <w:t>§ 2. </w:t>
      </w:r>
      <w:r>
        <w:t>Wykonanie uchwały powierza się Prezydentowi Miasta Łodzi.</w:t>
      </w:r>
    </w:p>
    <w:p w:rsidR="00A77B3E" w:rsidRDefault="00483DBE">
      <w:pPr>
        <w:keepNext/>
        <w:keepLines/>
        <w:spacing w:before="240" w:after="120"/>
        <w:ind w:firstLine="567"/>
        <w:jc w:val="both"/>
      </w:pPr>
      <w:r>
        <w:t>§ 3.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C4625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254" w:rsidRDefault="00C46254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6254" w:rsidRDefault="00483DBE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 xml:space="preserve">Rady </w:t>
            </w:r>
            <w:r>
              <w:rPr>
                <w:b/>
                <w:color w:val="000000"/>
              </w:rPr>
              <w:t>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483DBE">
      <w:pPr>
        <w:ind w:left="283" w:firstLine="227"/>
        <w:jc w:val="both"/>
      </w:pPr>
      <w:r>
        <w:t>Projektodawcą jest</w:t>
      </w:r>
    </w:p>
    <w:p w:rsidR="00A77B3E" w:rsidRDefault="00483DBE" w:rsidP="00562ABB">
      <w:pPr>
        <w:ind w:left="283" w:firstLine="22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 Miasta Łodzi</w:t>
      </w:r>
    </w:p>
    <w:p w:rsidR="00C46254" w:rsidRDefault="00483DBE">
      <w:pPr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C46254" w:rsidRDefault="00483DBE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Nieruchomość położona w Łodzi przy ul. płk. Jana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Kilińskiego 232, oznaczon</w:t>
      </w:r>
      <w:r>
        <w:rPr>
          <w:color w:val="000000"/>
          <w:szCs w:val="20"/>
          <w:shd w:val="clear" w:color="auto" w:fill="FFFFFF"/>
        </w:rPr>
        <w:t>a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</w:r>
      <w:r>
        <w:rPr>
          <w:rFonts w:ascii="Times New Roman Baltic" w:hAnsi="Times New Roman Baltic"/>
          <w:color w:val="000000"/>
          <w:szCs w:val="20"/>
          <w:shd w:val="clear" w:color="auto" w:fill="FFFFFF"/>
          <w:lang w:val="x-none" w:eastAsia="en-US" w:bidi="ar-SA"/>
        </w:rPr>
        <w:t>w ewidencji gruntów w obrębie G-5 jako działka nr 63/1 o powierzchni 1 831 m², dla której prowadzona jest księga wieczysta nr LD1M/001008</w:t>
      </w:r>
      <w:r>
        <w:rPr>
          <w:color w:val="000000"/>
          <w:szCs w:val="20"/>
          <w:shd w:val="clear" w:color="auto" w:fill="FFFFFF"/>
          <w:lang w:val="x-none" w:eastAsia="en-US" w:bidi="ar-SA"/>
        </w:rPr>
        <w:t>11/3 stanowi własność Miasta Łodzi.</w:t>
      </w:r>
    </w:p>
    <w:p w:rsidR="00C46254" w:rsidRDefault="00483DBE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Nieruchomość jest zabudowana pięcioma budynkami sklasyfikowanymi w kartotece budynków jako budynki szpitali i inne budynki opieki zdrowotnej o powierzchniach zabudowy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162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37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31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163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 563 m</w:t>
      </w:r>
      <w:r>
        <w:rPr>
          <w:color w:val="000000"/>
          <w:szCs w:val="20"/>
          <w:shd w:val="clear" w:color="auto" w:fill="FFFFFF"/>
          <w:vertAlign w:val="superscript"/>
          <w:lang w:val="x-none" w:eastAsia="en-US" w:bidi="ar-SA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Przedmiotowa nieruchomość była wykorzystywana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na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działalność Miejskiego Centrum Terapii i Profilaktyki Zdrowotnej im. Bł. Rafała Chylińskiego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Łodzi. Funkcjonujący na ww. działce Oddział Diagnostyczno – Obserwacyjny został przeniesiony do budynku Centrum przy ul. Przybyszewskiego 253. Nieruchomość zos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tała przekazana w administrowanie Zarządowi Lokali Miejskich. </w:t>
      </w:r>
    </w:p>
    <w:p w:rsidR="00C46254" w:rsidRDefault="00483DBE">
      <w:pPr>
        <w:ind w:firstLine="70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Przedmiotowa działka znajduje się na obszarze wpisanym do gminnej ewidencji zabytków miasta Łodzi jako historyczny układ urbanistyczny oraz krajobraz kulturowy osady „Nowa Łódka”. Łódzki Wojewó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dzki Konserwator Zabytków nie wzniósł uwag odnośnie sprzedaży działki nr 63/1.</w:t>
      </w:r>
    </w:p>
    <w:p w:rsidR="00C46254" w:rsidRDefault="00483DBE">
      <w:pPr>
        <w:ind w:firstLine="709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Dla ww. nieruchomości nie ma obowiązującego planu zagospodarowania przestrzennego. Zgodnie z art. 4 ust. 2 pkt 2 ustawy z dnia 27 marca 2003 r. o planowaniu i zagospodarowaniu p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rzestrzennym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color w:val="000000"/>
          <w:szCs w:val="20"/>
          <w:shd w:val="clear" w:color="auto" w:fill="FFFFFF"/>
          <w:lang w:val="x-none" w:eastAsia="en-US" w:bidi="ar-SA"/>
        </w:rPr>
        <w:t>Dz. U. z 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r. poz. </w:t>
      </w:r>
      <w:r>
        <w:rPr>
          <w:color w:val="000000"/>
          <w:szCs w:val="20"/>
          <w:shd w:val="clear" w:color="auto" w:fill="FFFFFF"/>
        </w:rPr>
        <w:t>503</w:t>
      </w:r>
      <w:r>
        <w:rPr>
          <w:color w:val="000000"/>
          <w:szCs w:val="20"/>
          <w:shd w:val="clear" w:color="auto" w:fill="FFFFFF"/>
          <w:lang w:val="en-US" w:eastAsia="en-US" w:bidi="en-US"/>
        </w:rPr>
        <w:t>)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, w przypadku braku miejscowego planu zagospodarowania przestrzennego, sposób zagospodarowania nieruchomości należy określać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w drodze decyzji o warunkach zabudowy.</w:t>
      </w:r>
      <w:r>
        <w:rPr>
          <w:color w:val="FF0000"/>
          <w:szCs w:val="20"/>
          <w:shd w:val="clear" w:color="auto" w:fill="FFFFFF"/>
          <w:lang w:val="x-none" w:eastAsia="en-US" w:bidi="ar-SA"/>
        </w:rPr>
        <w:t xml:space="preserve"> </w:t>
      </w:r>
    </w:p>
    <w:p w:rsidR="00C46254" w:rsidRDefault="00483DBE">
      <w:pPr>
        <w:tabs>
          <w:tab w:val="left" w:pos="709"/>
        </w:tabs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Studium uwarunkowań i kierunków zagospodarowania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przestrzennego miasta Łodzi, przyjęte uchwałą Nr LXIX/1753/18 Rady Miejskiej w Łodzi z dnia 28 marca 2018 r., zmienioną uchwał</w:t>
      </w:r>
      <w:r>
        <w:rPr>
          <w:color w:val="000000"/>
          <w:szCs w:val="20"/>
          <w:shd w:val="clear" w:color="auto" w:fill="FFFFFF"/>
        </w:rPr>
        <w:t>ami Rady Miejskiej w Łodzi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Nr VI/215/19 z dnia 6 marca 2019 r.</w:t>
      </w:r>
      <w:r>
        <w:rPr>
          <w:color w:val="000000"/>
          <w:szCs w:val="20"/>
          <w:shd w:val="clear" w:color="auto" w:fill="FFFFFF"/>
        </w:rPr>
        <w:t xml:space="preserve"> i Nr LII/1605/21 z dnia 22 grudnia 2021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>, obejmuje powyższą nieru</w:t>
      </w:r>
      <w:r>
        <w:rPr>
          <w:color w:val="000000"/>
          <w:szCs w:val="20"/>
          <w:shd w:val="clear" w:color="auto" w:fill="FFFFFF"/>
          <w:lang w:val="x-none" w:eastAsia="en-US" w:bidi="ar-SA"/>
        </w:rPr>
        <w:t>chomość granicami obszaru oznaczonego symbolem U – tereny zabudowy usługowej.</w:t>
      </w:r>
    </w:p>
    <w:p w:rsidR="00C46254" w:rsidRDefault="00483DBE">
      <w:pPr>
        <w:tabs>
          <w:tab w:val="left" w:pos="709"/>
        </w:tabs>
        <w:ind w:firstLine="539"/>
        <w:jc w:val="both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Sprzedaż przedmiotowej nieruchomości została pozytywnie zaopiniowana m. in. przez Miejską Pracownię Urbanistyczną w Łodzi, Zarząd Inwestycji Miejskich, Zarząd Dróg </w:t>
      </w:r>
      <w:r>
        <w:rPr>
          <w:color w:val="000000"/>
          <w:szCs w:val="20"/>
          <w:shd w:val="clear" w:color="auto" w:fill="FFFFFF"/>
        </w:rPr>
        <w:br/>
      </w:r>
      <w:r>
        <w:rPr>
          <w:color w:val="000000"/>
          <w:szCs w:val="20"/>
          <w:shd w:val="clear" w:color="auto" w:fill="FFFFFF"/>
          <w:lang w:val="x-none" w:eastAsia="en-US" w:bidi="ar-SA"/>
        </w:rPr>
        <w:t>i Transportu,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Biuro Rewitalizacji i Mieszkalnictwa w Departamencie Rewitalizacji i Sportu Urzędu Miasta Łodzi, Wydział Kształtowania Środowiska w Departamencie Klimatu i Ekologii Urzędu Miasta Łodzi oraz Wydział Gospodarki Komunalnej w Departamencie Pracy, Edukacji i K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ultury Urzędu Miasta Łodzi. </w:t>
      </w:r>
    </w:p>
    <w:p w:rsidR="00C46254" w:rsidRDefault="00483DB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Rada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Osiedla Górniak </w:t>
      </w:r>
      <w:r>
        <w:rPr>
          <w:color w:val="000000"/>
          <w:szCs w:val="20"/>
          <w:shd w:val="clear" w:color="auto" w:fill="FFFFFF"/>
        </w:rPr>
        <w:t>w wymaganym terminie nie zaopiniowała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projektu uchwały Rady Miejskiej w Łodzi w sprawie wyrażenia zgody na sprzedaż przedmiotowej nieruchomości. </w:t>
      </w:r>
    </w:p>
    <w:p w:rsidR="00C46254" w:rsidRDefault="00483DB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Zgodnie z ustawą z dnia 21 sierpnia 1997 r. o gospodarce </w:t>
      </w:r>
      <w:r>
        <w:rPr>
          <w:color w:val="000000"/>
          <w:szCs w:val="20"/>
          <w:shd w:val="clear" w:color="auto" w:fill="FFFFFF"/>
          <w:lang w:val="x-none" w:eastAsia="en-US" w:bidi="ar-SA"/>
        </w:rPr>
        <w:t>nieruchomościami, wartość nieruchomości zosta</w:t>
      </w:r>
      <w:r>
        <w:rPr>
          <w:color w:val="000000"/>
          <w:szCs w:val="20"/>
          <w:shd w:val="clear" w:color="auto" w:fill="FFFFFF"/>
        </w:rPr>
        <w:t xml:space="preserve">ła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określona przez rzeczoznawcę majątkowego</w:t>
      </w:r>
      <w:r>
        <w:rPr>
          <w:color w:val="000000"/>
          <w:szCs w:val="20"/>
          <w:shd w:val="clear" w:color="auto" w:fill="FFFFFF"/>
        </w:rPr>
        <w:t xml:space="preserve"> na kwotę 1 980 000 zł</w:t>
      </w:r>
      <w:r>
        <w:rPr>
          <w:color w:val="000000"/>
          <w:szCs w:val="20"/>
          <w:shd w:val="clear" w:color="auto" w:fill="FFFFFF"/>
          <w:lang w:val="x-none" w:eastAsia="en-US" w:bidi="ar-SA"/>
        </w:rPr>
        <w:t>.</w:t>
      </w:r>
    </w:p>
    <w:p w:rsidR="00C46254" w:rsidRDefault="00483D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Stosownie do postanowień uchwały Nr XXVII/547/08 Rady Miejskiej w Łodzi z dnia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27 lutego 2008 r. w sprawie zasad nabywania i zbywania nieruchom</w:t>
      </w:r>
      <w:r>
        <w:rPr>
          <w:szCs w:val="20"/>
          <w:lang w:val="x-none" w:eastAsia="en-US" w:bidi="ar-SA"/>
        </w:rPr>
        <w:t>ości, ich wydzierżawiania oraz oddawania w użytkowanie (Dz. Urz. Woj. Łódzkiego z 2017 r. poz. 5141), zmienionej uchwałami Rady Miejskiej w Łodzi: Nr LXXII/1895/18 z dnia 14 czerwca 2018 r. (Dz. Urz. Woj. Łódzkiego poz. 3378), Nr IV/132/19 z dnia 16 styczn</w:t>
      </w:r>
      <w:r>
        <w:rPr>
          <w:szCs w:val="20"/>
          <w:lang w:val="x-none" w:eastAsia="en-US" w:bidi="ar-SA"/>
        </w:rPr>
        <w:t xml:space="preserve">ia 2019 r. (Dz. Urz. Woj. Łódzkiego poz. 674),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Nr XXXVI/1146/21 z dnia 20 stycznia 2021 r. (Dz. Urz. Woj. Łódzkiego poz. 629),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Nr XLI/1275/21 z dnia 14 kwietnia 2021 r. (Dz. Urz. Woj. Łódzkiego poz. 2000) i Nr  XLIV/1382/21 z dnia 23 czerwca 2021 r. (Dz.</w:t>
      </w:r>
      <w:r>
        <w:rPr>
          <w:szCs w:val="20"/>
          <w:lang w:val="x-none" w:eastAsia="en-US" w:bidi="ar-SA"/>
        </w:rPr>
        <w:t xml:space="preserve"> Urz. Woj. Łódzkiego poz. 3179), zbywanie nieruchomości o wartości powyżej 1 000 000 zł może odbywać się wyłącznie za zgodą Rady Miejskiej w Łodzi.</w:t>
      </w:r>
    </w:p>
    <w:p w:rsidR="00C46254" w:rsidRDefault="00483DBE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Miasto Łódź nie posiada aktualnie planów inwestycyjnych w stosunku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do ww. nieruchomości.</w:t>
      </w:r>
    </w:p>
    <w:p w:rsidR="00C46254" w:rsidRDefault="00483DBE">
      <w:pPr>
        <w:ind w:firstLine="567"/>
        <w:jc w:val="both"/>
        <w:rPr>
          <w:color w:val="FF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Wobec powyższego p</w:t>
      </w:r>
      <w:r>
        <w:rPr>
          <w:color w:val="000000"/>
          <w:szCs w:val="20"/>
          <w:shd w:val="clear" w:color="auto" w:fill="FFFFFF"/>
          <w:lang w:val="x-none" w:eastAsia="en-US" w:bidi="ar-SA"/>
        </w:rPr>
        <w:t>rzedstawiam projekt uchwały Rady Miejskiej w Łodzi w sprawie wyrażenia zgody na sprzedaż w drodze przetargu opisanej na wstępie nieruchomości</w:t>
      </w:r>
      <w:r>
        <w:rPr>
          <w:color w:val="FF0000"/>
          <w:szCs w:val="20"/>
          <w:shd w:val="clear" w:color="auto" w:fill="FFFFFF"/>
          <w:lang w:val="x-none" w:eastAsia="en-US" w:bidi="ar-SA"/>
        </w:rPr>
        <w:t>.</w:t>
      </w:r>
    </w:p>
    <w:p w:rsidR="00C46254" w:rsidRDefault="00C46254">
      <w:pPr>
        <w:tabs>
          <w:tab w:val="left" w:pos="709"/>
        </w:tabs>
        <w:rPr>
          <w:b/>
          <w:color w:val="000000"/>
          <w:szCs w:val="20"/>
          <w:shd w:val="clear" w:color="auto" w:fill="FFFFFF"/>
          <w:lang w:val="x-none" w:eastAsia="en-US" w:bidi="ar-SA"/>
        </w:rPr>
      </w:pPr>
    </w:p>
    <w:p w:rsidR="00C46254" w:rsidRDefault="00C46254">
      <w:pPr>
        <w:tabs>
          <w:tab w:val="left" w:pos="709"/>
        </w:tabs>
        <w:rPr>
          <w:b/>
          <w:color w:val="000000"/>
          <w:szCs w:val="20"/>
          <w:shd w:val="clear" w:color="auto" w:fill="FFFFFF"/>
          <w:lang w:val="x-none" w:eastAsia="en-US" w:bidi="ar-SA"/>
        </w:rPr>
      </w:pPr>
      <w:bookmarkStart w:id="0" w:name="_GoBack"/>
      <w:bookmarkEnd w:id="0"/>
    </w:p>
    <w:p w:rsidR="00C46254" w:rsidRDefault="00483DBE">
      <w:pPr>
        <w:tabs>
          <w:tab w:val="left" w:pos="709"/>
        </w:tabs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lastRenderedPageBreak/>
        <w:t>Nieruchomoś</w:t>
      </w:r>
      <w:r>
        <w:rPr>
          <w:b/>
          <w:color w:val="000000"/>
          <w:szCs w:val="20"/>
          <w:shd w:val="clear" w:color="auto" w:fill="FFFFFF"/>
        </w:rPr>
        <w:t>ć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przeznaczon</w:t>
      </w:r>
      <w:r>
        <w:rPr>
          <w:b/>
          <w:color w:val="000000"/>
          <w:szCs w:val="20"/>
          <w:shd w:val="clear" w:color="auto" w:fill="FFFFFF"/>
        </w:rPr>
        <w:t>a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 do zbycia w drodze </w:t>
      </w:r>
      <w:r>
        <w:rPr>
          <w:b/>
          <w:color w:val="000000"/>
          <w:szCs w:val="20"/>
          <w:shd w:val="clear" w:color="auto" w:fill="FFFFFF"/>
        </w:rPr>
        <w:t>przetargu</w:t>
      </w:r>
    </w:p>
    <w:p w:rsidR="00C46254" w:rsidRDefault="00C4625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46254" w:rsidRDefault="00483DBE">
      <w:pPr>
        <w:keepLines/>
        <w:spacing w:before="120" w:after="120"/>
        <w:ind w:firstLine="22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5708650" cy="343217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343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6254" w:rsidRDefault="00C46254">
      <w:pPr>
        <w:ind w:firstLine="567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46254" w:rsidSect="00562ABB">
      <w:footerReference w:type="default" r:id="rId8"/>
      <w:pgSz w:w="11907" w:h="16839" w:code="9"/>
      <w:pgMar w:top="1440" w:right="862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DBE" w:rsidRDefault="00483DBE">
      <w:r>
        <w:separator/>
      </w:r>
    </w:p>
  </w:endnote>
  <w:endnote w:type="continuationSeparator" w:id="0">
    <w:p w:rsidR="00483DBE" w:rsidRDefault="0048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altic"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C4625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254" w:rsidRDefault="00483D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254" w:rsidRDefault="00483D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2ABB">
            <w:rPr>
              <w:sz w:val="18"/>
            </w:rPr>
            <w:fldChar w:fldCharType="separate"/>
          </w:r>
          <w:r w:rsidR="00562A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6254" w:rsidRDefault="00C4625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C46254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254" w:rsidRDefault="00483D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46254" w:rsidRDefault="00483D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62ABB">
            <w:rPr>
              <w:sz w:val="18"/>
            </w:rPr>
            <w:fldChar w:fldCharType="separate"/>
          </w:r>
          <w:r w:rsidR="00562A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46254" w:rsidRDefault="00C4625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DBE" w:rsidRDefault="00483DBE">
      <w:r>
        <w:separator/>
      </w:r>
    </w:p>
  </w:footnote>
  <w:footnote w:type="continuationSeparator" w:id="0">
    <w:p w:rsidR="00483DBE" w:rsidRDefault="00483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483DBE"/>
    <w:rsid w:val="00562ABB"/>
    <w:rsid w:val="00A77B3E"/>
    <w:rsid w:val="00C46254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C6A880-78E4-477B-AC33-FC080D5E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pPr>
      <w:jc w:val="both"/>
    </w:pPr>
    <w:rPr>
      <w:b/>
      <w:szCs w:val="20"/>
      <w:lang w:val="x-none" w:eastAsia="en-US" w:bidi="ar-SA"/>
    </w:rPr>
  </w:style>
  <w:style w:type="paragraph" w:styleId="Nagwek">
    <w:name w:val="header"/>
    <w:basedOn w:val="Normalny"/>
    <w:link w:val="NagwekZnak"/>
    <w:unhideWhenUsed/>
    <w:rsid w:val="00562A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2ABB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562A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2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sprzedaż, w^drodze przetargu, nieruchomości położonej w^Łodzi przy ul. płk. Jana Kilińskiego 232.</dc:subject>
  <dc:creator>mzelazo</dc:creator>
  <cp:lastModifiedBy>Marta Glonek</cp:lastModifiedBy>
  <cp:revision>2</cp:revision>
  <dcterms:created xsi:type="dcterms:W3CDTF">2022-05-20T12:05:00Z</dcterms:created>
  <dcterms:modified xsi:type="dcterms:W3CDTF">2022-05-20T12:05:00Z</dcterms:modified>
  <cp:category>Akt prawny</cp:category>
</cp:coreProperties>
</file>