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C602C8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 w:rsidRDefault="006D1B27" w:rsidP="00ED480B">
            <w:pPr>
              <w:ind w:left="6096"/>
              <w:jc w:val="left"/>
            </w:pPr>
            <w:bookmarkStart w:id="0" w:name="_GoBack"/>
            <w:r>
              <w:t xml:space="preserve">Druk Nr </w:t>
            </w:r>
            <w:r w:rsidR="00ED480B">
              <w:t>190/2022</w:t>
            </w:r>
            <w:r>
              <w:t xml:space="preserve">            Projekt z dnia</w:t>
            </w:r>
            <w:r w:rsidR="00ED480B">
              <w:t xml:space="preserve"> 29.07.2022 r. </w:t>
            </w:r>
            <w:bookmarkEnd w:id="0"/>
          </w:p>
          <w:p w:rsidR="00A77B3E" w:rsidRDefault="00A77B3E">
            <w:pPr>
              <w:ind w:left="6803"/>
              <w:jc w:val="left"/>
            </w:pPr>
          </w:p>
        </w:tc>
      </w:tr>
    </w:tbl>
    <w:p w:rsidR="00A77B3E" w:rsidRDefault="00A77B3E"/>
    <w:p w:rsidR="00A77B3E" w:rsidRDefault="006D1B27">
      <w:pPr>
        <w:jc w:val="center"/>
        <w:rPr>
          <w:b/>
          <w:caps/>
        </w:rPr>
      </w:pPr>
      <w:r>
        <w:rPr>
          <w:b/>
          <w:caps/>
        </w:rPr>
        <w:t>Uchwała Nr ^^^^^^^^^^^^^^^^^^^^</w:t>
      </w:r>
      <w:r>
        <w:rPr>
          <w:b/>
          <w:caps/>
        </w:rPr>
        <w:br/>
        <w:t>Rady Miejskiej w Łodzi</w:t>
      </w:r>
    </w:p>
    <w:p w:rsidR="00A77B3E" w:rsidRDefault="006D1B27">
      <w:pPr>
        <w:spacing w:after="280"/>
        <w:jc w:val="center"/>
        <w:rPr>
          <w:b/>
          <w:caps/>
        </w:rPr>
      </w:pPr>
      <w:r>
        <w:rPr>
          <w:b/>
        </w:rPr>
        <w:t>z dnia                      2022 r.</w:t>
      </w:r>
    </w:p>
    <w:p w:rsidR="00A77B3E" w:rsidRDefault="006D1B27">
      <w:pPr>
        <w:keepNext/>
        <w:spacing w:after="480"/>
        <w:jc w:val="center"/>
      </w:pPr>
      <w:r>
        <w:rPr>
          <w:b/>
        </w:rPr>
        <w:t xml:space="preserve">w sprawie uchwalenia miejscowego planu zagospodarowania przestrzennego dla części obszaru miasta Łodzi położonej w rejonie </w:t>
      </w:r>
      <w:r>
        <w:rPr>
          <w:b/>
        </w:rPr>
        <w:t>alei Tadeusza Kościuszki oraz ulic Andrzeja Struga i Piotrkowskiej.</w:t>
      </w:r>
    </w:p>
    <w:p w:rsidR="00A77B3E" w:rsidRDefault="006D1B27">
      <w:pPr>
        <w:keepLines/>
        <w:spacing w:before="120" w:after="120"/>
        <w:ind w:firstLine="567"/>
      </w:pPr>
      <w:r>
        <w:t>Na podstawie art. 18 ust. 2 pkt 5 i art. 40 ust. 1 ustawy z dnia 8 marca 1990 r. o samorządzie gminnym (Dz. U. z 2022 r. poz. 559, 583, 1005 i 1079) oraz art. 14 ust. 8 i art. 20 ust. 1 us</w:t>
      </w:r>
      <w:r>
        <w:t>tawy z dnia 27 marca 2003 r. o planowaniu i zagospodarowaniu przestrzennym (Dz. U. z 2022 r. poz. 503), Rada Miejska w Łodzi</w:t>
      </w:r>
    </w:p>
    <w:p w:rsidR="00A77B3E" w:rsidRDefault="006D1B27">
      <w:pPr>
        <w:spacing w:before="280" w:after="280"/>
        <w:jc w:val="center"/>
        <w:rPr>
          <w:b/>
        </w:rPr>
      </w:pPr>
      <w:r>
        <w:rPr>
          <w:b/>
        </w:rPr>
        <w:t>uchwala, co następuje:</w:t>
      </w:r>
    </w:p>
    <w:p w:rsidR="00A77B3E" w:rsidRDefault="006D1B27">
      <w:pPr>
        <w:keepNext/>
        <w:spacing w:before="280" w:after="280"/>
        <w:jc w:val="center"/>
      </w:pPr>
      <w:r>
        <w:rPr>
          <w:b/>
        </w:rPr>
        <w:t>Rozdział 1</w:t>
      </w:r>
      <w:r>
        <w:rPr>
          <w:b/>
        </w:rPr>
        <w:br/>
        <w:t>Przepisy ogólne</w:t>
      </w:r>
    </w:p>
    <w:p w:rsidR="00A77B3E" w:rsidRDefault="006D1B27">
      <w:pPr>
        <w:keepLines/>
        <w:spacing w:before="120"/>
        <w:ind w:firstLine="567"/>
        <w:rPr>
          <w:color w:val="000000"/>
          <w:u w:color="000000"/>
        </w:rPr>
      </w:pPr>
      <w:r>
        <w:t>§ 1. 1. </w:t>
      </w:r>
      <w:r>
        <w:t>Przedmiotem uchwały są ustalenia miejscowego planu zagospodarowania przes</w:t>
      </w:r>
      <w:r>
        <w:t>trzennego dla części obszaru miasta Łodzi położonej w rejonie alei Tadeusza Kościuszki oraz ulic Andrzeja Struga i Piotrkowskiej, zwanego dalej „planem”, wraz z integralnymi jej częściami w postaci: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rysunku planu wykonanego na mapie </w:t>
      </w:r>
      <w:r>
        <w:rPr>
          <w:color w:val="000000"/>
          <w:u w:color="000000"/>
        </w:rPr>
        <w:t>sytuacyjno-wysokościowej w skali 1:1000, stanowiącego załącznik Nr 1 do uchwały;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rozstrzygnięcia o sposobie rozpatrzenia uwag do projektu planu wniesionych w związku z wyłożeniem do publicznego wglądu, stanowiącego załącznik Nr 2 do uchwały;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rozstrzy</w:t>
      </w:r>
      <w:r>
        <w:rPr>
          <w:color w:val="000000"/>
          <w:u w:color="000000"/>
        </w:rPr>
        <w:t>gnięcia o sposobie realizacji, zapisanych w planie, inwestycji z zakresu infrastruktury technicznej, które należą do zadań własnych gminy oraz zasadach ich finansowania, zgodnie z przepisami o finansach publicznych, stanowiącego załącznik Nr 3 do uchwały;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palety barw obowiązujących przy wykończaniu elewacji, stolarki i ślusarki zabytku wpisanego do gminnej ewidencji zabytków, stanowiącej załącznik Nr 4 do uchwały.</w:t>
      </w:r>
    </w:p>
    <w:p w:rsidR="00A77B3E" w:rsidRDefault="006D1B27">
      <w:pPr>
        <w:keepLines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Granice obszaru objętego planem określono na rysunku planu, o którym mowa w ust. 1 pkt 1</w:t>
      </w:r>
      <w:r>
        <w:rPr>
          <w:color w:val="000000"/>
          <w:u w:color="000000"/>
        </w:rPr>
        <w:t>.</w:t>
      </w:r>
    </w:p>
    <w:p w:rsidR="00A77B3E" w:rsidRDefault="006D1B27">
      <w:pPr>
        <w:keepLines/>
        <w:spacing w:before="120"/>
        <w:ind w:firstLine="567"/>
        <w:rPr>
          <w:color w:val="000000"/>
          <w:u w:color="000000"/>
        </w:rPr>
      </w:pPr>
      <w:r>
        <w:t>§ 2. </w:t>
      </w:r>
      <w:r>
        <w:rPr>
          <w:color w:val="000000"/>
          <w:u w:color="000000"/>
        </w:rPr>
        <w:t xml:space="preserve">Stwierdza się, że plan nie narusza ustaleń „Studium uwarunkowań i kierunków zagospodarowania przestrzennego miasta Łodzi” uchwalonego uchwałą Nr LXIX/1753/18 Rady Miejskiej w Łodzi z dnia 28 marca 2018 r., zmienioną uchwałami Rady Miejskiej w Łodzi </w:t>
      </w:r>
      <w:r>
        <w:rPr>
          <w:color w:val="000000"/>
          <w:u w:color="000000"/>
        </w:rPr>
        <w:t>Nr VI/215/19 z dnia 6 marca 2019 r. i Nr LII/1605/21 z dnia 22 grudnia 2021 r.</w:t>
      </w:r>
    </w:p>
    <w:p w:rsidR="00A77B3E" w:rsidRDefault="006D1B27">
      <w:pPr>
        <w:keepLines/>
        <w:spacing w:before="120"/>
        <w:ind w:firstLine="567"/>
        <w:rPr>
          <w:color w:val="000000"/>
          <w:u w:color="000000"/>
        </w:rPr>
      </w:pPr>
      <w:r>
        <w:t>§ 3. 1. </w:t>
      </w:r>
      <w:r>
        <w:rPr>
          <w:color w:val="000000"/>
          <w:u w:color="000000"/>
        </w:rPr>
        <w:t>Ze względu na brak podstaw wynikających ze stanu faktycznego w planie nie określa się: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zasad ochrony dóbr kultury współczesnej;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granic i sposobów zagospodarowania </w:t>
      </w:r>
      <w:r>
        <w:rPr>
          <w:color w:val="000000"/>
          <w:u w:color="000000"/>
        </w:rPr>
        <w:t xml:space="preserve">terenów lub obiektów podlegających ochronie na podstawie odrębnych przepisów, terenów górniczych, a także obszarów szczególnego zagrożenia powodzią, obszarów osuwania się mas ziemnych, krajobrazów priorytetowych </w:t>
      </w:r>
      <w:r>
        <w:rPr>
          <w:color w:val="000000"/>
          <w:u w:color="000000"/>
        </w:rPr>
        <w:lastRenderedPageBreak/>
        <w:t>określonych w audycie krajobrazowym oraz w p</w:t>
      </w:r>
      <w:r>
        <w:rPr>
          <w:color w:val="000000"/>
          <w:u w:color="000000"/>
        </w:rPr>
        <w:t>lanach zagospodarowania przestrzennego województwa;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sposobu i terminu tymczasowego zagospodarowania, urządzania i użytkowania terenów.</w:t>
      </w:r>
    </w:p>
    <w:p w:rsidR="00A77B3E" w:rsidRDefault="006D1B27">
      <w:pPr>
        <w:keepLines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Rysunek planu zawiera ustalenia obowiązujące oraz oznaczenia informacyjne, zgodnie z legendą zamieszczoną na rysunk</w:t>
      </w:r>
      <w:r>
        <w:rPr>
          <w:color w:val="000000"/>
          <w:u w:color="000000"/>
        </w:rPr>
        <w:t>u planu.</w:t>
      </w:r>
    </w:p>
    <w:p w:rsidR="00A77B3E" w:rsidRDefault="006D1B27">
      <w:pPr>
        <w:keepLines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zabudowy i zagospodarowania oraz sposoby użytkowania poszczególnych terenów wyznaczonych liniami rozgraniczającymi określa się łącznie na podstawie: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ustaleń o charakterze ogólnym zawartych w rozdziale 2;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ustaleń szczegółowych zawar</w:t>
      </w:r>
      <w:r>
        <w:rPr>
          <w:color w:val="000000"/>
          <w:u w:color="000000"/>
        </w:rPr>
        <w:t>tych w rozdziale 3;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ustaleń obowiązujących zawartych na rysunku planu.</w:t>
      </w:r>
    </w:p>
    <w:p w:rsidR="00A77B3E" w:rsidRDefault="006D1B27">
      <w:pPr>
        <w:keepLines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Położenie linii rozgraniczających i linii zabudowy w miejscach, które nie zostały zwymiarowane na rysunku planu, należy ustalać poprzez odczyt rysunku planu</w:t>
      </w:r>
      <w:r>
        <w:rPr>
          <w:color w:val="000000"/>
          <w:u w:color="000000"/>
        </w:rPr>
        <w:br/>
        <w:t>w oparciu o jego skalę</w:t>
      </w:r>
      <w:r>
        <w:rPr>
          <w:color w:val="000000"/>
          <w:u w:color="000000"/>
        </w:rPr>
        <w:t>.</w:t>
      </w:r>
    </w:p>
    <w:p w:rsidR="00A77B3E" w:rsidRDefault="006D1B27">
      <w:pPr>
        <w:keepLines/>
        <w:spacing w:before="120"/>
        <w:ind w:firstLine="567"/>
        <w:rPr>
          <w:color w:val="000000"/>
          <w:u w:color="000000"/>
        </w:rPr>
      </w:pPr>
      <w:r>
        <w:t>§ 4. 1. </w:t>
      </w:r>
      <w:r>
        <w:rPr>
          <w:color w:val="000000"/>
          <w:u w:color="000000"/>
        </w:rPr>
        <w:t>Określenia stosowane w uchwale należy rozumieć jako: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dach płaski – dach o spadkach połaci do 15°;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elewacja frontowa – elewację budynku zlokalizowaną od strony przestrzeni publicznej;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front działki – odcinek granicy działki budowlanej prz</w:t>
      </w:r>
      <w:r>
        <w:rPr>
          <w:color w:val="000000"/>
          <w:u w:color="000000"/>
        </w:rPr>
        <w:t>ylegającej do drogi publicznej, innego ciągu komunikacyjnego lub placu publicznego, z którego odbywa się główny wjazd lub wejście na tę działkę;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infrastruktura techniczna – przewody i urządzenia oraz obiekty budowlane: wodociągowe, kanalizacyjne, ciepło</w:t>
      </w:r>
      <w:r>
        <w:rPr>
          <w:color w:val="000000"/>
          <w:u w:color="000000"/>
        </w:rPr>
        <w:t>wnicze, elektroenergetyczne, gazowe i telekomunikacyjne;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instalacja architektoniczna – obiekt budowlany niebędący budynkiem, posiadający walory artystyczne i przestrzenne;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linia rozgraniczająca – wyznaczoną na rysunku planu linię ciągłą, stanowiącą g</w:t>
      </w:r>
      <w:r>
        <w:rPr>
          <w:color w:val="000000"/>
          <w:u w:color="000000"/>
        </w:rPr>
        <w:t>ranicę między terenami o różnym przeznaczeniu lub różnych zasadach zagospodarowania;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linia zabudowy nieprzekraczalna – wyznaczoną na rysunku planu linię określającą część działki budowlanej, na której możliwe jest lokalizowanie budynków, z zakazem jej p</w:t>
      </w:r>
      <w:r>
        <w:rPr>
          <w:color w:val="000000"/>
          <w:u w:color="000000"/>
        </w:rPr>
        <w:t>rzekraczania, który nie dotyczy: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elementów wejścia do budynku, takich jak: schody, pochylnia, podest, rampa, zadaszenie,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elementów nadwieszeń, takich jak: łącznik, balkon, wykusz, gzyms, okap dachu,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 xml:space="preserve">podziemnych części budynku i urządzeń </w:t>
      </w:r>
      <w:r>
        <w:rPr>
          <w:color w:val="000000"/>
          <w:u w:color="000000"/>
        </w:rPr>
        <w:t>budowlanych związanych z budynkiem,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instalacji architektonicznych;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linia zabudowy obowiązująca – rodzaj linii zabudowy nieprzekraczalnej, wzdłuż której obowiązuje sytuowanie minimum 70% powierzchni ściany frontowej budynku;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linia zabudowy pierzejo</w:t>
      </w:r>
      <w:r>
        <w:rPr>
          <w:color w:val="000000"/>
          <w:u w:color="000000"/>
        </w:rPr>
        <w:t>wej – rodzaj linii zabudowy nieprzekraczalnej, wzdłuż której obowiązuje sytuowanie ściany frontowej budynku na całej długości, z dopuszczeniem wycofania części tej ściany w postaci np.: podcieni, loggi lub cofnięcia ściany najwyższej kondygnacji;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linia</w:t>
      </w:r>
      <w:r>
        <w:rPr>
          <w:color w:val="000000"/>
          <w:u w:color="000000"/>
        </w:rPr>
        <w:t xml:space="preserve"> zabudowy równoległej – rodzaj linii zabudowy nieprzekraczalnej, wzdłuż której lub równolegle do której obowiązuje sytuowanie ścian na długości 70% linii zabudowy w strefie dopuszczalnego odsunięcia wskazanej na rysunku planu;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 xml:space="preserve">miejsce zmiany lub końca </w:t>
      </w:r>
      <w:r>
        <w:rPr>
          <w:color w:val="000000"/>
          <w:u w:color="000000"/>
        </w:rPr>
        <w:t>linii zabudowy – wskazany na rysunku planu punkt, w którym następuje zmiana rodzaju jednej z linii zabudowy lub jej zakończenie;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>nadzór archeologiczny – rodzaj badań archeologicznych polegających na obserwacji i analizie nawarstwień w wykopach budowlan</w:t>
      </w:r>
      <w:r>
        <w:rPr>
          <w:color w:val="000000"/>
          <w:u w:color="000000"/>
        </w:rPr>
        <w:t>ych podczas realizacji robót ziemnych lub przy dokonywaniu zmiany charakteru dotychczasowej działalności wiążącej się z naruszeniem struktury gruntu;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lastRenderedPageBreak/>
        <w:t>13) </w:t>
      </w:r>
      <w:r>
        <w:rPr>
          <w:color w:val="000000"/>
          <w:u w:color="000000"/>
        </w:rPr>
        <w:t>przepisy odrębne – przepisy prawa powszechnie obowiązującego, w szczególności ustawy i rozporządzenia,</w:t>
      </w:r>
      <w:r>
        <w:rPr>
          <w:color w:val="000000"/>
          <w:u w:color="000000"/>
        </w:rPr>
        <w:t xml:space="preserve"> a także akty prawa miejscowego obowiązujące na obszarze miasta Łodzi;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14) </w:t>
      </w:r>
      <w:r>
        <w:rPr>
          <w:color w:val="000000"/>
          <w:u w:color="000000"/>
        </w:rPr>
        <w:t>przeznaczenie terenu – obiekty budowlane i urządzenia budowlane oraz zagospodarowanie tworzące całość funkcjonalną, określone ustaleniami planu na danym terenie odpowiednio: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prze</w:t>
      </w:r>
      <w:r>
        <w:rPr>
          <w:color w:val="000000"/>
          <w:u w:color="000000"/>
        </w:rPr>
        <w:t>znaczenie podstawowe – przeznaczenie, które  przeważa na danej działce,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przeznaczenie uzupełniające – przeznaczenie, które uzupełnia przeznaczenie podstawowe,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przeznaczenie dopuszczalne – przeznaczenie, które określa sposób wykorzystania działki do c</w:t>
      </w:r>
      <w:r>
        <w:rPr>
          <w:color w:val="000000"/>
          <w:u w:color="000000"/>
        </w:rPr>
        <w:t>zasu realizacji przeznaczenia podstawowego, podnoszące przejściowo walory estetyczno-użytkowe przestrzeni;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15) </w:t>
      </w:r>
      <w:r>
        <w:rPr>
          <w:color w:val="000000"/>
          <w:u w:color="000000"/>
        </w:rPr>
        <w:t>strefa ochrony archeologicznej – rodzaj strefy konserwatorskiej obejmującej obszar, na którym zlokalizowane są zabytki archeologiczne lub istniej</w:t>
      </w:r>
      <w:r>
        <w:rPr>
          <w:color w:val="000000"/>
          <w:u w:color="000000"/>
        </w:rPr>
        <w:t>e uzasadnione podejrzenie, że mogą się one na nim znajdować;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16) </w:t>
      </w:r>
      <w:r>
        <w:rPr>
          <w:color w:val="000000"/>
          <w:u w:color="000000"/>
        </w:rPr>
        <w:t>system NCS – system opisu barw publikowany w formie wzorników kolorów; oznaczenie koloru składa się z: napisu „NCS S”, czterech cyfr, z których pierwsze dwie oznaczają procentową zawartość cz</w:t>
      </w:r>
      <w:r>
        <w:rPr>
          <w:color w:val="000000"/>
          <w:u w:color="000000"/>
        </w:rPr>
        <w:t>erni, kolejne dwie – poziom chromatyczności oraz po myślniku, symbolu koloru oznaczającego procentową zawartość kolorów  (żółtego – Y, czerwonego – R, niebieskiego – B, zielonego – G) lub kolor neutralny – N;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17) </w:t>
      </w:r>
      <w:r>
        <w:rPr>
          <w:color w:val="000000"/>
          <w:u w:color="000000"/>
        </w:rPr>
        <w:t xml:space="preserve">system RAL – system opisu barw publikowany </w:t>
      </w:r>
      <w:r>
        <w:rPr>
          <w:color w:val="000000"/>
          <w:u w:color="000000"/>
        </w:rPr>
        <w:t>w formie wzorników kolorów; oznaczenie koloru składa się z napisu „RAL” oraz czterech cyfr, z których pierwsze dwie oznaczają przynależność koloru do umownie określonych grup odcieni (np. RAL10xx – grupa odcieni żółtych, RAL90xx – grupa odcieni białych i c</w:t>
      </w:r>
      <w:r>
        <w:rPr>
          <w:color w:val="000000"/>
          <w:u w:color="000000"/>
        </w:rPr>
        <w:t>zarnych);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18) </w:t>
      </w:r>
      <w:r>
        <w:rPr>
          <w:color w:val="000000"/>
          <w:u w:color="000000"/>
        </w:rPr>
        <w:t>teren – wydzielone liniami rozgraniczającymi lub granicami obszaru objętego planem nieruchomości lub ich części, oznaczone symbolami liczbowymi i literowymi, z których liczby oznaczają numer porządkowy terenu, a litery podstawowe przeznaczeni</w:t>
      </w:r>
      <w:r>
        <w:rPr>
          <w:color w:val="000000"/>
          <w:u w:color="000000"/>
        </w:rPr>
        <w:t>e terenu;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19) </w:t>
      </w:r>
      <w:r>
        <w:rPr>
          <w:color w:val="000000"/>
          <w:u w:color="000000"/>
        </w:rPr>
        <w:t>uchwała – niniejszą uchwałę Rady Miejskiej w Łodzi;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20) </w:t>
      </w:r>
      <w:r>
        <w:rPr>
          <w:color w:val="000000"/>
          <w:u w:color="000000"/>
        </w:rPr>
        <w:t>układ kompozycyjny elewacji – podziały pionowe i poziome oraz układ osi otworów okiennych i drzwiowych na elewacji;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21) </w:t>
      </w:r>
      <w:r>
        <w:rPr>
          <w:color w:val="000000"/>
          <w:u w:color="000000"/>
        </w:rPr>
        <w:t>usługi uciążliwe – działalność usługową powodującą przekroczenie s</w:t>
      </w:r>
      <w:r>
        <w:rPr>
          <w:color w:val="000000"/>
          <w:u w:color="000000"/>
        </w:rPr>
        <w:t>tandardów i norm środowiskowych obowiązujących dla przeznaczenia podstawowego danego terenu;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22) </w:t>
      </w:r>
      <w:r>
        <w:rPr>
          <w:color w:val="000000"/>
          <w:u w:color="000000"/>
        </w:rPr>
        <w:t>ustawa – ustawę z dnia 27 marca 2003 r. o planowaniu i zagospodarowaniu przestrzennym, o ile z treści planu nie wynika inaczej;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23) </w:t>
      </w:r>
      <w:r>
        <w:rPr>
          <w:color w:val="000000"/>
          <w:u w:color="000000"/>
        </w:rPr>
        <w:t>wskaźnik powierzchni biolog</w:t>
      </w:r>
      <w:r>
        <w:rPr>
          <w:color w:val="000000"/>
          <w:u w:color="000000"/>
        </w:rPr>
        <w:t>icznie czynnej – udział procentowy terenu biologicznie czynnego w powierzchni działki budowlanej;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24) </w:t>
      </w:r>
      <w:r>
        <w:rPr>
          <w:color w:val="000000"/>
          <w:u w:color="000000"/>
        </w:rPr>
        <w:t>wskaźnik powierzchni zabudowy – udział procentowy powierzchni wyznaczonej przez rzuty pionowe części nadziemnych wszystkich budynków w ich obrysie zewnętr</w:t>
      </w:r>
      <w:r>
        <w:rPr>
          <w:color w:val="000000"/>
          <w:u w:color="000000"/>
        </w:rPr>
        <w:t>znym w powierzchni działki budowlanej;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25) </w:t>
      </w:r>
      <w:r>
        <w:rPr>
          <w:color w:val="000000"/>
          <w:u w:color="000000"/>
        </w:rPr>
        <w:t xml:space="preserve">wysokość parteru budynku – określony w metrach wymiar pionowy fragmentu elewacji budynku, mierzony od poziomu terenu przy elewacji do poziomu spodu elementu architektonicznego, oddzielającego pierwszą kondygnację </w:t>
      </w:r>
      <w:r>
        <w:rPr>
          <w:color w:val="000000"/>
          <w:u w:color="000000"/>
        </w:rPr>
        <w:t>nadziemną od kondygnacji wyższych, występującego w postaci np. gzymsu, podziału w wykończeniu elewacji, uskoku, a w przypadku, gdy taki element nie występuje – do poziomu spodu stropu nad pierwszą kondygnacją nadziemną budynku;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26) </w:t>
      </w:r>
      <w:r>
        <w:rPr>
          <w:color w:val="000000"/>
          <w:u w:color="000000"/>
        </w:rPr>
        <w:t>wysokość zabudowy – okre</w:t>
      </w:r>
      <w:r>
        <w:rPr>
          <w:color w:val="000000"/>
          <w:u w:color="000000"/>
        </w:rPr>
        <w:t>śloną w metrach wysokość budynku mierzoną zgodnie z wymogami przepisów odrębnych dotyczących budownictwa albo określoną w metrach wysokość obiektu budowlanego, niebędącego budynkiem, mierzoną od najniższego poziomu terenu w miejscu jego lokalizacji do najw</w:t>
      </w:r>
      <w:r>
        <w:rPr>
          <w:color w:val="000000"/>
          <w:u w:color="000000"/>
        </w:rPr>
        <w:t>yższego punktu jego konstrukcji;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lastRenderedPageBreak/>
        <w:t>27) </w:t>
      </w:r>
      <w:r>
        <w:rPr>
          <w:color w:val="000000"/>
          <w:u w:color="000000"/>
        </w:rPr>
        <w:t>zabudowa typu penthouse – część budynku zlokalizowaną na najwyższej kondygnacji,  której powierzchnia całkowita wynosi maksymalnie 50% powierzchni całkowitej kondygnacji znajdującej się poniżej, mierzonej na poziomie po</w:t>
      </w:r>
      <w:r>
        <w:rPr>
          <w:color w:val="000000"/>
          <w:u w:color="000000"/>
        </w:rPr>
        <w:t>sadzki.</w:t>
      </w:r>
    </w:p>
    <w:p w:rsidR="00A77B3E" w:rsidRDefault="006D1B27">
      <w:pPr>
        <w:keepLines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Określenia użyte w planie, a niezdefiniowane w ust. 1, dotyczące zagadnień przewidzianych ustawą lub przepisami odrębnymi przywołanymi w treści uchwały, należy rozumieć w sposób określony w ustawie lub w tych przepisach, a </w:t>
      </w:r>
      <w:r>
        <w:rPr>
          <w:color w:val="000000"/>
          <w:u w:color="000000"/>
        </w:rPr>
        <w:t xml:space="preserve">w przypadku braku definicji </w:t>
      </w:r>
      <w:r>
        <w:rPr>
          <w:b/>
          <w:color w:val="000000"/>
          <w:u w:color="000000"/>
        </w:rPr>
        <w:t xml:space="preserve">– </w:t>
      </w:r>
      <w:r>
        <w:rPr>
          <w:color w:val="000000"/>
          <w:u w:color="000000"/>
        </w:rPr>
        <w:t>w rozumieniu powszechnym.</w:t>
      </w:r>
    </w:p>
    <w:p w:rsidR="00A77B3E" w:rsidRDefault="006D1B27">
      <w:pPr>
        <w:keepNext/>
        <w:keepLines/>
        <w:spacing w:before="280" w:after="280"/>
        <w:jc w:val="center"/>
        <w:rPr>
          <w:color w:val="000000"/>
          <w:u w:color="000000"/>
        </w:rPr>
      </w:pPr>
      <w:r>
        <w:rPr>
          <w:b/>
        </w:rPr>
        <w:t>Rozdział 2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dla całego obszaru objętego planem</w:t>
      </w:r>
    </w:p>
    <w:p w:rsidR="00A77B3E" w:rsidRDefault="006D1B27">
      <w:pPr>
        <w:keepLines/>
        <w:spacing w:before="120"/>
        <w:ind w:firstLine="567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>Ustala się następujące zasady ochrony i kształtowania ładu przestrzennego: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kształtowanie standardów zagospodarowania i użytkowania </w:t>
      </w:r>
      <w:r>
        <w:rPr>
          <w:color w:val="000000"/>
          <w:u w:color="000000"/>
        </w:rPr>
        <w:t>terenów z uwzględnieniem porządkowania i uzupełniania istniejących struktur zabudowy z poszanowaniem historycznych układów urbanistycznych i obiektów zabytkowych;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tereny przeznaczone w planie na cele zabudowy zalicza się do obszarów zabudowy śródmiejski</w:t>
      </w:r>
      <w:r>
        <w:rPr>
          <w:color w:val="000000"/>
          <w:u w:color="000000"/>
        </w:rPr>
        <w:t>ej w rozumieniu przepisów odrębnych z zakresu budownictwa;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zakresie przeznaczenia terenów: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zakaz lokalizacji: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obiektów handlowych o powierzchni sprzedaży powyżej 2000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szpitali,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usług uciążliwych,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usług w zakresie obsługi komunikacji, to</w:t>
      </w:r>
      <w:r>
        <w:rPr>
          <w:color w:val="000000"/>
          <w:u w:color="000000"/>
        </w:rPr>
        <w:t xml:space="preserve"> jest: warsztatów samochodowych, stacji obsługi samochodów, stacji paliw oraz myjni samochodowych,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punktów zbierania i przetwarzania odpadów, w tym złomu,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 zakresie przeznaczenia dopuszczalnego możliwość realizacji: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zieleni, z wyłączeniem zieleni w</w:t>
      </w:r>
      <w:r>
        <w:rPr>
          <w:color w:val="000000"/>
          <w:u w:color="000000"/>
        </w:rPr>
        <w:t>ysokiej,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urządzeń rekreacyjnych;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zakresie lokalizacji zabudowy oraz parametrów i wskaźników zabudowy: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dopuszczenie sytuowania budynku zwróconego ścianą bez okien i drzwi w stronę  granicy z sąsiednią działką budowlaną bezpośrednio przy tej granic</w:t>
      </w:r>
      <w:r>
        <w:rPr>
          <w:color w:val="000000"/>
          <w:u w:color="000000"/>
        </w:rPr>
        <w:t>y,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intensywność zabudowy określona w ustaleniach szczegółowych dla terenów dotyczy kondygnacji nadziemnych; dla kondygnacji podziemnych dopuszczenie maksymalnej intensywności zabudowy wynoszącej 5,0;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 xml:space="preserve">w zakresie kształtowania zabudowy, </w:t>
      </w:r>
      <w:r>
        <w:rPr>
          <w:color w:val="000000"/>
          <w:u w:color="000000"/>
        </w:rPr>
        <w:t>zagospodarowania oraz lokalizacji obiektów i funkcji: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zakaz lokalizacji: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wolnostojących: masztów, jednokondygnacyjnych garaży nadziemnych, budynków gospodarczych, technicznych i stacji transformatorowych,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miejsc postojowych w parterach budynków w od</w:t>
      </w:r>
      <w:r>
        <w:rPr>
          <w:color w:val="000000"/>
          <w:u w:color="000000"/>
        </w:rPr>
        <w:t>ległości mniejszej niż 6,0 m od linii rozgraniczających z terenami przestrzeni publicznej,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 zakresie kształtowania elewacji budynków: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nakaz ukształtowania elewacji frontowych z wykorzystaniem zasad kompozycji w postaci wyodrębnienia kondygnacji </w:t>
      </w:r>
      <w:r>
        <w:rPr>
          <w:color w:val="000000"/>
          <w:u w:color="000000"/>
        </w:rPr>
        <w:t>parteru i zwieńczenia elewacji,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dopuszczenie stosowania przy realizacji elewacji szklanych oraz szklenia otworów wyłącznie szkła bezbarwnego lub w barwie szarej,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zakaz stosowania na elewacji: okładzin winylowych, z gresu lub glazury, blach trapezowych </w:t>
      </w:r>
      <w:r>
        <w:rPr>
          <w:color w:val="000000"/>
          <w:u w:color="000000"/>
        </w:rPr>
        <w:t>i falistych, blachodachówki oraz materiałów i elementów  charakterystycznych dla architektury wernakularnej, takich jak: kamień i drewno niepoddane obróbce, wiklina, słoma, bielone ściany;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 zakresie lokalizacji obiektów i urządzeń technicznych: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lastRenderedPageBreak/>
        <w:t>a) </w:t>
      </w:r>
      <w:r>
        <w:rPr>
          <w:color w:val="000000"/>
          <w:u w:color="000000"/>
        </w:rPr>
        <w:t>zaka</w:t>
      </w:r>
      <w:r>
        <w:rPr>
          <w:color w:val="000000"/>
          <w:u w:color="000000"/>
        </w:rPr>
        <w:t>z: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umieszczania na elewacjach frontowych oraz w prześwitach bramowych elementów technicznego wyposażenia budynków, takich jak: klimatyzatory, anteny, przewody kominowe, z wyjątkiem instalacji służących iluminacji i zapewnieniu bezpieczeństwa budynków,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umieszczania urządzeń technicznych służących wentylacji i klimatyzacji w odległości mniejszej niż 5,0 m od linii rozgraniczającej z terenami przestrzeni publicznej oraz o wysokości przekraczającej wraz z obudową 3,0 m,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umieszczania masztów antenowych i a</w:t>
      </w:r>
      <w:r>
        <w:rPr>
          <w:color w:val="000000"/>
          <w:u w:color="000000"/>
        </w:rPr>
        <w:t>nten w odległości mniejszej niż 5,0 m od linii rozgraniczającej z terenami przestrzeni publicznej oraz o wysokości przekraczającej 8,0 m,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dopuszczenie: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umieszczania na elewacjach frontowych skrzynek przyłączy infrastruktury technicznej, a skrzynek prz</w:t>
      </w:r>
      <w:r>
        <w:rPr>
          <w:color w:val="000000"/>
          <w:u w:color="000000"/>
        </w:rPr>
        <w:t>yłączy gazowych również na ogrodzeniach, wyłącznie jako wbudowanych w ścianę lub ogrodzenie oraz pod warunkiem zastosowania kolorystyki dla widocznej części skrzynek odpowiadającej barwie elewacji lub ogrodzenia, w które są wbudowane, lub w kolorze grafito</w:t>
      </w:r>
      <w:r>
        <w:rPr>
          <w:color w:val="000000"/>
          <w:u w:color="000000"/>
        </w:rPr>
        <w:t>wym odpowiadającym barwie 7016 w systemie RAL,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zakładania na obiektach budowlanych elementów trakcji, znaków i sygnałów drogowych lub innych urządzeń bezpieczeństwa ruchu drogowego, urządzeń służących do zapewnienia bezpieczeństwa publicznego, a także ur</w:t>
      </w:r>
      <w:r>
        <w:rPr>
          <w:color w:val="000000"/>
          <w:u w:color="000000"/>
        </w:rPr>
        <w:t>ządzeń niezbędnych do korzystania z nich w rozumieniu przepisów odrębnych z zakresu gospodarki nieruchomościami.</w:t>
      </w:r>
    </w:p>
    <w:p w:rsidR="00A77B3E" w:rsidRDefault="006D1B27">
      <w:pPr>
        <w:keepLines/>
        <w:spacing w:before="120"/>
        <w:ind w:firstLine="567"/>
        <w:rPr>
          <w:color w:val="000000"/>
          <w:u w:color="000000"/>
        </w:rPr>
      </w:pPr>
      <w:r>
        <w:t>§ 6. </w:t>
      </w:r>
      <w:r>
        <w:rPr>
          <w:color w:val="000000"/>
          <w:u w:color="000000"/>
        </w:rPr>
        <w:t xml:space="preserve">Ustala się następujące wymagania wynikające z potrzeb kształtowania przestrzeni publicznych, do których na obszarze objętym planem należy </w:t>
      </w:r>
      <w:r>
        <w:rPr>
          <w:color w:val="000000"/>
          <w:u w:color="000000"/>
        </w:rPr>
        <w:t>teren placu publicznego oznaczonego symbolem 1PP oraz teren drogi publicznej oznaczonej symbolem 1KDL: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dopuszczenie sytuowania instalacji architektonicznych w sposób niekolidujący</w:t>
      </w:r>
      <w:r>
        <w:rPr>
          <w:color w:val="000000"/>
          <w:u w:color="000000"/>
        </w:rPr>
        <w:br/>
        <w:t>z funkcjami i sposobem zagospodarowania terenu;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nakaz stosowania: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r</w:t>
      </w:r>
      <w:r>
        <w:rPr>
          <w:color w:val="000000"/>
          <w:u w:color="000000"/>
        </w:rPr>
        <w:t>ozwiązań technicznych uwzględniających potrzeby osób ze szczególnymi potrzebami,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tablic i znaków informacyjnych zgodnych z systemem informacji miejskiej (SIM).</w:t>
      </w:r>
    </w:p>
    <w:p w:rsidR="00A77B3E" w:rsidRDefault="006D1B27">
      <w:pPr>
        <w:keepLines/>
        <w:spacing w:before="120"/>
        <w:ind w:firstLine="567"/>
        <w:rPr>
          <w:color w:val="000000"/>
          <w:u w:color="000000"/>
        </w:rPr>
      </w:pPr>
      <w:r>
        <w:t>§ 7. </w:t>
      </w:r>
      <w:r>
        <w:rPr>
          <w:color w:val="000000"/>
          <w:u w:color="000000"/>
        </w:rPr>
        <w:t>Ustala się następujące zasady ochrony środowiska, przyrody i krajobrazu oraz zasady kszt</w:t>
      </w:r>
      <w:r>
        <w:rPr>
          <w:color w:val="000000"/>
          <w:u w:color="000000"/>
        </w:rPr>
        <w:t>ałtowania krajobrazu: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przedsięwzięć mogących zawsze znacząco oraz potencjalnie znacząco oddziaływać na środowisko, z wyjątkiem: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zespołów zabudowy mieszkaniowej, usługowej, garaży i parkingów samochodowych oraz zespołów parkingów wra</w:t>
      </w:r>
      <w:r>
        <w:rPr>
          <w:color w:val="000000"/>
          <w:u w:color="000000"/>
        </w:rPr>
        <w:t>z z towarzyszącą im infrastrukturą,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przedsięwzięć dotyczących infrastruktury technicznej i dróg;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zakresie ochrony przed hałasem tereny oznaczone symbolami: 2MW/U, 3MW/U, 4MW/U, 5MW/U/KSp i 6KSp zalicza się do terenów chronionych akustycznie określo</w:t>
      </w:r>
      <w:r>
        <w:rPr>
          <w:color w:val="000000"/>
          <w:u w:color="000000"/>
        </w:rPr>
        <w:t>nych jako „tereny w strefie śródmiejskiej miast powyżej 100 tys. mieszkańców” w rozumieniu przepisów odrębnych dotyczących dopuszczalnych poziomów hałasu w środowisku;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zakresie ochrony powietrza – nakaz stosowania do celów grzewczych bezemisyjnych lub</w:t>
      </w:r>
      <w:r>
        <w:rPr>
          <w:color w:val="000000"/>
          <w:u w:color="000000"/>
        </w:rPr>
        <w:t xml:space="preserve"> niskoemisyjnych źródeł ciepła, spełniających wymagania standardów jakości powietrza;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zakresie ochrony wód – nakaz stosowania rozwiązań umożliwiających wykorzystanie lub retencjonowanie nadmiaru wód opadowych i roztopowych w miejscu ich powstania, z d</w:t>
      </w:r>
      <w:r>
        <w:rPr>
          <w:color w:val="000000"/>
          <w:u w:color="000000"/>
        </w:rPr>
        <w:t xml:space="preserve">opuszczeniem odprowadzenia ich do odbiornika na warunkach określonych </w:t>
      </w:r>
      <w:r>
        <w:rPr>
          <w:color w:val="000000"/>
          <w:u w:color="000000"/>
        </w:rPr>
        <w:lastRenderedPageBreak/>
        <w:t>w przepisach odrębnych dotyczących zbiorowego zaopatrzenia w wodę i zbiorowego odprowadzenia ścieków oraz prawa wodnego, a także budownictwa;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 xml:space="preserve">w zakresie ochrony ziemi – nakaz </w:t>
      </w:r>
      <w:r>
        <w:rPr>
          <w:color w:val="000000"/>
          <w:u w:color="000000"/>
        </w:rPr>
        <w:t>zapewnienia dla nieruchomości miejsca</w:t>
      </w:r>
      <w:r>
        <w:rPr>
          <w:color w:val="000000"/>
          <w:u w:color="000000"/>
        </w:rPr>
        <w:br/>
        <w:t>służącego do czasowego gromadzenia odpadów stałych, z uwzględnieniem wymogów wynikających z przepisów odrębnych dotyczących budownictwa oraz dotyczących utrzymania czystości i porządku w gminach;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 xml:space="preserve">w zakresie ochrony </w:t>
      </w:r>
      <w:r>
        <w:rPr>
          <w:color w:val="000000"/>
          <w:u w:color="000000"/>
        </w:rPr>
        <w:t>przed polami elektromagnetycznymi: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zakaz lokalizacji obiektów, urządzeń i sieci infrastruktury technicznej, które powodują przekroczenie dopuszczalnych poziomów pól elektromagnetycznych w środowisku, określonych w przepisach odrębnych dotyczących ochron</w:t>
      </w:r>
      <w:r>
        <w:rPr>
          <w:color w:val="000000"/>
          <w:u w:color="000000"/>
        </w:rPr>
        <w:t>y środowiska w obrębie budynków z pomieszczeniami przeznaczonymi na pobyt ludzi, w rozumieniu przepisów odrębnych dotyczących budownictwa,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dopuszczenie lokalizacji obiektów infrastruktury telekomunikacyjnej o nieznacznym oddziaływaniu w rozumieniu przep</w:t>
      </w:r>
      <w:r>
        <w:rPr>
          <w:color w:val="000000"/>
          <w:u w:color="000000"/>
        </w:rPr>
        <w:t>isów odrębnych dotyczących rozwoju usług i sieci telekomunikacyjnych;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w zakresie odnawialnych źródeł energii – zakaz lokalizacji urządzeń wytwarzających energię z odnawialnych źródeł energii o mocy większej niż moc mikroinstalacji, o której mowa w przep</w:t>
      </w:r>
      <w:r>
        <w:rPr>
          <w:color w:val="000000"/>
          <w:u w:color="000000"/>
        </w:rPr>
        <w:t>isach odrębnych z zakresu odnawialnych źródeł energii.</w:t>
      </w:r>
    </w:p>
    <w:p w:rsidR="00A77B3E" w:rsidRDefault="006D1B27">
      <w:pPr>
        <w:keepLines/>
        <w:spacing w:before="120"/>
        <w:ind w:firstLine="567"/>
        <w:rPr>
          <w:color w:val="000000"/>
          <w:u w:color="000000"/>
        </w:rPr>
      </w:pPr>
      <w:r>
        <w:t>§ 8. </w:t>
      </w:r>
      <w:r>
        <w:rPr>
          <w:color w:val="000000"/>
          <w:u w:color="000000"/>
        </w:rPr>
        <w:t>Ustala się następujące zasady ochrony dziedzictwa kulturowego i zabytków, w tym krajobrazów kulturowych: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wskazuje się zabytek chroniony przez uznanie go za pomnik historii na mocy rozporządzeni</w:t>
      </w:r>
      <w:r>
        <w:rPr>
          <w:color w:val="000000"/>
          <w:u w:color="000000"/>
        </w:rPr>
        <w:t>a Prezydenta Rzeczypospolitej Polskiej z dnia 16 lutego 2015 r. w sprawie uznania za pomnik historii „Łódź – wielokulturowy krajobraz miasta przemysłowego” (Dz. U. poz. 315), to jest układy urbanistyczne pl. Wolności, ul. Stanisława Moniuszki</w:t>
      </w:r>
      <w:r>
        <w:rPr>
          <w:color w:val="000000"/>
          <w:u w:color="000000"/>
        </w:rPr>
        <w:br/>
        <w:t>i ul. Piotrko</w:t>
      </w:r>
      <w:r>
        <w:rPr>
          <w:color w:val="000000"/>
          <w:u w:color="000000"/>
        </w:rPr>
        <w:t>wskiej wraz z zespołem fabryczno-rezydencjonalnym Ludwika Geyera,</w:t>
      </w:r>
      <w:r>
        <w:rPr>
          <w:color w:val="000000"/>
          <w:u w:color="000000"/>
        </w:rPr>
        <w:br/>
        <w:t>w granicach oznaczonych na rysunku planu;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wskazuje się park kulturowy, obejmujący cały obszar planu, utworzony na mocy uchwały</w:t>
      </w:r>
      <w:r>
        <w:rPr>
          <w:color w:val="000000"/>
          <w:u w:color="000000"/>
        </w:rPr>
        <w:br/>
        <w:t>Nr XXI/483/15 Rady Miejskiej w Łodzi z dnia 9 grudnia 2015 r</w:t>
      </w:r>
      <w:r>
        <w:rPr>
          <w:color w:val="000000"/>
          <w:u w:color="000000"/>
        </w:rPr>
        <w:t>. w sprawie utworzenia Parku Kulturowego ulicy Piotrkowskiej (Dz. Urz. Woj. Łódzkiego z 2016 r. poz. 174), zmienionej uchwałą Nr XXXIII/881/16 Rady Miejskiej w Łodzi z dnia 31 sierpnia 2016 r. (Dz. Urz. Woj. Łódzkiego poz. 4041);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wskazuje się zabytek ch</w:t>
      </w:r>
      <w:r>
        <w:rPr>
          <w:color w:val="000000"/>
          <w:u w:color="000000"/>
        </w:rPr>
        <w:t>roniony przez wpis do rejestru zabytków nr A/48 – układ urbanistyczny ul. Piotrkowskiej – zabudowa ul. Piotrkowskiej na odcinku od pl. Wolności do alei Piłsudskiego i Mickiewicza, w granicach oznaczonych na rysunku planu, w którym prowadzenie działań inwes</w:t>
      </w:r>
      <w:r>
        <w:rPr>
          <w:color w:val="000000"/>
          <w:u w:color="000000"/>
        </w:rPr>
        <w:t>tycyjnych, w tym w zakresie wycinki oraz sadzenia drzew i krzewów, wymaga pozwolenia właściwego organu zgodnie z przepisami odrębnymi z zakresu ochrony zabytków;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wprowadza się strefę ochrony archeologicznej, obejmującą cały obszar planu, w której przy r</w:t>
      </w:r>
      <w:r>
        <w:rPr>
          <w:color w:val="000000"/>
          <w:u w:color="000000"/>
        </w:rPr>
        <w:t>ealizacji robót ziemnych lub dokonywaniu zmiany charakteru dotychczasowej działalności wiążącej się z naruszeniem struktury gruntu nakazuje się prowadzenie nadzoru archeologicznego na zasadach określonych w przepisach odrębnych z zakresu ochrony zabytków;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wprowadza się na całym obszarze planu strefę ochrony konserwatorskiej wielokulturowego krajobrazu miasta przemysłowego obejmującą fragment historycznego układu urbanistycznego oraz krajobrazu kulturowego, wpisanego do gminnej ewidencji zabytków pod nazw</w:t>
      </w:r>
      <w:r>
        <w:rPr>
          <w:color w:val="000000"/>
          <w:u w:color="000000"/>
        </w:rPr>
        <w:t>ą „Osada Łódka”, dla której ustala się: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zaznaczenia historycznych granic działek, wskazanych na rysunku planu, w nawierzchni działki budowlanej,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zakaz realizacji monolitycznych nawierzchni betonowych lub asfaltowych w podwórzach;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lastRenderedPageBreak/>
        <w:t>6) </w:t>
      </w:r>
      <w:r>
        <w:rPr>
          <w:color w:val="000000"/>
          <w:u w:color="000000"/>
        </w:rPr>
        <w:t>wskazuje si</w:t>
      </w:r>
      <w:r>
        <w:rPr>
          <w:color w:val="000000"/>
          <w:u w:color="000000"/>
        </w:rPr>
        <w:t>ę zabytek wpisany do gminnej ewidencji zabytków, oznaczony na rysunku planu symbolem E – budynek mieszkalny przy al. Tadeusza Kościuszki 40, dla którego ustala się ochronę poprzez: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zachowania elementów budynku podlegających ochronie, tj.: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układu</w:t>
      </w:r>
      <w:r>
        <w:rPr>
          <w:color w:val="000000"/>
          <w:u w:color="000000"/>
        </w:rPr>
        <w:t xml:space="preserve"> kompozycyjnego elewacji frontowej i tylnej,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ukształtowania elewacji frontowej i tylnej: wykuszy, balkonów, ryzalitu, otworów okiennych i drzwiowych,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dekoracji elewacji frontowej: detalu architektonicznego w parterze i gzymsu wieńczącego,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prześwitu b</w:t>
      </w:r>
      <w:r>
        <w:rPr>
          <w:color w:val="000000"/>
          <w:u w:color="000000"/>
        </w:rPr>
        <w:t>ramowego: skrzydeł bramnych i nawierzchni,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podziałów stolarki okiennej i drzwiowej na elewacji frontowej i tylnej, z wyjątkiem kondygnacji piwnic,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dopuszczenie prowadzenia robót budowlanych polegających wyłącznie na: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prowadzeniu prac konserwatorskic</w:t>
      </w:r>
      <w:r>
        <w:rPr>
          <w:color w:val="000000"/>
          <w:u w:color="000000"/>
        </w:rPr>
        <w:t>h, restauratorskich, rekonstrukcyjnych,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remoncie, przebudowie, rozbudowie i nadbudowie, jeżeli nie naruszy to ochrony elementów budynku ustalonej w lit. a, i z uwzględnieniem warunków, o których mowa w pkt 7 i 8;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w zakresie remontu i przebudowy budynk</w:t>
      </w:r>
      <w:r>
        <w:rPr>
          <w:color w:val="000000"/>
          <w:u w:color="000000"/>
        </w:rPr>
        <w:t>u wpisanego do gminnej ewidencji zabytków ustala się następujące warunki: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zakaz stosowania rolet zewnętrznych, krat i okiennic na elewacji frontowej, z wyjątkiem kondygnacji piwnic i parteru,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nakaz stosowania na elewacji kolorystyki zgodnie z paletą </w:t>
      </w:r>
      <w:r>
        <w:rPr>
          <w:color w:val="000000"/>
          <w:u w:color="000000"/>
        </w:rPr>
        <w:t>barw stanowiącą załącznik Nr 4 do uchwały, z zachowaniem warunku użycia jednego koloru dla powierzchni ścian, jednego (najjaśniejszego) dla detalu architektonicznego oraz jednego (najciemniejszego) dla cokołu lub parteru, z dopuszczeniem innych rozwiązań k</w:t>
      </w:r>
      <w:r>
        <w:rPr>
          <w:color w:val="000000"/>
          <w:u w:color="000000"/>
        </w:rPr>
        <w:t>olorystycznych w następujących przypadkach: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zastosowania naturalnej kolorystyki materiałów wykończeniowych, takich jak: ceramika budowlana, kamień naturalny, drewno, metal, szkło,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wykonania opracowania plastycznego, na przykład w postaci muralu, ścian </w:t>
      </w:r>
      <w:r>
        <w:rPr>
          <w:color w:val="000000"/>
          <w:u w:color="000000"/>
        </w:rPr>
        <w:t>bocznych kamienicy,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prowadzenia prac konserwatorskich, restauratorskich lub rekonstrukcyjnych,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nakaz stosowania dla stolarki i ślusarki kolorystyki zgodnie z paletą barw stanowiącą załącznik Nr 4 do uchwały, z dopuszczeniem innych rozwiązań kolorystyc</w:t>
      </w:r>
      <w:r>
        <w:rPr>
          <w:color w:val="000000"/>
          <w:u w:color="000000"/>
        </w:rPr>
        <w:t>znych w następujących przypadkach: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stosowania naturalnego koloru drewna,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prowadzenia prac konserwatorskich, restauratorskich lub rekonstrukcyjnych;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w zakresie nadbudowy zabytku wpisanego do gminnej ewidencji zabytków ustala się wykonanie nadbudowy w</w:t>
      </w:r>
      <w:r>
        <w:rPr>
          <w:color w:val="000000"/>
          <w:u w:color="000000"/>
        </w:rPr>
        <w:t> formie zabudowy typu penthouse do maksymalnej wysokości określonej w ustaleniach szczegółowych, z zastrzeżeniem odsunięcia nadbudowanej części budynku o odległość minimum 1,5 m od zewnętrznej ściany zlokalizowanej w linii zabudowy pierzejowej.</w:t>
      </w:r>
    </w:p>
    <w:p w:rsidR="00A77B3E" w:rsidRDefault="006D1B27">
      <w:pPr>
        <w:keepLines/>
        <w:spacing w:before="120"/>
        <w:ind w:firstLine="567"/>
        <w:rPr>
          <w:color w:val="000000"/>
          <w:u w:color="000000"/>
        </w:rPr>
      </w:pPr>
      <w:r>
        <w:t>§ 9. 1. </w:t>
      </w:r>
      <w:r>
        <w:rPr>
          <w:color w:val="000000"/>
          <w:u w:color="000000"/>
        </w:rPr>
        <w:t>Ust</w:t>
      </w:r>
      <w:r>
        <w:rPr>
          <w:color w:val="000000"/>
          <w:u w:color="000000"/>
        </w:rPr>
        <w:t>ala się zasady i warunki scalania i podziałów nieruchomości objętych planem: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wyznacza się granic obszarów określonych w przepisach odrębnych wymagających obowiązkowego przeprowadzenia scaleń i podziałów nieruchomości;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szczegółowe zasady i warunki</w:t>
      </w:r>
      <w:r>
        <w:rPr>
          <w:color w:val="000000"/>
          <w:u w:color="000000"/>
        </w:rPr>
        <w:t xml:space="preserve"> scalania i podziału nieruchomości dokonywanego</w:t>
      </w:r>
      <w:r>
        <w:rPr>
          <w:color w:val="000000"/>
          <w:u w:color="000000"/>
        </w:rPr>
        <w:br/>
        <w:t>na wniosek określono w ustaleniach szczegółowych rozdziału 3.</w:t>
      </w:r>
    </w:p>
    <w:p w:rsidR="00A77B3E" w:rsidRDefault="006D1B27">
      <w:pPr>
        <w:keepLines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Parametry dotyczące działek uzyskiwanych w wyniku scalania i podziału nieruchomości, określone w ustaleniach szczegółowych dla terenów, nie obo</w:t>
      </w:r>
      <w:r>
        <w:rPr>
          <w:color w:val="000000"/>
          <w:u w:color="000000"/>
        </w:rPr>
        <w:t>wiązują dla działek wydzielonych pod drogi, dojścia i dojazdy oraz pod infrastrukturę techniczną.</w:t>
      </w:r>
    </w:p>
    <w:p w:rsidR="00A77B3E" w:rsidRDefault="006D1B27">
      <w:pPr>
        <w:keepLines/>
        <w:spacing w:before="120"/>
        <w:ind w:firstLine="567"/>
        <w:rPr>
          <w:color w:val="000000"/>
          <w:u w:color="000000"/>
        </w:rPr>
      </w:pPr>
      <w:r>
        <w:lastRenderedPageBreak/>
        <w:t>§ 10. </w:t>
      </w:r>
      <w:r>
        <w:rPr>
          <w:color w:val="000000"/>
          <w:u w:color="000000"/>
        </w:rPr>
        <w:t>Ustala się szczególne warunki zagospodarowania terenów oraz ograniczenia</w:t>
      </w:r>
      <w:r>
        <w:rPr>
          <w:color w:val="000000"/>
          <w:u w:color="000000"/>
        </w:rPr>
        <w:br/>
        <w:t>w ich użytkowaniu: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szczególne warunki zagospodarowania oraz ograniczenia w u</w:t>
      </w:r>
      <w:r>
        <w:rPr>
          <w:color w:val="000000"/>
          <w:u w:color="000000"/>
        </w:rPr>
        <w:t>żytkowaniu stref kontrolowanych od gazociągów wskazanych na rysunku planu określają przepisy odrębne dotyczące lokalizacji sieci gazowych;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nakaz, wynikający z przepisów odrębnych z zakresu lotnictwa, ograniczenia wysokości obiektów naturalnych i sztuczn</w:t>
      </w:r>
      <w:r>
        <w:rPr>
          <w:color w:val="000000"/>
          <w:u w:color="000000"/>
        </w:rPr>
        <w:t>ych, w tym obiektów budowlanych, w ramach poszczególnych terenów, zgodnie ze wskazanymi na rysunku planu powierzchniami ograniczającymi przeszkody wokół Portu Lotniczego Łódź im. Władysława Reymonta: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powierzchnią stożkową wyznaczoną liniami wysokościowy</w:t>
      </w:r>
      <w:r>
        <w:rPr>
          <w:color w:val="000000"/>
          <w:u w:color="000000"/>
        </w:rPr>
        <w:t>mi o rzędnych wskazanych na rysunku planu, zgodnie z zatwierdzonym planem generalnym,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powierzchnią stożkową wyznaczoną liniami wysokościowymi o rzędnych wskazanych na rysunku planu, zgodnie z dokumentacją rejestracyjną lotniska;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przypadku, gdy powi</w:t>
      </w:r>
      <w:r>
        <w:rPr>
          <w:color w:val="000000"/>
          <w:u w:color="000000"/>
        </w:rPr>
        <w:t>erzchnie ograniczające przeszkody, o których mowa w pkt 2, nakładają się na siebie, wysokość maksymalną obiektów stanowi wartość niższa;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ograniczenie wysokości, o którym stanowi pkt 2: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obejmuje również kominy, reklamy, anteny oraz inne urządzenia umi</w:t>
      </w:r>
      <w:r>
        <w:rPr>
          <w:color w:val="000000"/>
          <w:u w:color="000000"/>
        </w:rPr>
        <w:t>eszczane na obiekcie, w tym stanowiące inwestycje celu publicznego z zakresu łączności publicznej,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nie narusza możliwości uzyskania na podstawie przepisów odrębnych z zakresu lotnictwa odstępstwa na powstanie obiektu, którego wysokość przekracza wysokoś</w:t>
      </w:r>
      <w:r>
        <w:rPr>
          <w:color w:val="000000"/>
          <w:u w:color="000000"/>
        </w:rPr>
        <w:t>ć wyznaczoną przez powierzchnie ograniczające przeszkody;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zakazy wynikające z przepisów odrębnych z zakresu lotnictwa: zakaz budowy lub rozbudowy obiektów budowlanych sprzyjających występowaniu zwierząt stwarzających zagrożenie dla ruchu statków powietr</w:t>
      </w:r>
      <w:r>
        <w:rPr>
          <w:color w:val="000000"/>
          <w:u w:color="000000"/>
        </w:rPr>
        <w:t>znych – na obszarze całego planu.</w:t>
      </w:r>
    </w:p>
    <w:p w:rsidR="00A77B3E" w:rsidRDefault="006D1B27">
      <w:pPr>
        <w:keepLines/>
        <w:spacing w:before="120"/>
        <w:ind w:firstLine="567"/>
        <w:rPr>
          <w:color w:val="000000"/>
          <w:u w:color="000000"/>
        </w:rPr>
      </w:pPr>
      <w:r>
        <w:t>§ 11. </w:t>
      </w:r>
      <w:r>
        <w:rPr>
          <w:color w:val="000000"/>
          <w:u w:color="000000"/>
        </w:rPr>
        <w:t>Ustala się następujące zasady modernizacji, rozbudowy i budowy systemów komunikacji oraz obsługi komunikacyjnej terenów przyległych: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ulice zapewniające połączenie obszaru planu z zewnętrznym układem </w:t>
      </w:r>
      <w:r>
        <w:rPr>
          <w:color w:val="000000"/>
          <w:u w:color="000000"/>
        </w:rPr>
        <w:t>komunikacyjnym: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istniejąca ulica lokalna – ul. Andrzeja Struga, położona częściowo poza granicami planu,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istniejąca ulica zbiorcza – al. Tadeusza Kościuszki, położona poza granicami planu;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obsługę komunikacyjną terenów: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 pomocą zjazdów indywi</w:t>
      </w:r>
      <w:r>
        <w:rPr>
          <w:color w:val="000000"/>
          <w:u w:color="000000"/>
        </w:rPr>
        <w:t>dualnych i publicznych z wyznaczonej w planie drogi publicznej 1KDL – ul. Andrzeja Struga, położonej częściowo poza granicami planu, i al. Tadeusza Kościuszki, położonej poza granicami planu, zgodnie z przepisami odrębnymi,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 pomocą dróg, dojść i dojaz</w:t>
      </w:r>
      <w:r>
        <w:rPr>
          <w:color w:val="000000"/>
          <w:u w:color="000000"/>
        </w:rPr>
        <w:t>dów, umożliwiających dostęp do drogi publicznej, zlokalizowanych w terenie placu publicznego oznaczonego symbolem 1PP,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drogi wewnętrznej oznaczonej na rysunku planu symbolem 1KDW,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z dróg wewnętrznych niewyznaczonych na rysunku planu.</w:t>
      </w:r>
    </w:p>
    <w:p w:rsidR="00A77B3E" w:rsidRDefault="006D1B27">
      <w:pPr>
        <w:keepLines/>
        <w:spacing w:before="120"/>
        <w:ind w:firstLine="567"/>
        <w:rPr>
          <w:color w:val="000000"/>
          <w:u w:color="000000"/>
        </w:rPr>
      </w:pPr>
      <w:r>
        <w:t>§ 12. 1. </w:t>
      </w:r>
      <w:r>
        <w:rPr>
          <w:color w:val="000000"/>
          <w:u w:color="000000"/>
        </w:rPr>
        <w:t>Ustala się minimalną liczbę miejsc do parkowania dla samochodów i rowerów dotyczącą nowo projektowanych budynków lub ich części: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samochodów osobowych: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mieszkań w budynkach mieszkalnych lub mieszkalno-usługowych – 1 stanowisko na dwa mieszkani</w:t>
      </w:r>
      <w:r>
        <w:rPr>
          <w:color w:val="000000"/>
          <w:u w:color="000000"/>
        </w:rPr>
        <w:t>a,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hoteli, obiektów zamieszkania zbiorowego – 4 stanowiska na 1 000 m² powierzchni użytkowej,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dla kin, teatrów, sali widowiskowych i budynków gastronomicznych – 10 stanowisk na 1 000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lastRenderedPageBreak/>
        <w:t>d) </w:t>
      </w:r>
      <w:r>
        <w:rPr>
          <w:color w:val="000000"/>
          <w:u w:color="000000"/>
        </w:rPr>
        <w:t>dla muzeów – 2 stanowiska na każde</w:t>
      </w:r>
      <w:r>
        <w:rPr>
          <w:color w:val="000000"/>
          <w:u w:color="000000"/>
        </w:rPr>
        <w:t xml:space="preserve"> 1 000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 xml:space="preserve">dla budynków handlowych, administracji publicznej, biur i pozostałych usług – </w:t>
      </w:r>
      <w:r>
        <w:rPr>
          <w:color w:val="000000"/>
          <w:u w:color="000000"/>
        </w:rPr>
        <w:br/>
        <w:t>5 stanowisk na każde 1 000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rowerów: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mieszkań w budynkach mieszkalnych lub mieszkalno-usługowych – 1 s</w:t>
      </w:r>
      <w:r>
        <w:rPr>
          <w:color w:val="000000"/>
          <w:u w:color="000000"/>
        </w:rPr>
        <w:t>tanowisko na każde mieszkanie,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budynków handlowych – 10 stanowisk na 1 000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użytkowej, nie mniej niż 2 stanowiska,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dla hoteli co najmniej dwugwiazdkowych i pensjonatów – 2 stanowiska na 1 000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 powierzchni użytkowej, nie mniej niż</w:t>
      </w:r>
      <w:r>
        <w:rPr>
          <w:color w:val="000000"/>
          <w:u w:color="000000"/>
        </w:rPr>
        <w:t xml:space="preserve"> 2 stanowiska,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dla pozostałych usług – 5 stanowisk na 1 000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użytkowej, nie mniej niż 2 stanowiska. </w:t>
      </w:r>
    </w:p>
    <w:p w:rsidR="00A77B3E" w:rsidRDefault="006D1B27">
      <w:pPr>
        <w:keepLines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Wymaganą liczbę miejsc do parkowania dla samochodów i rowerów należy określać: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proporcjonalnie względem przyjętej jednostki przelicz</w:t>
      </w:r>
      <w:r>
        <w:rPr>
          <w:color w:val="000000"/>
          <w:u w:color="000000"/>
        </w:rPr>
        <w:t>eniowej i zaokrąglać w górę do kolejnej liczby całkowitej;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poprzez sumowanie ilości miejsc parkingowych wymaganych dla poszczególnych części budynku.</w:t>
      </w:r>
    </w:p>
    <w:p w:rsidR="00A77B3E" w:rsidRDefault="006D1B27">
      <w:pPr>
        <w:keepLines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Nie ustala się liczby miejsc do parkowania dla samochodów i rowerów dotyczącej istniejących budynków</w:t>
      </w:r>
      <w:r>
        <w:rPr>
          <w:color w:val="000000"/>
          <w:u w:color="000000"/>
        </w:rPr>
        <w:t>.</w:t>
      </w:r>
    </w:p>
    <w:p w:rsidR="00A77B3E" w:rsidRDefault="006D1B27">
      <w:pPr>
        <w:keepLines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Na parkingach dla samochodów osobowych liczących więcej niż 5 miejsc przeznaczonych na postój pojazdów minimum 4% ogólnej liczby miejsc, lecz nie mniej niż 1 miejsce postojowe, należy przeznaczyć na parkowanie pojazdów zaopatrzonych w kartę parkingową</w:t>
      </w:r>
      <w:r>
        <w:rPr>
          <w:color w:val="000000"/>
          <w:u w:color="000000"/>
        </w:rPr>
        <w:t>, o której mowa w przepisach o ruchu drogowym, z zastrzeżeniem: dróg publicznych, stref zamieszkania i stref ruchu, dla których minimalną liczbę stanowisk postojowych dla pojazdów zaopatrzonych w kartę parkingową określają przepisy odrębne dotyczące dróg p</w:t>
      </w:r>
      <w:r>
        <w:rPr>
          <w:color w:val="000000"/>
          <w:u w:color="000000"/>
        </w:rPr>
        <w:t>ublicznych.</w:t>
      </w:r>
    </w:p>
    <w:p w:rsidR="00A77B3E" w:rsidRDefault="006D1B27">
      <w:pPr>
        <w:keepLines/>
        <w:ind w:firstLine="567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Dopuszcza się zapewnienie minimalnej ilości miejsc parkingowych dla samochodów, w całości lub części, na nieruchomościach położonych w odległości nie większej niż 200 m od terenu inwestycji.</w:t>
      </w:r>
    </w:p>
    <w:p w:rsidR="00A77B3E" w:rsidRDefault="006D1B27">
      <w:pPr>
        <w:keepLines/>
        <w:ind w:firstLine="567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 xml:space="preserve">Dopuszcza się realizację urządzeń technicznych </w:t>
      </w:r>
      <w:r>
        <w:rPr>
          <w:color w:val="000000"/>
          <w:u w:color="000000"/>
        </w:rPr>
        <w:t>służących nadziemnemu, piętrowemu parkowaniu samochodów w ramach wskazanego w ustaleniach szczegółowych przeznaczenia uzupełniającego terenu – garaże wielostanowiskowe.</w:t>
      </w:r>
    </w:p>
    <w:p w:rsidR="00A77B3E" w:rsidRDefault="006D1B27">
      <w:pPr>
        <w:keepLines/>
        <w:ind w:firstLine="567"/>
        <w:rPr>
          <w:color w:val="000000"/>
          <w:u w:color="000000"/>
        </w:rPr>
      </w:pPr>
      <w:r>
        <w:t>7. </w:t>
      </w:r>
      <w:r>
        <w:rPr>
          <w:color w:val="000000"/>
          <w:u w:color="000000"/>
        </w:rPr>
        <w:t>Na obszarze planu ustala się maksymalną wielkość parkingu powierzchniowego – 30 miej</w:t>
      </w:r>
      <w:r>
        <w:rPr>
          <w:color w:val="000000"/>
          <w:u w:color="000000"/>
        </w:rPr>
        <w:t>sc postojowych dla samochodów.</w:t>
      </w:r>
    </w:p>
    <w:p w:rsidR="00A77B3E" w:rsidRDefault="006D1B27">
      <w:pPr>
        <w:keepLines/>
        <w:spacing w:before="120"/>
        <w:ind w:firstLine="567"/>
        <w:rPr>
          <w:color w:val="000000"/>
          <w:u w:color="000000"/>
        </w:rPr>
      </w:pPr>
      <w:r>
        <w:t>§ 13. 1. </w:t>
      </w:r>
      <w:r>
        <w:rPr>
          <w:color w:val="000000"/>
          <w:u w:color="000000"/>
        </w:rPr>
        <w:t>Ustala się następujące zasady modernizacji, rozbudowy i budowy systemów infrastruktury technicznej: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wyposażanie terenów w sieci i urządzenia infrastruktury technicznej w oparciu o istniejące systemy infrastruktury</w:t>
      </w:r>
      <w:r>
        <w:rPr>
          <w:color w:val="000000"/>
          <w:u w:color="000000"/>
        </w:rPr>
        <w:t xml:space="preserve"> technicznej, ich przebudowę i rozbudowę, a także budowę nowych systemów;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nakaz lokalizacji sieci i urządzeń infrastruktury technicznej w terenach dróg oraz placu publicznego w sposób jak najmniej kolidujący z istniejącą roślinnością;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dopuszczenie lo</w:t>
      </w:r>
      <w:r>
        <w:rPr>
          <w:color w:val="000000"/>
          <w:u w:color="000000"/>
        </w:rPr>
        <w:t>kalizacji sieci i urządzeń infrastruktury technicznej w terenach o innym przeznaczeniu: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związanych z bezpośrednią obsługą zabudowy i zagospodarowania tych terenów,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niezwiązanych z bezpośrednią obsługą zabudowy i zagospodarowania tych terenów w sposób</w:t>
      </w:r>
      <w:r>
        <w:rPr>
          <w:color w:val="000000"/>
          <w:u w:color="000000"/>
        </w:rPr>
        <w:t xml:space="preserve"> niewykluczający realizacji zabudowy od strony przestrzeni publicznej, zgodnie z ustaleniami planu;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nakaz lokalizacji nowych oraz przebudowywanych i rozbudowywanych sieci infrastruktury technicznej jako podziemnych, z wyłączeniem stacji transformatorowy</w:t>
      </w:r>
      <w:r>
        <w:rPr>
          <w:color w:val="000000"/>
          <w:u w:color="000000"/>
        </w:rPr>
        <w:t xml:space="preserve">ch zlokalizowanych </w:t>
      </w:r>
      <w:r>
        <w:rPr>
          <w:color w:val="000000"/>
          <w:u w:color="000000"/>
        </w:rPr>
        <w:lastRenderedPageBreak/>
        <w:t>poza przestrzeniami publicznymi oraz przewodów, które jedynie jako nadziemne umożliwiają korzystanie z określonych urządzeń i pojazdów.</w:t>
      </w:r>
    </w:p>
    <w:p w:rsidR="00A77B3E" w:rsidRDefault="006D1B27">
      <w:pPr>
        <w:keepLines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Określa się warunki powiązań sieci infrastruktury technicznej na obszarze planu z układem zewnętrz</w:t>
      </w:r>
      <w:r>
        <w:rPr>
          <w:color w:val="000000"/>
          <w:u w:color="000000"/>
        </w:rPr>
        <w:t>nym: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podstawowe źródło zaopatrzenia w wodę – przewody magistrali wodociągowej zlokalizowane wzdłuż al. Adama Mickiewicza;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podstawowy odbiornik ścieków komunalnych – Kolektor IIc biegnący wzdłuż ul. Andrzeja Struga na odcinku od al. Tadeusza Kościuszk</w:t>
      </w:r>
      <w:r>
        <w:rPr>
          <w:color w:val="000000"/>
          <w:u w:color="000000"/>
        </w:rPr>
        <w:t>i do ul. Piotrkowskiej;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podstawowe źródło zaopatrzenia w gaz – gazociąg niskiego ciśnienia</w:t>
      </w:r>
      <w:r>
        <w:rPr>
          <w:color w:val="000000"/>
          <w:u w:color="000000"/>
        </w:rPr>
        <w:br/>
        <w:t>Dn 160 zlokalizowany w ul. Andrzeja Struga;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podstawowe źródło zaopatrzenia w ciepło – magistrale wody gorącej</w:t>
      </w:r>
      <w:r>
        <w:rPr>
          <w:color w:val="000000"/>
          <w:u w:color="000000"/>
        </w:rPr>
        <w:br/>
        <w:t>2 x Dn 300 zlokalizowane w al. Tadeusza Kościuszk</w:t>
      </w:r>
      <w:r>
        <w:rPr>
          <w:color w:val="000000"/>
          <w:u w:color="000000"/>
        </w:rPr>
        <w:t>i;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podstawowe źródła zaopatrzenia w energię elektryczną – Rejonowy Punkt Zasilania Śródmieście 110/15 kV oraz Rejonowy Punkt Zasilania Łąkowa 110/15 kV.</w:t>
      </w:r>
    </w:p>
    <w:p w:rsidR="00A77B3E" w:rsidRDefault="006D1B27">
      <w:pPr>
        <w:keepLines/>
        <w:spacing w:before="120"/>
        <w:ind w:firstLine="567"/>
        <w:rPr>
          <w:color w:val="000000"/>
          <w:u w:color="000000"/>
        </w:rPr>
      </w:pPr>
      <w:r>
        <w:t>§ 14. </w:t>
      </w:r>
      <w:r>
        <w:rPr>
          <w:color w:val="000000"/>
          <w:u w:color="000000"/>
        </w:rPr>
        <w:t>Ustala się wysokość stawki procentowej służącej określeniu opłaty, o której mowa w art. 36 ust</w:t>
      </w:r>
      <w:r>
        <w:rPr>
          <w:color w:val="000000"/>
          <w:u w:color="000000"/>
        </w:rPr>
        <w:t>. 4 ustawy, wynoszącą 30% dla wszystkich terenów.</w:t>
      </w:r>
    </w:p>
    <w:p w:rsidR="00A77B3E" w:rsidRDefault="006D1B27">
      <w:pPr>
        <w:keepLines/>
        <w:spacing w:before="120"/>
        <w:ind w:firstLine="567"/>
        <w:rPr>
          <w:color w:val="000000"/>
          <w:u w:color="000000"/>
        </w:rPr>
      </w:pPr>
      <w:r>
        <w:t>§ 15. 1. </w:t>
      </w:r>
      <w:r>
        <w:rPr>
          <w:color w:val="000000"/>
          <w:u w:color="000000"/>
        </w:rPr>
        <w:t>Ustala się granice terenu rozmieszczenia inwestycji celu publicznego</w:t>
      </w:r>
      <w:r>
        <w:rPr>
          <w:color w:val="000000"/>
          <w:u w:color="000000"/>
        </w:rPr>
        <w:br/>
        <w:t>o znaczeniu lokalnym, które stanowią wskazane na rysunku planu linie rozgraniczające terenów: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drogi publicznej oznaczonej sym</w:t>
      </w:r>
      <w:r>
        <w:rPr>
          <w:color w:val="000000"/>
          <w:u w:color="000000"/>
        </w:rPr>
        <w:t>bolem 1KDL;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publicznie dostępnego samorządowego placu publicznego oznaczonego symbolem 1PP.</w:t>
      </w:r>
    </w:p>
    <w:p w:rsidR="00A77B3E" w:rsidRDefault="006D1B27">
      <w:pPr>
        <w:keepLines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Dopuszcza się lokalizację inwestycji celu publicznego o znaczeniu lokalnym w granicach terenów niewymienionych w ust. 1 pod warunkiem ich zgodności z przeznac</w:t>
      </w:r>
      <w:r>
        <w:rPr>
          <w:color w:val="000000"/>
          <w:u w:color="000000"/>
        </w:rPr>
        <w:t>zeniem terenów.</w:t>
      </w:r>
    </w:p>
    <w:p w:rsidR="00A77B3E" w:rsidRDefault="006D1B27">
      <w:pPr>
        <w:keepNext/>
        <w:keepLines/>
        <w:spacing w:before="280" w:after="280"/>
        <w:jc w:val="center"/>
        <w:rPr>
          <w:color w:val="000000"/>
          <w:u w:color="000000"/>
        </w:rPr>
      </w:pPr>
      <w:r>
        <w:rPr>
          <w:b/>
        </w:rPr>
        <w:t>Rozdział 3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 dla terenów</w:t>
      </w:r>
    </w:p>
    <w:p w:rsidR="00A77B3E" w:rsidRDefault="006D1B27">
      <w:pPr>
        <w:keepLines/>
        <w:spacing w:before="120"/>
        <w:ind w:firstLine="567"/>
        <w:rPr>
          <w:color w:val="000000"/>
          <w:u w:color="000000"/>
        </w:rPr>
      </w:pPr>
      <w:r>
        <w:t>§ 16. 1. </w:t>
      </w:r>
      <w:r>
        <w:rPr>
          <w:color w:val="000000"/>
          <w:u w:color="000000"/>
        </w:rPr>
        <w:t xml:space="preserve">Dla terenów oznaczonych na rysunku planu symbolami: </w:t>
      </w:r>
      <w:r>
        <w:rPr>
          <w:b/>
          <w:color w:val="000000"/>
          <w:u w:color="000000"/>
        </w:rPr>
        <w:t xml:space="preserve">2MW/U, 3MW/U i 4MW/U </w:t>
      </w:r>
      <w:r>
        <w:rPr>
          <w:color w:val="000000"/>
          <w:u w:color="000000"/>
        </w:rPr>
        <w:t>obowiązują ustalenia zawarte w kolejnych ustępach niniejszego paragrafu.</w:t>
      </w:r>
    </w:p>
    <w:p w:rsidR="00A77B3E" w:rsidRDefault="006D1B27">
      <w:pPr>
        <w:keepLines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 xml:space="preserve">W zakresie przeznaczenia terenu </w:t>
      </w:r>
      <w:r>
        <w:rPr>
          <w:color w:val="000000"/>
          <w:u w:color="000000"/>
        </w:rPr>
        <w:t>ustala się: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podstawowe: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tereny zabudowy mieszkaniowej wielorodzinnej,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tereny zabudowy usługowej;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garaże wielostanowiskowe,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infrastruktura techniczna.</w:t>
      </w:r>
    </w:p>
    <w:p w:rsidR="00A77B3E" w:rsidRDefault="006D1B27">
      <w:pPr>
        <w:keepLines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</w:t>
      </w:r>
      <w:r>
        <w:rPr>
          <w:color w:val="000000"/>
          <w:u w:color="000000"/>
        </w:rPr>
        <w:t>zagospodarowania terenu oraz zasad ochrony</w:t>
      </w:r>
      <w:r>
        <w:rPr>
          <w:color w:val="000000"/>
          <w:u w:color="000000"/>
        </w:rPr>
        <w:br/>
        <w:t>i kształtowania ładu przestrzennego ustala się: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wskaźniki zagospodarowania terenu: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wskaźnik powierzchni zabudowy: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terenie 3MW/U: maksimum 65%,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terenach 2MW/U i 4MW/U: maksimum 100%,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intensywność z</w:t>
      </w:r>
      <w:r>
        <w:rPr>
          <w:color w:val="000000"/>
          <w:u w:color="000000"/>
        </w:rPr>
        <w:t>abudowy: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terenie 2MW/U: minimum 1,0, maksimum 4,5,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terenie 3MW/U: minimum 1,0, maksimum 4,0,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terenie 4MW/U: minimum 1,0, maksimum 6,0,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lastRenderedPageBreak/>
        <w:t>c) </w:t>
      </w:r>
      <w:r>
        <w:rPr>
          <w:color w:val="000000"/>
          <w:u w:color="000000"/>
        </w:rPr>
        <w:t>dla inwestycji, których przedmiotem jest realizacja budynku, w którym funkcja parkingowa realizowana będzi</w:t>
      </w:r>
      <w:r>
        <w:rPr>
          <w:color w:val="000000"/>
          <w:u w:color="000000"/>
        </w:rPr>
        <w:t>e w pierwszej kondygnacji nadziemnej</w:t>
      </w:r>
      <w:r>
        <w:rPr>
          <w:color w:val="000000"/>
          <w:u w:color="000000"/>
        </w:rPr>
        <w:br/>
        <w:t>i powierzchni zabudowy stanowiącej co najmniej połowę powierzchni działki, a także będzie realizowane przekrycie podwórzy i dziedzińców zadaszeniami, dopuszcza się zwiększenie maksymalnych wskaźników: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powierzchni zabu</w:t>
      </w:r>
      <w:r>
        <w:rPr>
          <w:color w:val="000000"/>
          <w:u w:color="000000"/>
        </w:rPr>
        <w:t>dowy do 100%,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intensywność zabudowy o 0,4,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wskaźnik powierzchni biologicznie czynnej: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terenie 2MW/U:</w:t>
      </w:r>
    </w:p>
    <w:p w:rsidR="00A77B3E" w:rsidRDefault="006D1B27">
      <w:pPr>
        <w:keepLines/>
        <w:ind w:left="1134" w:hanging="227"/>
        <w:rPr>
          <w:color w:val="000000"/>
          <w:u w:color="000000"/>
        </w:rPr>
      </w:pPr>
      <w:r>
        <w:t>-- </w:t>
      </w:r>
      <w:r>
        <w:rPr>
          <w:color w:val="000000"/>
          <w:u w:color="000000"/>
        </w:rPr>
        <w:t>dla zabudowy usługowej – minimum 5%,</w:t>
      </w:r>
    </w:p>
    <w:p w:rsidR="00A77B3E" w:rsidRDefault="006D1B27">
      <w:pPr>
        <w:keepLines/>
        <w:ind w:left="1134" w:hanging="227"/>
        <w:rPr>
          <w:color w:val="000000"/>
          <w:u w:color="000000"/>
        </w:rPr>
      </w:pPr>
      <w:r>
        <w:t>-- </w:t>
      </w:r>
      <w:r>
        <w:rPr>
          <w:color w:val="000000"/>
          <w:u w:color="000000"/>
        </w:rPr>
        <w:t>dla zabudowy mieszkaniowo-usługowej – minimum 15%,</w:t>
      </w:r>
    </w:p>
    <w:p w:rsidR="00A77B3E" w:rsidRDefault="006D1B27">
      <w:pPr>
        <w:keepLines/>
        <w:ind w:left="1134" w:hanging="227"/>
        <w:rPr>
          <w:color w:val="000000"/>
          <w:u w:color="000000"/>
        </w:rPr>
      </w:pPr>
      <w:r>
        <w:t>-- </w:t>
      </w:r>
      <w:r>
        <w:rPr>
          <w:color w:val="000000"/>
          <w:u w:color="000000"/>
        </w:rPr>
        <w:t>dla zabudowy mieszkaniowej – minimum 15%,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w </w:t>
      </w:r>
      <w:r>
        <w:rPr>
          <w:color w:val="000000"/>
          <w:u w:color="000000"/>
        </w:rPr>
        <w:t>terenie 3MW/U: minimum 15%,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terenie 4MW/U: minimum 0%;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parametry kształtowania zabudowy: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wysokość zabudowy: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terenie 2MW/U:</w:t>
      </w:r>
    </w:p>
    <w:p w:rsidR="00A77B3E" w:rsidRDefault="006D1B27">
      <w:pPr>
        <w:keepLines/>
        <w:ind w:left="1134" w:hanging="227"/>
        <w:rPr>
          <w:color w:val="000000"/>
          <w:u w:color="000000"/>
        </w:rPr>
      </w:pPr>
      <w:r>
        <w:t>-- </w:t>
      </w:r>
      <w:r>
        <w:rPr>
          <w:color w:val="000000"/>
          <w:u w:color="000000"/>
        </w:rPr>
        <w:tab/>
        <w:t>w strefie A oznaczonej na rysunku planu – minimum 10,0 m, maksimum 25,0 m,</w:t>
      </w:r>
    </w:p>
    <w:p w:rsidR="00A77B3E" w:rsidRDefault="006D1B27">
      <w:pPr>
        <w:keepLines/>
        <w:ind w:left="1134" w:hanging="227"/>
        <w:rPr>
          <w:color w:val="000000"/>
          <w:u w:color="000000"/>
        </w:rPr>
      </w:pPr>
      <w:r>
        <w:t>-- </w:t>
      </w:r>
      <w:r>
        <w:rPr>
          <w:color w:val="000000"/>
          <w:u w:color="000000"/>
        </w:rPr>
        <w:tab/>
        <w:t>dla zabudowy (zlokalizowanej poza st</w:t>
      </w:r>
      <w:r>
        <w:rPr>
          <w:color w:val="000000"/>
          <w:u w:color="000000"/>
        </w:rPr>
        <w:t>refą A) w pasie o szerokości 15,0 m od północnej linii rozgraniczającej z terenem placu publicznego, oznaczonego symbolem 1PP, oraz od linii rozgraniczającej pokrywającej się z zachodnią granicą planu – minimum 10,0 m, maksimum 20,0 m,</w:t>
      </w:r>
    </w:p>
    <w:p w:rsidR="00A77B3E" w:rsidRDefault="006D1B27">
      <w:pPr>
        <w:keepLines/>
        <w:ind w:left="1134" w:hanging="227"/>
        <w:rPr>
          <w:color w:val="000000"/>
          <w:u w:color="000000"/>
        </w:rPr>
      </w:pPr>
      <w:r>
        <w:t>-- </w:t>
      </w:r>
      <w:r>
        <w:rPr>
          <w:color w:val="000000"/>
          <w:u w:color="000000"/>
        </w:rPr>
        <w:tab/>
        <w:t>dla pozostałej z</w:t>
      </w:r>
      <w:r>
        <w:rPr>
          <w:color w:val="000000"/>
          <w:u w:color="000000"/>
        </w:rPr>
        <w:t>abudowy – maksimum 22,0 m,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terenie 3MW/U: minimum 10,0 m, maksimum 25,0 m,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terenie 4MW/U:</w:t>
      </w:r>
    </w:p>
    <w:p w:rsidR="00A77B3E" w:rsidRDefault="006D1B27">
      <w:pPr>
        <w:keepLines/>
        <w:ind w:left="1134" w:hanging="227"/>
        <w:rPr>
          <w:color w:val="000000"/>
          <w:u w:color="000000"/>
        </w:rPr>
      </w:pPr>
      <w:r>
        <w:t>-- </w:t>
      </w:r>
      <w:r>
        <w:rPr>
          <w:color w:val="000000"/>
          <w:u w:color="000000"/>
        </w:rPr>
        <w:tab/>
        <w:t>dla zabudowy w pasie o szerokości 15,0 m od linii rozgraniczającej pokrywającej się z północną granicą planu – minimum 10,0 m, maksimum 20,0 m,</w:t>
      </w:r>
    </w:p>
    <w:p w:rsidR="00A77B3E" w:rsidRDefault="006D1B27">
      <w:pPr>
        <w:keepLines/>
        <w:ind w:left="1134" w:hanging="227"/>
        <w:rPr>
          <w:color w:val="000000"/>
          <w:u w:color="000000"/>
        </w:rPr>
      </w:pPr>
      <w:r>
        <w:t>-- </w:t>
      </w:r>
      <w:r>
        <w:rPr>
          <w:color w:val="000000"/>
          <w:u w:color="000000"/>
        </w:rPr>
        <w:t>dla zab</w:t>
      </w:r>
      <w:r>
        <w:rPr>
          <w:color w:val="000000"/>
          <w:u w:color="000000"/>
        </w:rPr>
        <w:t>udowy w pasie o szerokości 65,0 m od zachodniej granicy planu – minimum 10,0 m, maksimum 25,0 m,</w:t>
      </w:r>
    </w:p>
    <w:p w:rsidR="00A77B3E" w:rsidRDefault="006D1B27">
      <w:pPr>
        <w:keepLines/>
        <w:ind w:left="1134" w:hanging="227"/>
        <w:rPr>
          <w:color w:val="000000"/>
          <w:u w:color="000000"/>
        </w:rPr>
      </w:pPr>
      <w:r>
        <w:t>-- </w:t>
      </w:r>
      <w:r>
        <w:rPr>
          <w:color w:val="000000"/>
          <w:u w:color="000000"/>
        </w:rPr>
        <w:tab/>
        <w:t>dla pozostałej zabudowy – maksimum 22,0 m,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wysokość parteru budynku sytuowanego w linii rozgraniczającej z terenem przestrzeni publicznej: 4,0</w:t>
      </w:r>
      <w:r>
        <w:rPr>
          <w:color w:val="000000"/>
          <w:u w:color="000000"/>
        </w:rPr>
        <w:t xml:space="preserve"> m,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dachy płaskie lub wielospadowe o kącie nachylenia połaci dachowych do 35º i o przebiegu kalenicy w budynkach sytuowanych w linii zabudowy równoległej, pierzejowej lub obowiązującej równoległym do tej linii.</w:t>
      </w:r>
    </w:p>
    <w:p w:rsidR="00A77B3E" w:rsidRDefault="006D1B27">
      <w:pPr>
        <w:keepLines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Określa się minimalną powierzchnię nowo</w:t>
      </w:r>
      <w:r>
        <w:rPr>
          <w:color w:val="000000"/>
          <w:u w:color="000000"/>
        </w:rPr>
        <w:t xml:space="preserve"> wydzielonych działek budowlanych: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terenie 2MW/U: 1400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terenie 3MW/U: 1000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terenie 4MW/U: 500 m</w:t>
      </w:r>
      <w:r>
        <w:rPr>
          <w:color w:val="000000"/>
          <w:u w:color="000000"/>
          <w:vertAlign w:val="superscript"/>
        </w:rPr>
        <w:t>2</w:t>
      </w:r>
    </w:p>
    <w:p w:rsidR="00A77B3E" w:rsidRDefault="006D1B27">
      <w:pPr>
        <w:keepLines/>
        <w:ind w:left="227" w:hanging="113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 xml:space="preserve">parametry te nie dotyczą działek wydzielonych pod drogi, dojścia i dojazdy oraz pod infrastrukturę techniczną, a także działek </w:t>
      </w:r>
      <w:r>
        <w:rPr>
          <w:color w:val="000000"/>
          <w:u w:color="000000"/>
        </w:rPr>
        <w:t>powstałych w wyniku podziałów prowadzonych po wyznaczonych na rysunku planu liniach rozgraniczających.</w:t>
      </w:r>
    </w:p>
    <w:p w:rsidR="00A77B3E" w:rsidRDefault="006D1B27">
      <w:pPr>
        <w:keepLines/>
        <w:ind w:firstLine="567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W zakresie szczegółowych zasad i warunków scalania i podziału nieruchomości ustala się: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powierzchnię działki: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 terenie 2MW/U: minimum 900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 terenie 3MW/U: minimum 1000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 terenie 4MW/U: minimum 500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szerokość frontu działki: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 terenach 2MW/U i 3MW/U: minimum 21 m,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lastRenderedPageBreak/>
        <w:t>b) </w:t>
      </w:r>
      <w:r>
        <w:rPr>
          <w:color w:val="000000"/>
          <w:u w:color="000000"/>
        </w:rPr>
        <w:t>w terenie 4MW/U: minimum 65 m;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położenia granic działki w stosunku do pasa drogowego: 90º z tolerancj</w:t>
      </w:r>
      <w:r>
        <w:rPr>
          <w:color w:val="000000"/>
          <w:u w:color="000000"/>
        </w:rPr>
        <w:t>ą 2º.</w:t>
      </w:r>
    </w:p>
    <w:p w:rsidR="00A77B3E" w:rsidRDefault="006D1B27">
      <w:pPr>
        <w:keepLines/>
        <w:spacing w:before="120"/>
        <w:ind w:firstLine="567"/>
        <w:rPr>
          <w:color w:val="000000"/>
          <w:u w:color="000000"/>
        </w:rPr>
      </w:pPr>
      <w:r>
        <w:t>§ 17. 1. </w:t>
      </w:r>
      <w:r>
        <w:rPr>
          <w:color w:val="000000"/>
          <w:u w:color="000000"/>
        </w:rPr>
        <w:t xml:space="preserve">Dla terenu oznaczonego na rysunku planu symbolem </w:t>
      </w:r>
      <w:r>
        <w:rPr>
          <w:b/>
          <w:color w:val="000000"/>
          <w:u w:color="000000"/>
        </w:rPr>
        <w:t xml:space="preserve">5MW/U/KSp </w:t>
      </w:r>
      <w:r>
        <w:rPr>
          <w:color w:val="000000"/>
          <w:u w:color="000000"/>
        </w:rPr>
        <w:t>obowiązują ustalenia zawarte w kolejnych ustępach niniejszego paragrafu.</w:t>
      </w:r>
    </w:p>
    <w:p w:rsidR="00A77B3E" w:rsidRDefault="006D1B27">
      <w:pPr>
        <w:keepLines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podstawowe: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tereny zabudowy mieszkaniowej </w:t>
      </w:r>
      <w:r>
        <w:rPr>
          <w:color w:val="000000"/>
          <w:u w:color="000000"/>
        </w:rPr>
        <w:t>wielorodzinnej,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tereny zabudowy usługowej,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tereny garaży wielostanowiskowych;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infrastruktura techniczna.</w:t>
      </w:r>
    </w:p>
    <w:p w:rsidR="00A77B3E" w:rsidRDefault="006D1B27">
      <w:pPr>
        <w:keepLines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zagospodarowania terenu oraz zasad ochrony</w:t>
      </w:r>
      <w:r>
        <w:rPr>
          <w:color w:val="000000"/>
          <w:u w:color="000000"/>
        </w:rPr>
        <w:br/>
        <w:t>i kształtowania ładu przestrzennego</w:t>
      </w:r>
      <w:r>
        <w:rPr>
          <w:color w:val="000000"/>
          <w:u w:color="000000"/>
        </w:rPr>
        <w:t xml:space="preserve"> ustala się: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wskaźniki zagospodarowania terenu: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wskaźnik powierzchni zabudowy: maksimum 100%,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intensywność zabudowy: minimum 1,0 maksimum 6,0,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 xml:space="preserve">dla inwestycji, których przedmiotem jest realizacja budynku, w którym funkcja parkingowa realizowana </w:t>
      </w:r>
      <w:r>
        <w:rPr>
          <w:color w:val="000000"/>
          <w:u w:color="000000"/>
        </w:rPr>
        <w:t>będzie w pierwszej kondygnacji nadziemnej</w:t>
      </w:r>
      <w:r>
        <w:rPr>
          <w:color w:val="000000"/>
          <w:u w:color="000000"/>
        </w:rPr>
        <w:br/>
        <w:t>i powierzchni zabudowy stanowiącej co najmniej połowę powierzchni działki, a także będzie realizowane przekrycie podwórzy i dziedzińców zadaszeniami, dopuszcza się zwiększenie maksymalnego wskaźnika intensywności z</w:t>
      </w:r>
      <w:r>
        <w:rPr>
          <w:color w:val="000000"/>
          <w:u w:color="000000"/>
        </w:rPr>
        <w:t>abudowy o 0,4,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wskaźnik powierzchni biologicznie czynnej: minimum 0%;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parametry kształtowania zabudowy: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wysokość zabudowy: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dla zabudowy w pasie o szerokości 5,0 m od linii rozgraniczającej pokrywającej się z zachodnią granicą planu – minimum 10,</w:t>
      </w:r>
      <w:r>
        <w:rPr>
          <w:color w:val="000000"/>
          <w:u w:color="000000"/>
        </w:rPr>
        <w:t>0 m, maksimum 20,0 m, z dopuszczeniem zwiększenia maksymalnej wysokości o wartość równą odległości zabudowy od linii rozgraniczającej, nie więcej jednak niż do 25,0 m,</w:t>
      </w:r>
    </w:p>
    <w:p w:rsidR="00A77B3E" w:rsidRDefault="006D1B27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dla pozostałej zabudowy – minimum 10,0 m, maksimum 25,0 m,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minimalna wysokość </w:t>
      </w:r>
      <w:r>
        <w:rPr>
          <w:color w:val="000000"/>
          <w:u w:color="000000"/>
        </w:rPr>
        <w:t>parteru budynku sytuowanego w linii zabudowy pierzejowej: 4,0 m,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dachy płaskie lub wielospadowe o kącie nachylenia połaci dachowych do 35º, i o przebiegu kalenicy w budynkach sytuowanych w linii zabudowy pierzejowej równoległym do tej linii.</w:t>
      </w:r>
    </w:p>
    <w:p w:rsidR="00A77B3E" w:rsidRDefault="006D1B27">
      <w:pPr>
        <w:keepLines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 xml:space="preserve">Określa </w:t>
      </w:r>
      <w:r>
        <w:rPr>
          <w:color w:val="000000"/>
          <w:u w:color="000000"/>
        </w:rPr>
        <w:t>się minimalną powierzchnię nowo wydzielonych działek budowlanych – 500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 Parametr ten nie dotyczy działek wydzielonych pod drogi, dojścia i dojazdy oraz pod infrastrukturę techniczną, a także działek powstałych w wyniku podziałów prowadzonych po wyznaczo</w:t>
      </w:r>
      <w:r>
        <w:rPr>
          <w:color w:val="000000"/>
          <w:u w:color="000000"/>
        </w:rPr>
        <w:t>nych na rysunku planu liniach rozgraniczających.</w:t>
      </w:r>
    </w:p>
    <w:p w:rsidR="00A77B3E" w:rsidRDefault="006D1B27">
      <w:pPr>
        <w:keepLines/>
        <w:ind w:firstLine="567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W zakresie szczegółowych zasad i warunków scalania i podziału nieruchomości ustala się: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powierzchnię działki: minimum 500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szerokość frontu działki: minimum 17,0 m;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położenia granic działk</w:t>
      </w:r>
      <w:r>
        <w:rPr>
          <w:color w:val="000000"/>
          <w:u w:color="000000"/>
        </w:rPr>
        <w:t>i w stosunku do pasa drogowego: 90º z tolerancją 1º.</w:t>
      </w:r>
    </w:p>
    <w:p w:rsidR="00A77B3E" w:rsidRDefault="006D1B27">
      <w:pPr>
        <w:keepLines/>
        <w:spacing w:before="120"/>
        <w:ind w:firstLine="567"/>
        <w:rPr>
          <w:color w:val="000000"/>
          <w:u w:color="000000"/>
        </w:rPr>
      </w:pPr>
      <w:r>
        <w:t>§ 18. 1. </w:t>
      </w:r>
      <w:r>
        <w:rPr>
          <w:color w:val="000000"/>
          <w:u w:color="000000"/>
        </w:rPr>
        <w:t xml:space="preserve">Dla terenu oznaczonego na rysunku planu symbolem </w:t>
      </w:r>
      <w:r>
        <w:rPr>
          <w:b/>
          <w:color w:val="000000"/>
          <w:u w:color="000000"/>
        </w:rPr>
        <w:t xml:space="preserve">6KSp </w:t>
      </w:r>
      <w:r>
        <w:rPr>
          <w:color w:val="000000"/>
          <w:u w:color="000000"/>
        </w:rPr>
        <w:t>obowiązują ustalenia zawarte w kolejnych ustępach niniejszego paragrafu.</w:t>
      </w:r>
    </w:p>
    <w:p w:rsidR="00A77B3E" w:rsidRDefault="006D1B27">
      <w:pPr>
        <w:keepLines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przeznaczenie </w:t>
      </w:r>
      <w:r>
        <w:rPr>
          <w:color w:val="000000"/>
          <w:u w:color="000000"/>
        </w:rPr>
        <w:t>podstawowe – tereny garaży wielostanowiskowych;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tereny zabudowy usługowej,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infrastruktura techniczna.</w:t>
      </w:r>
    </w:p>
    <w:p w:rsidR="00A77B3E" w:rsidRDefault="006D1B27">
      <w:pPr>
        <w:keepLines/>
        <w:ind w:firstLine="567"/>
        <w:rPr>
          <w:color w:val="000000"/>
          <w:u w:color="000000"/>
        </w:rPr>
      </w:pPr>
      <w:r>
        <w:lastRenderedPageBreak/>
        <w:t>3. </w:t>
      </w:r>
      <w:r>
        <w:rPr>
          <w:color w:val="000000"/>
          <w:u w:color="000000"/>
        </w:rPr>
        <w:t>W zakresie warunków zabudowy i zagospodarowania terenu oraz zasad ochrony</w:t>
      </w:r>
      <w:r>
        <w:rPr>
          <w:color w:val="000000"/>
          <w:u w:color="000000"/>
        </w:rPr>
        <w:br/>
        <w:t>i kształtowania ładu przestrzennego ust</w:t>
      </w:r>
      <w:r>
        <w:rPr>
          <w:color w:val="000000"/>
          <w:u w:color="000000"/>
        </w:rPr>
        <w:t>ala się: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wskaźniki zagospodarowania terenu: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wskaźnik powierzchni zabudowy: maksimum 100%,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intensywność zabudowy: minimum 2,0 maksimum 7,0,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wskaźnik powierzchni biologicznie czynnej: minimum 0%;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parametry kształtowania zabudowy: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wysokość z</w:t>
      </w:r>
      <w:r>
        <w:rPr>
          <w:color w:val="000000"/>
          <w:u w:color="000000"/>
        </w:rPr>
        <w:t>abudowy: minimum 10,0 m, maksimum 22,0 m,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wysokość parteru budynku w części przeznaczonej dla usług, sytuowanego w linii zabudowy pierzejowej: 4,0 m,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dachy płaskie.</w:t>
      </w:r>
    </w:p>
    <w:p w:rsidR="00A77B3E" w:rsidRDefault="006D1B27">
      <w:pPr>
        <w:keepLines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Określa się minimalną powierzchnię nowo wydzielonych działek budowlanych</w:t>
      </w:r>
      <w:r>
        <w:rPr>
          <w:color w:val="000000"/>
          <w:u w:color="000000"/>
        </w:rPr>
        <w:t xml:space="preserve"> – 1000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 Parametr ten nie dotyczy działek wydzielonych pod drogi, dojścia i dojazdy oraz pod infrastrukturę techniczną, a także działek powstałych w wyniku podziałów prowadzonych po wyznaczonych na rysunku planu liniach rozgraniczających.</w:t>
      </w:r>
    </w:p>
    <w:p w:rsidR="00A77B3E" w:rsidRDefault="006D1B27">
      <w:pPr>
        <w:keepLines/>
        <w:ind w:firstLine="567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 xml:space="preserve">W zakresie </w:t>
      </w:r>
      <w:r>
        <w:rPr>
          <w:color w:val="000000"/>
          <w:u w:color="000000"/>
        </w:rPr>
        <w:t>szczegółowych zasad i warunków scalania i podziału nieruchomości ustala się: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powierzchnię działki: minimum 1000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szerokość frontu działki: minimum 70,0 m;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położenia granic działki w stosunku do pasa drogowego: 90º z tolerancją 1º.</w:t>
      </w:r>
    </w:p>
    <w:p w:rsidR="00A77B3E" w:rsidRDefault="006D1B27">
      <w:pPr>
        <w:keepLines/>
        <w:spacing w:before="120"/>
        <w:ind w:firstLine="567"/>
        <w:rPr>
          <w:color w:val="000000"/>
          <w:u w:color="000000"/>
        </w:rPr>
      </w:pPr>
      <w:r>
        <w:t>§ 19. 1. </w:t>
      </w:r>
      <w:r>
        <w:rPr>
          <w:color w:val="000000"/>
          <w:u w:color="000000"/>
        </w:rPr>
        <w:t xml:space="preserve">Dla terenu oznaczonego na rysunku planu symbolem </w:t>
      </w:r>
      <w:r>
        <w:rPr>
          <w:b/>
          <w:color w:val="000000"/>
          <w:u w:color="000000"/>
        </w:rPr>
        <w:t xml:space="preserve">1PP </w:t>
      </w:r>
      <w:r>
        <w:rPr>
          <w:color w:val="000000"/>
          <w:u w:color="000000"/>
        </w:rPr>
        <w:t>obowiązują ustalenia zawarte w kolejnych ustępach niniejszego paragrafu.</w:t>
      </w:r>
    </w:p>
    <w:p w:rsidR="00A77B3E" w:rsidRDefault="006D1B27">
      <w:pPr>
        <w:keepLines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tereny placów publicznych;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przeznaczenie </w:t>
      </w:r>
      <w:r>
        <w:rPr>
          <w:color w:val="000000"/>
          <w:u w:color="000000"/>
        </w:rPr>
        <w:t>uzupełniające: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drogi wewnętrzne, dojścia i dojazdy,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miejsca postojowe dla rowerów,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infrastruktura techniczna.</w:t>
      </w:r>
    </w:p>
    <w:p w:rsidR="00A77B3E" w:rsidRDefault="006D1B27">
      <w:pPr>
        <w:keepLines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zagospodarowania terenu oraz zasad ochrony</w:t>
      </w:r>
      <w:r>
        <w:rPr>
          <w:color w:val="000000"/>
          <w:u w:color="000000"/>
        </w:rPr>
        <w:br/>
        <w:t>i kształtowania ładu przestrzennego ustala się: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wskaźnik </w:t>
      </w:r>
      <w:r>
        <w:rPr>
          <w:color w:val="000000"/>
          <w:u w:color="000000"/>
        </w:rPr>
        <w:t>powierzchni biologicznie czynnej: minimum 20%;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zasady kształtowania zagospodarowania, zabudowy oraz lokalizacji obiektów i funkcji: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zagospodarowania przestrzeni jako całości kompozycyjnej z zastosowaniem spójnych rozwiązań materiałowych nawierz</w:t>
      </w:r>
      <w:r>
        <w:rPr>
          <w:color w:val="000000"/>
          <w:u w:color="000000"/>
        </w:rPr>
        <w:t>chni, jednolitej stylistyki mebli miejskich oraz harmonijnego ukształtowania zieleni,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zakaz wykonania nawierzchni z następujących materiałów: asfaltu, płyt betonowych pełnych lub ażurowych o wymiarach powyżej 30 x 30 cm.</w:t>
      </w:r>
    </w:p>
    <w:p w:rsidR="00A77B3E" w:rsidRDefault="006D1B27">
      <w:pPr>
        <w:keepLines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 zakresie szczegółowych zasa</w:t>
      </w:r>
      <w:r>
        <w:rPr>
          <w:color w:val="000000"/>
          <w:u w:color="000000"/>
        </w:rPr>
        <w:t>d i warunków scalania i podziału nieruchomości ustala się: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powierzchnię działki: minimum 500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szerokość frontu działki: minimum 10,0 m;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położenia granic działki w stosunku do pasa drogowego: 90º z tolerancją 2º.</w:t>
      </w:r>
    </w:p>
    <w:p w:rsidR="00A77B3E" w:rsidRDefault="006D1B27">
      <w:pPr>
        <w:keepLines/>
        <w:spacing w:before="120"/>
        <w:ind w:firstLine="567"/>
        <w:rPr>
          <w:color w:val="000000"/>
          <w:u w:color="000000"/>
        </w:rPr>
      </w:pPr>
      <w:r>
        <w:t>§ 20. 1. </w:t>
      </w:r>
      <w:r>
        <w:rPr>
          <w:color w:val="000000"/>
          <w:u w:color="000000"/>
        </w:rPr>
        <w:t>Dla terenu oznaczon</w:t>
      </w:r>
      <w:r>
        <w:rPr>
          <w:color w:val="000000"/>
          <w:u w:color="000000"/>
        </w:rPr>
        <w:t xml:space="preserve">ego na rysunku planu symbolem </w:t>
      </w:r>
      <w:r>
        <w:rPr>
          <w:b/>
          <w:color w:val="000000"/>
          <w:u w:color="000000"/>
        </w:rPr>
        <w:t xml:space="preserve">1KDL </w:t>
      </w:r>
      <w:r>
        <w:rPr>
          <w:color w:val="000000"/>
          <w:u w:color="000000"/>
        </w:rPr>
        <w:t>obowiązują ustalenia zawarte w kolejnych ustępach niniejszego paragrafu.</w:t>
      </w:r>
    </w:p>
    <w:p w:rsidR="00A77B3E" w:rsidRDefault="006D1B27">
      <w:pPr>
        <w:keepLines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tereny dróg publicznych – ulice klasy lokalnej wraz z urządzeniami zwią</w:t>
      </w:r>
      <w:r>
        <w:rPr>
          <w:color w:val="000000"/>
          <w:u w:color="000000"/>
        </w:rPr>
        <w:t>zanymi z prowadzeniem i obsługą ruchu drogowego;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zieleń,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lastRenderedPageBreak/>
        <w:t>b) </w:t>
      </w:r>
      <w:r>
        <w:rPr>
          <w:color w:val="000000"/>
          <w:u w:color="000000"/>
        </w:rPr>
        <w:t>infrastruktura techniczna.</w:t>
      </w:r>
    </w:p>
    <w:p w:rsidR="00A77B3E" w:rsidRDefault="006D1B27">
      <w:pPr>
        <w:keepLines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i parametrów funkcjonalno-technicznych ustala się: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klasę L – lokalna;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szerokość między południową linią </w:t>
      </w:r>
      <w:r>
        <w:rPr>
          <w:color w:val="000000"/>
          <w:u w:color="000000"/>
        </w:rPr>
        <w:t>rozgraniczającą a granicą obszaru objętego planem zmienna od 1,0 m do 2,0 m, zgodnie z rysunkiem planu.</w:t>
      </w:r>
    </w:p>
    <w:p w:rsidR="00A77B3E" w:rsidRDefault="006D1B27">
      <w:pPr>
        <w:keepLines/>
        <w:spacing w:before="120"/>
        <w:ind w:firstLine="567"/>
        <w:rPr>
          <w:color w:val="000000"/>
          <w:u w:color="000000"/>
        </w:rPr>
      </w:pPr>
      <w:r>
        <w:t>§ 21. 1. </w:t>
      </w:r>
      <w:r>
        <w:rPr>
          <w:color w:val="000000"/>
          <w:u w:color="000000"/>
        </w:rPr>
        <w:t xml:space="preserve">Dla terenu oznaczonego na rysunku planu symbolem </w:t>
      </w:r>
      <w:r>
        <w:rPr>
          <w:b/>
          <w:color w:val="000000"/>
          <w:u w:color="000000"/>
        </w:rPr>
        <w:t>1KDW</w:t>
      </w:r>
      <w:r>
        <w:rPr>
          <w:color w:val="000000"/>
          <w:u w:color="000000"/>
        </w:rPr>
        <w:t xml:space="preserve"> obowiązują ustalenia zawarte w kolejnych ustępach niniejszego paragrafu.</w:t>
      </w:r>
    </w:p>
    <w:p w:rsidR="00A77B3E" w:rsidRDefault="006D1B27">
      <w:pPr>
        <w:keepLines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</w:t>
      </w:r>
      <w:r>
        <w:rPr>
          <w:color w:val="000000"/>
          <w:u w:color="000000"/>
        </w:rPr>
        <w:t>zeznaczenia terenu ustala się: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tereny dróg wewnętrznych wraz z urządzeniami związanymi z prowadzeniem i obsługą ruchu drogowego;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garaże wielostanowiskowe podziemne,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zieleń,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miejsca post</w:t>
      </w:r>
      <w:r>
        <w:rPr>
          <w:color w:val="000000"/>
          <w:u w:color="000000"/>
        </w:rPr>
        <w:t>ojowe dla samochodów i rowerów,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w strefie nadwieszeń wskazanej na rysunku planu – zabudowa mieszkaniowa wielorodzinna, zabudowa usługowa, garaże wielostanowiskowe nadziemne,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infrastruktura techniczna.</w:t>
      </w:r>
    </w:p>
    <w:p w:rsidR="00A77B3E" w:rsidRDefault="006D1B27">
      <w:pPr>
        <w:keepLines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i parametrów funkcjonalno-</w:t>
      </w:r>
      <w:r>
        <w:rPr>
          <w:color w:val="000000"/>
          <w:u w:color="000000"/>
        </w:rPr>
        <w:t>technicznych ustala się szerokość w liniach rozgraniczających zmienna od 7,0 m do 36,0 m, zgodnie z rysunkiem planu.</w:t>
      </w:r>
    </w:p>
    <w:p w:rsidR="00A77B3E" w:rsidRDefault="006D1B27">
      <w:pPr>
        <w:keepLines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  zakresie  warunków zabudowy  i zagospodarowania  terenu  oraz  zasad  ochrony  i kształtowania ładu  przestrzennego  ustala  się  zas</w:t>
      </w:r>
      <w:r>
        <w:rPr>
          <w:color w:val="000000"/>
          <w:u w:color="000000"/>
        </w:rPr>
        <w:t>ady  kształtowania  zabudowy  oraz  lokalizacji  obiektów  i funkcji  poprzez dopuszczenie realizacji zabudowy nad drogą w strefie nadwieszeń wskazanej na rysunku planu, z zachowaniem warunków: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dopuszczenie sytuowania zabudowy na wysokości minimum 4,5 m</w:t>
      </w:r>
      <w:r>
        <w:rPr>
          <w:color w:val="000000"/>
          <w:u w:color="000000"/>
        </w:rPr>
        <w:t xml:space="preserve"> i do wysokości: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maksimum 20,0 m – dla zabudowy w pasie o szerokości 5,0 m od linii rozgraniczającej pokrywającej się z zachodnią granicą planu,</w:t>
      </w:r>
    </w:p>
    <w:p w:rsidR="00A77B3E" w:rsidRDefault="006D1B27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maksimum 22,0 m – dla pozostałej zabudowy;</w:t>
      </w:r>
    </w:p>
    <w:p w:rsidR="00A77B3E" w:rsidRDefault="006D1B27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 wysokości 4,5 m dopuszcza się lokalizowanie wyłącznie pi</w:t>
      </w:r>
      <w:r>
        <w:rPr>
          <w:color w:val="000000"/>
          <w:u w:color="000000"/>
        </w:rPr>
        <w:t>onowych elementów konstrukcyjnych budynku.</w:t>
      </w:r>
    </w:p>
    <w:p w:rsidR="00A77B3E" w:rsidRDefault="006D1B27">
      <w:pPr>
        <w:keepNext/>
        <w:spacing w:before="280" w:after="280"/>
        <w:jc w:val="center"/>
        <w:rPr>
          <w:color w:val="000000"/>
          <w:u w:color="000000"/>
        </w:rPr>
      </w:pPr>
      <w:r>
        <w:rPr>
          <w:b/>
        </w:rPr>
        <w:t>Rozdział 4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Przepisy końcowe</w:t>
      </w:r>
    </w:p>
    <w:p w:rsidR="00A77B3E" w:rsidRDefault="006D1B27">
      <w:pPr>
        <w:keepLines/>
        <w:spacing w:before="120"/>
        <w:ind w:firstLine="567"/>
        <w:rPr>
          <w:color w:val="000000"/>
          <w:u w:color="000000"/>
        </w:rPr>
      </w:pPr>
      <w:r>
        <w:t>§ 22. </w:t>
      </w:r>
      <w:r>
        <w:rPr>
          <w:color w:val="000000"/>
          <w:u w:color="000000"/>
        </w:rPr>
        <w:t>Dane przestrzenne dla planu w postaci dokumentu elektronicznego, o których mowa w art. 67a ust. 3 ustawy, stanowią załącznik Nr 5 do uchwały.</w:t>
      </w:r>
    </w:p>
    <w:p w:rsidR="00A77B3E" w:rsidRDefault="006D1B27">
      <w:pPr>
        <w:keepLines/>
        <w:spacing w:before="120"/>
        <w:ind w:firstLine="567"/>
        <w:rPr>
          <w:color w:val="000000"/>
          <w:u w:color="000000"/>
        </w:rPr>
      </w:pPr>
      <w:r>
        <w:t>§ 23. </w:t>
      </w:r>
      <w:r>
        <w:rPr>
          <w:color w:val="000000"/>
          <w:u w:color="000000"/>
        </w:rPr>
        <w:t xml:space="preserve">Wykonanie uchwały powierza się </w:t>
      </w:r>
      <w:r>
        <w:rPr>
          <w:color w:val="000000"/>
          <w:u w:color="000000"/>
        </w:rPr>
        <w:t>Prezydentowi Miasta Łodzi.</w:t>
      </w:r>
    </w:p>
    <w:p w:rsidR="00A77B3E" w:rsidRDefault="006D1B27">
      <w:pPr>
        <w:keepLines/>
        <w:spacing w:before="120"/>
        <w:ind w:firstLine="567"/>
        <w:rPr>
          <w:color w:val="000000"/>
          <w:u w:color="000000"/>
        </w:rPr>
      </w:pPr>
      <w:r>
        <w:t>§ 24. </w:t>
      </w:r>
      <w:r>
        <w:rPr>
          <w:color w:val="000000"/>
          <w:u w:color="000000"/>
        </w:rPr>
        <w:t>Tracą moc ustalenia miejscowego planu zagospodarowania przestrzennego dla części obszaru miasta Łodzi położonej w rejonie alei: Tadeusza Kościuszki i Adama Mickiewicza oraz ulic: Andrzeja Struga i Piotrkowskiej, zatwierdzon</w:t>
      </w:r>
      <w:r>
        <w:rPr>
          <w:color w:val="000000"/>
          <w:u w:color="000000"/>
        </w:rPr>
        <w:t>ego uchwałą</w:t>
      </w:r>
      <w:r>
        <w:rPr>
          <w:color w:val="000000"/>
          <w:u w:color="000000"/>
        </w:rPr>
        <w:br/>
        <w:t>Nr XLVIII/1228/17 Rady Miejskiej w Łodzi z dnia 10 maja 2017 r. (Dz. Urz. Woj. Łódzkiego poz. 2693) – w części odnoszącej się do obszaru objętego ustaleniami niniejszej uchwały.</w:t>
      </w:r>
    </w:p>
    <w:p w:rsidR="00A77B3E" w:rsidRDefault="006D1B27">
      <w:pPr>
        <w:keepNext/>
        <w:keepLines/>
        <w:spacing w:before="120"/>
        <w:ind w:firstLine="567"/>
        <w:rPr>
          <w:color w:val="000000"/>
          <w:u w:color="000000"/>
        </w:rPr>
      </w:pPr>
      <w:r>
        <w:rPr>
          <w:color w:val="000000"/>
          <w:u w:color="000000"/>
        </w:rPr>
        <w:br w:type="page"/>
      </w:r>
      <w:r>
        <w:lastRenderedPageBreak/>
        <w:t>§ 25. </w:t>
      </w:r>
      <w:r>
        <w:rPr>
          <w:color w:val="000000"/>
          <w:u w:color="000000"/>
        </w:rPr>
        <w:t>Uchwała wchodzi w życie po upływie 14 dni od dnia jej ogłos</w:t>
      </w:r>
      <w:r>
        <w:rPr>
          <w:color w:val="000000"/>
          <w:u w:color="000000"/>
        </w:rPr>
        <w:t>zenia w Dzienniku Urzędowym Województwa Łódzkiego.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C602C8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02C8" w:rsidRDefault="00C602C8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02C8" w:rsidRDefault="006D1B27">
            <w:pPr>
              <w:keepLines/>
              <w:spacing w:before="160" w:after="560"/>
              <w:ind w:left="850" w:right="85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 GOŁASZEWSKI</w:t>
            </w:r>
          </w:p>
        </w:tc>
      </w:tr>
    </w:tbl>
    <w:p w:rsidR="00A77B3E" w:rsidRDefault="006D1B27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:rsidR="00A77B3E" w:rsidRDefault="006D1B27">
      <w:pPr>
        <w:spacing w:before="120" w:after="120"/>
        <w:ind w:left="283" w:firstLine="227"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>Prezydent Miasta Łodzi</w:t>
      </w:r>
    </w:p>
    <w:p w:rsidR="00A77B3E" w:rsidRDefault="006D1B27">
      <w:pPr>
        <w:spacing w:before="120" w:after="120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 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</w:p>
    <w:p w:rsidR="00A77B3E" w:rsidRDefault="006D1B27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>
            <wp:extent cx="5764410" cy="4344924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4410" cy="434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6D1B27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62544" cy="8427720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2544" cy="842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6D1B27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62738" cy="8485632"/>
            <wp:effectExtent l="0" t="0" r="0" b="0"/>
            <wp:docPr id="100005" name="Obraz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2738" cy="848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spacing w:before="120" w:after="120"/>
        <w:ind w:left="283" w:firstLine="227"/>
        <w:jc w:val="left"/>
        <w:rPr>
          <w:color w:val="000000"/>
          <w:u w:color="000000"/>
        </w:rPr>
        <w:sectPr w:rsidR="00A77B3E">
          <w:footerReference w:type="default" r:id="rId13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A77B3E" w:rsidRDefault="006D1B27">
      <w:pPr>
        <w:keepNext/>
        <w:spacing w:before="120" w:after="120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 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</w:p>
    <w:p w:rsidR="00A77B3E" w:rsidRDefault="006D1B27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Rozstrzygnięcie o sposobie rozpatrzenia uwag wniesionych do wyłożonego do </w:t>
      </w:r>
      <w:r>
        <w:rPr>
          <w:b/>
          <w:color w:val="000000"/>
          <w:u w:color="000000"/>
        </w:rPr>
        <w:t>publicznego wglądu projektu miejscowego planu zagospodarowania przestrzennego dla części obszaru miasta Łodzi położonej w rejonie alei Tadeusza Kościuszki oraz ulic Andrzeja Struga i Piotrkowskiej</w:t>
      </w:r>
    </w:p>
    <w:p w:rsidR="00A77B3E" w:rsidRDefault="006D1B27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Projekt miejscowego planu zagospodarowania przestrzennego d</w:t>
      </w:r>
      <w:r>
        <w:rPr>
          <w:color w:val="000000"/>
          <w:u w:color="000000"/>
        </w:rPr>
        <w:t>la części obszaru miasta Łodzi położonej w rejonie alei Tadeusza Kościuszki oraz ulic Andrzeja Struga i Piotrkowskiej został wyłożony do publicznego wglądu w okresie od 5 maja 2022 r. do 27 maja 2022 r.</w:t>
      </w:r>
    </w:p>
    <w:p w:rsidR="00A77B3E" w:rsidRDefault="006D1B27">
      <w:pPr>
        <w:keepNext/>
        <w:keepLines/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 xml:space="preserve">W terminie wyznaczonym do wnoszenia uwag dotyczących </w:t>
      </w:r>
      <w:r>
        <w:rPr>
          <w:color w:val="000000"/>
          <w:u w:color="000000"/>
        </w:rPr>
        <w:t>projektu planu, tj. do dnia 10 czerwca 2022 r. nie wpłynęły uwagi.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C602C8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02C8" w:rsidRDefault="00C602C8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02C8" w:rsidRDefault="006D1B27">
            <w:pPr>
              <w:keepLines/>
              <w:spacing w:before="160" w:after="560"/>
              <w:ind w:left="850" w:right="85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  Rady Miejskiej 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 GOŁASZEWSKI</w:t>
            </w:r>
          </w:p>
        </w:tc>
      </w:tr>
    </w:tbl>
    <w:p w:rsidR="00A77B3E" w:rsidRDefault="00A77B3E">
      <w:pPr>
        <w:rPr>
          <w:color w:val="000000"/>
          <w:u w:color="000000"/>
        </w:rPr>
        <w:sectPr w:rsidR="00A77B3E">
          <w:footerReference w:type="default" r:id="rId14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A77B3E" w:rsidRDefault="006D1B27">
      <w:pPr>
        <w:keepNext/>
        <w:spacing w:before="120" w:after="120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3 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</w:p>
    <w:p w:rsidR="00A77B3E" w:rsidRDefault="006D1B27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o </w:t>
      </w:r>
      <w:r>
        <w:rPr>
          <w:b/>
          <w:color w:val="000000"/>
          <w:u w:color="000000"/>
        </w:rPr>
        <w:t>sposobie realizacji, zapisanych w planie, inwestycji z zakresu infrastruktury technicznej, które należą do zadań własnych gminy oraz zasadach</w:t>
      </w:r>
      <w:r>
        <w:rPr>
          <w:b/>
          <w:color w:val="000000"/>
          <w:u w:color="000000"/>
        </w:rPr>
        <w:br/>
        <w:t>ich finansowania, zgodnie z przepisami o finansach publicznych</w:t>
      </w:r>
    </w:p>
    <w:p w:rsidR="00A77B3E" w:rsidRDefault="006D1B27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Do zadań z zakresu infrastruktury technicznej będąc</w:t>
      </w:r>
      <w:r>
        <w:rPr>
          <w:color w:val="000000"/>
          <w:u w:color="000000"/>
        </w:rPr>
        <w:t>ych zadaniami własnymi gminy należy:</w:t>
      </w:r>
    </w:p>
    <w:p w:rsidR="00A77B3E" w:rsidRDefault="006D1B27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-budowa bądź przebudowa dróg publicznych, w tym: jezdni, chodników, nawierzchni pieszo-jezdnych i sieci oświetlenia ulicznego,</w:t>
      </w:r>
    </w:p>
    <w:p w:rsidR="00A77B3E" w:rsidRDefault="006D1B27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-przebudowa i budowa sieci infrastruktury technicznej.</w:t>
      </w:r>
    </w:p>
    <w:p w:rsidR="00A77B3E" w:rsidRDefault="006D1B27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Powyższe zadania będą umieszczone w p</w:t>
      </w:r>
      <w:r>
        <w:rPr>
          <w:color w:val="000000"/>
          <w:u w:color="000000"/>
        </w:rPr>
        <w:t>rogramach rozwoju poszczególnych elementów zagospodarowania, a następnie w zadaniach rzeczowych budżetu gminy objętych wieloletnią prognozą finansową.</w:t>
      </w:r>
    </w:p>
    <w:p w:rsidR="00A77B3E" w:rsidRDefault="006D1B27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 xml:space="preserve">Finansowanie będzie odbywało się w oparciu o budżet gminy, z wykorzystaniem funduszy strukturalnych Unii </w:t>
      </w:r>
      <w:r>
        <w:rPr>
          <w:color w:val="000000"/>
          <w:u w:color="000000"/>
        </w:rPr>
        <w:t>Europejskiej oraz środków Funduszu Ochrony Środowiska.</w:t>
      </w:r>
    </w:p>
    <w:p w:rsidR="00A77B3E" w:rsidRDefault="006D1B27">
      <w:pPr>
        <w:keepNext/>
        <w:keepLines/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Niniejszy załącznik nie zawiera obciążeń miasta z tytułu odszkodowań w trybie art. 36 ust. 1 ustawy.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C602C8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02C8" w:rsidRDefault="00C602C8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02C8" w:rsidRDefault="006D1B27">
            <w:pPr>
              <w:keepLines/>
              <w:spacing w:before="160" w:after="560"/>
              <w:ind w:left="850" w:right="85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  Rady Miejskiej 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 GOŁASZEWSKI</w:t>
            </w:r>
          </w:p>
        </w:tc>
      </w:tr>
    </w:tbl>
    <w:p w:rsidR="00A77B3E" w:rsidRDefault="00A77B3E">
      <w:pPr>
        <w:rPr>
          <w:color w:val="000000"/>
          <w:u w:color="000000"/>
        </w:rPr>
        <w:sectPr w:rsidR="00A77B3E">
          <w:footerReference w:type="default" r:id="rId15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A77B3E" w:rsidRDefault="006D1B27">
      <w:pPr>
        <w:keepNext/>
        <w:spacing w:before="120" w:after="120"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4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                   </w:t>
      </w:r>
    </w:p>
    <w:p w:rsidR="00A77B3E" w:rsidRDefault="006D1B27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Paleta barw obowiązujących przy wykończaniu elewacji, stolarki i ślusarki zabytku wpisanego do gminnej ewidencji zabytków</w:t>
      </w:r>
    </w:p>
    <w:p w:rsidR="00A77B3E" w:rsidRDefault="006D1B27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>
            <wp:extent cx="5703586" cy="5401909"/>
            <wp:effectExtent l="0" t="0" r="0" b="0"/>
            <wp:docPr id="100007" name="Obraz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03586" cy="540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spacing w:before="120" w:after="120"/>
        <w:ind w:left="283" w:firstLine="227"/>
        <w:jc w:val="left"/>
        <w:rPr>
          <w:color w:val="000000"/>
          <w:u w:color="000000"/>
        </w:rPr>
        <w:sectPr w:rsidR="00A77B3E">
          <w:footerReference w:type="default" r:id="rId18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A77B3E" w:rsidRDefault="006D1B27">
      <w:pPr>
        <w:keepNext/>
        <w:spacing w:after="280" w:line="360" w:lineRule="auto"/>
        <w:ind w:left="453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t>Załącznik Nr 5 do uchwały</w:t>
      </w:r>
      <w:r>
        <w:rPr>
          <w:color w:val="000000"/>
          <w:u w:color="000000"/>
        </w:rPr>
        <w:t xml:space="preserve"> Nr ^^^^^^^^^^^^^^^^^^^^</w:t>
      </w:r>
      <w:r>
        <w:rPr>
          <w:color w:val="000000"/>
          <w:u w:color="000000"/>
        </w:rPr>
        <w:br/>
      </w:r>
      <w:r>
        <w:t>Rady Miejskiej w Łodzi</w:t>
      </w:r>
      <w:r>
        <w:rPr>
          <w:color w:val="000000"/>
          <w:u w:color="000000"/>
        </w:rPr>
        <w:br/>
      </w:r>
      <w:r>
        <w:t>z dnia                      2022 r.</w:t>
      </w:r>
      <w:r>
        <w:rPr>
          <w:color w:val="000000"/>
          <w:u w:color="000000"/>
        </w:rPr>
        <w:br/>
      </w:r>
      <w:hyperlink r:id="rId19" w:history="1">
        <w:r>
          <w:rPr>
            <w:rStyle w:val="Hipercze"/>
            <w:color w:val="000000"/>
            <w:u w:val="none" w:color="000000"/>
          </w:rPr>
          <w:t>Zalacznik5.gml</w:t>
        </w:r>
      </w:hyperlink>
    </w:p>
    <w:p w:rsidR="00A77B3E" w:rsidRDefault="006D1B27">
      <w:pPr>
        <w:keepNext/>
        <w:spacing w:after="480"/>
        <w:jc w:val="center"/>
        <w:rPr>
          <w:color w:val="000000"/>
          <w:u w:color="000000"/>
        </w:rPr>
        <w:sectPr w:rsidR="00A77B3E">
          <w:footerReference w:type="default" r:id="rId20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b/>
          <w:color w:val="000000"/>
          <w:u w:color="000000"/>
        </w:rPr>
        <w:t>Dane przestrzenne o obiekcie</w:t>
      </w:r>
      <w:r>
        <w:rPr>
          <w:b/>
          <w:color w:val="000000"/>
          <w:u w:color="000000"/>
        </w:rPr>
        <w:br/>
      </w:r>
      <w:r>
        <w:rPr>
          <w:b/>
          <w:color w:val="000000"/>
          <w:u w:color="000000"/>
        </w:rPr>
        <w:br/>
        <w:t xml:space="preserve">Rada </w:t>
      </w:r>
      <w:r>
        <w:rPr>
          <w:b/>
          <w:color w:val="000000"/>
          <w:u w:color="000000"/>
        </w:rPr>
        <w:t>Miejska w Łodzi na podstawie art. 67a ust. 3 ustawy z dnia 27 marca 2003 r. o planowaniu i zagospodarowaniu przestrzennym przygotowała dane przestrzenne dla planu, które stanowią załącznik w postaci cyfrowej do uchwały</w:t>
      </w:r>
    </w:p>
    <w:p w:rsidR="00C602C8" w:rsidRDefault="006D1B27">
      <w:pPr>
        <w:jc w:val="center"/>
        <w:rPr>
          <w:szCs w:val="20"/>
        </w:rPr>
      </w:pPr>
      <w:r>
        <w:rPr>
          <w:b/>
          <w:szCs w:val="20"/>
        </w:rPr>
        <w:lastRenderedPageBreak/>
        <w:t>Uzasadnienie</w:t>
      </w:r>
    </w:p>
    <w:p w:rsidR="00C602C8" w:rsidRDefault="006D1B27">
      <w:pPr>
        <w:spacing w:before="120" w:after="120"/>
        <w:ind w:left="283" w:firstLine="227"/>
        <w:jc w:val="center"/>
        <w:rPr>
          <w:b/>
          <w:szCs w:val="20"/>
        </w:rPr>
      </w:pPr>
      <w:r>
        <w:rPr>
          <w:b/>
          <w:szCs w:val="20"/>
        </w:rPr>
        <w:t xml:space="preserve">do projektu uchwały w sprawie uchwalenia miejscowego planu zagospodarowania przestrzennego dla części obszaru miasta Łodzi położonej w rejonie </w:t>
      </w:r>
      <w:r>
        <w:rPr>
          <w:b/>
          <w:szCs w:val="20"/>
        </w:rPr>
        <w:br/>
        <w:t>alei Tadeusza Kościuszki oraz ulic Andrzeja Struga i Piotrkowskiej</w:t>
      </w:r>
    </w:p>
    <w:p w:rsidR="00C602C8" w:rsidRDefault="00C602C8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Zgodnie z podjętą uchwałą Nr XLIII/1331/21 R</w:t>
      </w:r>
      <w:r>
        <w:rPr>
          <w:color w:val="000000"/>
          <w:szCs w:val="20"/>
          <w:u w:color="000000"/>
        </w:rPr>
        <w:t>ady Miejskiej w Łodzi z dnia 2 czerwca 2021 r. przystąpiono do sporządzenia projektu miejscowego planu zagospodarowania przestrzennego dla części obszaru miasta Łodzi położonej w rejonie alei Tadeusza Kościuszki oraz ulic Andrzeja Struga i Piotrkowskiej.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O</w:t>
      </w:r>
      <w:r>
        <w:rPr>
          <w:color w:val="000000"/>
          <w:szCs w:val="20"/>
          <w:u w:color="000000"/>
        </w:rPr>
        <w:t>bszar objęty projektem planu miejscowego o powierzchni ok. 1 ha położony jest w centrum miasta, na terenie osiedla mieszkaniowego Katedralna, w rejonie alei Tadeusza Kościuszki i ulicy Andrzeja Struga.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W wyniku realizacji ww. uchwały został opracowany proj</w:t>
      </w:r>
      <w:r>
        <w:rPr>
          <w:color w:val="000000"/>
          <w:szCs w:val="20"/>
          <w:u w:color="000000"/>
        </w:rPr>
        <w:t>ekt planu miejscowego wraz z prognozą oddziaływania na środowisko i prognozą skutków finansowych uchwalenia planu miejscowego.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Przedmiotem planu jest ustalenie przeznaczenia i sposobu zagospodarowania terenów zgodnie z wymogami ładu przestrzennego i zrówno</w:t>
      </w:r>
      <w:r>
        <w:rPr>
          <w:color w:val="000000"/>
          <w:szCs w:val="20"/>
          <w:u w:color="000000"/>
        </w:rPr>
        <w:t>ważonego rozwoju, a także realizowaną polityką przestrzenną miasta poprzez określenie zasad zabudowy i zagospodarowania terenu, wymagań dotyczących kształtowania przestrzeni publicznych, zasad ochrony dziedzictwa kulturowego i zabytków, zasad ochrony środo</w:t>
      </w:r>
      <w:r>
        <w:rPr>
          <w:color w:val="000000"/>
          <w:szCs w:val="20"/>
          <w:u w:color="000000"/>
        </w:rPr>
        <w:t>wiska, zasad modernizacji, rozbudowy i budowy systemów komunikacji oraz infrastruktury technicznej.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Procedura formalno-prawna sporządzenia planu miejscowego została przeprowadzona w trybie art. 17 ustawy z dnia 27 marca 2003 r. o planowaniu i zagospodarowa</w:t>
      </w:r>
      <w:r>
        <w:rPr>
          <w:color w:val="000000"/>
          <w:szCs w:val="20"/>
          <w:u w:color="000000"/>
        </w:rPr>
        <w:t>niu przestrzennym (Dz. U. z 2022 r. poz. 503).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Projekt planu został sporządzony zgodnie z zakresem art. 15 ustawy z dnia 27 marca 2003 r. o planowaniu i zagospodarowaniu przestrzennym, uwzględniając wymogi wynikające z art. 1 ust. 2 – 4 ustawy z dnia 27 ma</w:t>
      </w:r>
      <w:r>
        <w:rPr>
          <w:color w:val="000000"/>
          <w:szCs w:val="20"/>
          <w:u w:color="000000"/>
        </w:rPr>
        <w:t>rca 2003 r. o planowaniu i zagospodarowaniu przestrzennym.</w:t>
      </w:r>
    </w:p>
    <w:p w:rsidR="00C602C8" w:rsidRDefault="006D1B27">
      <w:pPr>
        <w:spacing w:before="120" w:after="120"/>
        <w:ind w:left="283" w:firstLine="227"/>
        <w:rPr>
          <w:b/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I. Sposób realizacji wymogów wynikających z art. 1 ust. 2 – 4 ustawy z dnia 27 marca 2003 r. o planowaniu i zagospodarowaniu przestrzennym.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 W projekcie planu uwzględniono: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 wymagania ładu prze</w:t>
      </w:r>
      <w:r>
        <w:rPr>
          <w:color w:val="000000"/>
          <w:szCs w:val="20"/>
          <w:u w:color="000000"/>
        </w:rPr>
        <w:t>strzennego, w tym urbanistyki i architektury poprzez określenie: linii rozgraniczających, linii zabudowy, przeznaczenia terenów, wskaźników zagospodarowania terenów i parametrów kształtowania zabudowy oraz wymagań w zakresie kształtowania elewacji budynków</w:t>
      </w:r>
      <w:r>
        <w:rPr>
          <w:color w:val="000000"/>
          <w:szCs w:val="20"/>
          <w:u w:color="000000"/>
        </w:rPr>
        <w:t>;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 walory architektoniczne i krajobrazowe dzięki ustaleniom dotyczącym kształtowania zabudowy i zagospodarowania terenów, w tym szczególnie poprzez: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a) wprowadzenie zasad i warunków sytuowania obiektów i urządzeń technicznych,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b) ustalenie zasad ochrony </w:t>
      </w:r>
      <w:r>
        <w:rPr>
          <w:color w:val="000000"/>
          <w:szCs w:val="20"/>
          <w:u w:color="000000"/>
        </w:rPr>
        <w:t>dziedzictwa kulturowego i zabytków,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c) zakaz lokalizacji usług uciążliwych;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 wymagania ochrony środowiska, w tym gospodarowania wodami poprzez wprowadzenie: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a) zakazu lokalizacji przedsięwzięć mogących zawsze znacząco oraz potencjalnie znacząco oddziaływ</w:t>
      </w:r>
      <w:r>
        <w:rPr>
          <w:color w:val="000000"/>
          <w:szCs w:val="20"/>
          <w:u w:color="000000"/>
        </w:rPr>
        <w:t>ać na środowisko, za wyjątkiem zespołów zabudowy mieszkaniowej, usługowej, garaży i parkingów samochodowych oraz zespołów parkingów wraz z towarzysząca im infrastrukturą oraz infrastruktury technicznej i dróg,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b) nakazu stosowania do celów grzewczych bezem</w:t>
      </w:r>
      <w:r>
        <w:rPr>
          <w:color w:val="000000"/>
          <w:szCs w:val="20"/>
          <w:u w:color="000000"/>
        </w:rPr>
        <w:t>isyjnych lub niskoemisyjnych źródeł ciepła spełniających wymagania standardów jakości powietrza,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c) nakazu stosowania rozwiązań umożliwiających wykorzystanie lub retencjonowanie nadmiaru wód opadowych i roztopowych w miejscu ich powstania, z dopuszczeniem </w:t>
      </w:r>
      <w:r>
        <w:rPr>
          <w:color w:val="000000"/>
          <w:szCs w:val="20"/>
          <w:u w:color="000000"/>
        </w:rPr>
        <w:t>odprowadzenia ich do odbiornika na warunkach określonych w przepisach odrębnych dotyczących zbiorowego zaopatrzenia w wodę i zbiorowego odprowadzenia ścieków oraz prawa wodnego, a także budownictwa,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d) nakazu zapewnienia dla nieruchomości miejsca służącego</w:t>
      </w:r>
      <w:r>
        <w:rPr>
          <w:color w:val="000000"/>
          <w:szCs w:val="20"/>
          <w:u w:color="000000"/>
        </w:rPr>
        <w:t xml:space="preserve"> do czasowego gromadzenia odpadów stałych, z uwzględnieniem wymogów wynikających z przepisów odrębnych dotyczących budownictwa oraz dotyczących utrzymania czystości i porządku w gminach,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e) zakazu lokalizacji obiektów, urządzeń i sieci infrastrukturalnych,</w:t>
      </w:r>
      <w:r>
        <w:rPr>
          <w:color w:val="000000"/>
          <w:szCs w:val="20"/>
          <w:u w:color="000000"/>
        </w:rPr>
        <w:t xml:space="preserve"> które powodują przekroczenie dopuszczalnych poziomów pól elektromagnetycznych w środowisku określonych w przepisach odrębnych, w obrębie budynków z pomieszczeniami przeznaczonymi na pobyt ludzi, w rozumieniu przepisów odrębnych dotyczących budownictwa,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f)</w:t>
      </w:r>
      <w:r>
        <w:rPr>
          <w:color w:val="000000"/>
          <w:szCs w:val="20"/>
          <w:u w:color="000000"/>
        </w:rPr>
        <w:t xml:space="preserve"> dopuszczenia lokalizacji obiektów infrastruktury telekomunikacyjnej o nieznacznym oddziaływaniu w rozumieniu przepisów odrębnych, dotyczących rozwoju usług i sieci telekomunikacyjnych,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g) klasyfikacji terenów zabudowy oznaczonych na rysunku planu symbolam</w:t>
      </w:r>
      <w:r>
        <w:rPr>
          <w:color w:val="000000"/>
          <w:szCs w:val="20"/>
          <w:u w:color="000000"/>
        </w:rPr>
        <w:t>i MW/U, MW/U/KSp i KSp jako terenów chronionych akustycznie określonych jako „tereny w strefie śródmiejskiej miast powyżej 100 tys. mieszkańców”, w rozumieniu przepisów odrębnych,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h) zakazu lokalizacji urządzeń wytwarzających energię z odnawialnych źródeł </w:t>
      </w:r>
      <w:r>
        <w:rPr>
          <w:color w:val="000000"/>
          <w:szCs w:val="20"/>
          <w:u w:color="000000"/>
        </w:rPr>
        <w:t>energii o mocy większej niż moc mikroinstalacji, o której mowa w przepisach odrębnych z zakresu odnawialnych źródeł energii;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4) wymagania ochrony dziedzictwa kulturowego i zabytków poprzez: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a) wskazanie zabytku chronionego przez wpis do rejestru zabytków, </w:t>
      </w:r>
      <w:r>
        <w:rPr>
          <w:color w:val="000000"/>
          <w:szCs w:val="20"/>
          <w:u w:color="000000"/>
        </w:rPr>
        <w:t>zabytku chronionego przez uznanie go za pomnik historii, parku kulturowego oraz zabytku wpisanego do gminnej ewidencji zabytków, a także ustalenie zasad jego ochrony,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b) wprowadzenie strefy ochrony archeologicznej oraz określenie warunków prowadzenia w jej</w:t>
      </w:r>
      <w:r>
        <w:rPr>
          <w:color w:val="000000"/>
          <w:szCs w:val="20"/>
          <w:u w:color="000000"/>
        </w:rPr>
        <w:t xml:space="preserve"> obszarze działań inwestycyjnych,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c) wprowadzenie strefy ochrony konserwatorskiej oraz ustalenie zasad ochrony w jej obszarze;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5) wymagania ochrony zdrowia oraz bezpieczeństwa ludzi i mienia, a także potrzeby osób ze szczególnymi potrzebami poprzez określe</w:t>
      </w:r>
      <w:r>
        <w:rPr>
          <w:color w:val="000000"/>
          <w:szCs w:val="20"/>
          <w:u w:color="000000"/>
        </w:rPr>
        <w:t>nie zasad ochrony środowiska, wymaganej liczby miejsc parkingowych dla pojazdów zaopatrzonych w kartę parkingową oraz ustalenie wymagań wynikających z potrzeb kształtowania przestrzeni publicznych;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6) walory ekonomiczne przestrzeni poprzez racjonalnie wyko</w:t>
      </w:r>
      <w:r>
        <w:rPr>
          <w:color w:val="000000"/>
          <w:szCs w:val="20"/>
          <w:u w:color="000000"/>
        </w:rPr>
        <w:t>rzystanie istniejących elementów wyposażenia technicznego i zagospodarowania terenu przy wyznaczaniu nowych terenów budowlanych;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7) prawo własności wyznaczając liniami rozgraniczającymi tereny przeznaczone pod zabudowę, w uporządkowanych relacjach w stosun</w:t>
      </w:r>
      <w:r>
        <w:rPr>
          <w:color w:val="000000"/>
          <w:szCs w:val="20"/>
          <w:u w:color="000000"/>
        </w:rPr>
        <w:t>ku do inwestycji celu publicznego;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8) potrzeby obronności i bezpieczeństwa państwa ustalając ograniczenia w sposobie zagospodarowania terenu poprzez dostosowanie dróg publicznych, sieci i urządzeń infrastruktury do działań w sytuacjach szczególnych zagroże</w:t>
      </w:r>
      <w:r>
        <w:rPr>
          <w:color w:val="000000"/>
          <w:szCs w:val="20"/>
          <w:u w:color="000000"/>
        </w:rPr>
        <w:t>ń;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9) potrzeby interesu publicznego wskazując w projekcie planu tereny przeznaczone pod drogę publiczną oraz plac publiczny;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10) potrzeby w zakresie rozwoju infrastruktury technicznej, w szczególności  sieci szerokopasmowych, określając możliwość wyposażen</w:t>
      </w:r>
      <w:r>
        <w:rPr>
          <w:color w:val="000000"/>
          <w:szCs w:val="20"/>
          <w:u w:color="000000"/>
        </w:rPr>
        <w:t>ia terenów w sieci i urządzenia infrastruktury technicznej oraz ustalając zasady ich realizacji;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11) zapewnienie udziału społeczeństwa w pracach nad miejscowym planem zagospodarowania przestrzennego, w tym przy użyciu środków komunikacji elektronicznej, po</w:t>
      </w:r>
      <w:r>
        <w:rPr>
          <w:color w:val="000000"/>
          <w:szCs w:val="20"/>
          <w:u w:color="000000"/>
        </w:rPr>
        <w:t>przez informację na stronie internetowej Miejskiej Pracowni Urbanistycznej, ogłoszenie w prasie, obwieszczenie na tablicach ogłoszeń o: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a) przystąpieniu do sporządzenia projektu planu,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b) wyłożeniu projektu planu do publicznego wglądu i organizacji dyskusj</w:t>
      </w:r>
      <w:r>
        <w:rPr>
          <w:color w:val="000000"/>
          <w:szCs w:val="20"/>
          <w:u w:color="000000"/>
        </w:rPr>
        <w:t>i publicznej nad przyjętymi w projekcie planu rozwiązaniami,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c) możliwości składania wniosków i uwag do projektu planu na piśmie, ustnie do protokołu lub za pomocą środków komunikacji elektronicznej bez konieczności opatrywania ich podpisem elektronicznym </w:t>
      </w:r>
      <w:r>
        <w:rPr>
          <w:color w:val="000000"/>
          <w:szCs w:val="20"/>
          <w:u w:color="000000"/>
        </w:rPr>
        <w:t>na adres pracowni,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d) możliwości zapoznania się z niezbędną dokumentacją sprawy;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12) zachowanie jawności i przejrzystości procedur planistycznych poprzez zastosowanie się do czynności formalno-prawnych określonych w art. 17 ustawy z dnia 27 marca 2003 r. o</w:t>
      </w:r>
      <w:r>
        <w:rPr>
          <w:color w:val="000000"/>
          <w:szCs w:val="20"/>
          <w:u w:color="000000"/>
        </w:rPr>
        <w:t> planowaniu i zagospodarowaniu przestrzennym, jak również na podstawie art. 21, art. 39 i art. 54 ustawy z dnia 3 października 2008 r. o udostępnieniu informacji o środowisku i jego ochronie, udziale społeczeństwa w ochronie środowiska oraz o ocenach oddzi</w:t>
      </w:r>
      <w:r>
        <w:rPr>
          <w:color w:val="000000"/>
          <w:szCs w:val="20"/>
          <w:u w:color="000000"/>
        </w:rPr>
        <w:t>aływania na środowisko (Dz. U. z 2022 r. poz. 1029) przeprowadzając strategiczną ocenę oddziaływania na środowisko skutków realizacji przedmiotowego miejscowego planu zagospodarowania przestrzennego;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13) potrzebę zapewnienia odpowiedniej ilości i jakości w</w:t>
      </w:r>
      <w:r>
        <w:rPr>
          <w:color w:val="000000"/>
          <w:szCs w:val="20"/>
          <w:u w:color="000000"/>
        </w:rPr>
        <w:t>ody do celów zaopatrzenia ludności poprzez wykorzystanie istniejącej sieci wodociągowej dla obsługi wyznaczonych w projekcie planu terenów budowlanych.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 W projekcie planu nie uwzględniono wymogów ochrony gruntów rolnych i leśnych – ze względu na brak tak</w:t>
      </w:r>
      <w:r>
        <w:rPr>
          <w:color w:val="000000"/>
          <w:szCs w:val="20"/>
          <w:u w:color="000000"/>
        </w:rPr>
        <w:t>ich gruntów na obszarze objętym planem.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 Ustalając przeznaczenie terenu oraz potencjalny sposób zagospodarowania i korzystania z terenu Prezydent Miasta zważył interes publiczny i interesy prywatne, w tym zgłaszane w postaci wniosków, a także analizy eko</w:t>
      </w:r>
      <w:r>
        <w:rPr>
          <w:color w:val="000000"/>
          <w:szCs w:val="20"/>
          <w:u w:color="000000"/>
        </w:rPr>
        <w:t>nomiczne, środowiskowe i społeczne.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4. W projekcie planu nie ustalono szczególnych warunków zagospodarowania oraz ograniczeń w użytkowaniu wynikających z występowania istniejącej sieci ciepłowniczej. Podejmując decyzję Prezydent Miasta zważył interes Miast</w:t>
      </w:r>
      <w:r>
        <w:rPr>
          <w:color w:val="000000"/>
          <w:szCs w:val="20"/>
          <w:u w:color="000000"/>
        </w:rPr>
        <w:t>a, gestora sieci infrastruktury technicznej oraz interesy prywatne właścicieli poszczególnych nieruchomości. Przepis art. 15 ust. 2 pkt 9 ustawy z dnia 27 marca 2003 r. o planowaniu i zagospodarowaniu przestrzennym daje organowi planistycznemu upoważnienie</w:t>
      </w:r>
      <w:r>
        <w:rPr>
          <w:color w:val="000000"/>
          <w:szCs w:val="20"/>
          <w:u w:color="000000"/>
        </w:rPr>
        <w:t xml:space="preserve"> do zawarcia w planie miejscowym postanowień, które mogą w konsekwencji w sposób istotny ograniczać lub </w:t>
      </w:r>
      <w:r>
        <w:rPr>
          <w:color w:val="000000"/>
          <w:szCs w:val="20"/>
          <w:u w:color="000000"/>
        </w:rPr>
        <w:lastRenderedPageBreak/>
        <w:t>nawet pozbawić właściciela lub użytkownika wieczystego możliwości wykonywania konstytucyjnie chronionego prawa własności. Jednakże taka poważna ingerenc</w:t>
      </w:r>
      <w:r>
        <w:rPr>
          <w:color w:val="000000"/>
          <w:szCs w:val="20"/>
          <w:u w:color="000000"/>
        </w:rPr>
        <w:t>ja w prawo własności musi być uzasadniona i proporcjonalna w stosunku do celów, których osiągnięciu ma służyć. Ustalone w obowiązującym dla tego obszaru planie miejscowym, przyjętym uchwałą Nr XLVIII/1228/17 Rady Miejskiej w Łodzi z dnia 10 maja 2017 r. (D</w:t>
      </w:r>
      <w:r>
        <w:rPr>
          <w:color w:val="000000"/>
          <w:szCs w:val="20"/>
          <w:u w:color="000000"/>
        </w:rPr>
        <w:t>z. Urz. Woj. Łódzkiego poz. 2693), strefy bezpieczeństwa od podziemnych ciepłociągów wody gorącej oraz wynikające z nich ograniczenia, w tym zakaz lokalizacji obiektów budowlanych, uniemożliwiają właścicielom nieruchomości lokalizację budynków (w ramach ww</w:t>
      </w:r>
      <w:r>
        <w:rPr>
          <w:color w:val="000000"/>
          <w:szCs w:val="20"/>
          <w:u w:color="000000"/>
        </w:rPr>
        <w:t xml:space="preserve">. stref), których realizacja jest możliwa przy zastosowaniu właściwych rozwiązań technicznych, na co wskazuje dotychczasowa praktyka. Rezygnacja z ww. ustaleń podyktowana jest brakiem powszechnie obowiązujących przepisów prawnych nakazujących wprowadzenie </w:t>
      </w:r>
      <w:r>
        <w:rPr>
          <w:color w:val="000000"/>
          <w:szCs w:val="20"/>
          <w:u w:color="000000"/>
        </w:rPr>
        <w:t>określonych ograniczeń w zagospodarowaniu terenu. Jednocześnie należy zwrócić uwagę, że lokalizacja planowanych inwestycji nie powinna być uzależniona od przebiegu infrastruktury technicznej, a jedynie od potrzeb kształtowania struktury przestrzennej miast</w:t>
      </w:r>
      <w:r>
        <w:rPr>
          <w:color w:val="000000"/>
          <w:szCs w:val="20"/>
          <w:u w:color="000000"/>
        </w:rPr>
        <w:t>a.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ab/>
        <w:t>Do projektu miejscowego planu zagospodarowania przestrzennego w terminie określonym na podstawie art. 17 pkt 1 ustawy z dnia 27 marca 2003 r. o planowaniu i zagospodarowaniu przestrzennym, tj. od 16 czerwca 2021 r. do 16 lipca 2021 r. wpłynął jeden wni</w:t>
      </w:r>
      <w:r>
        <w:rPr>
          <w:color w:val="000000"/>
          <w:szCs w:val="20"/>
          <w:u w:color="000000"/>
        </w:rPr>
        <w:t>osek, który został rozpatrzony zarządzeniem Nr 8930/VIII/21 Prezydenta Miasta Łodzi z dnia 29 listopada 2021 r.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Projekt planu był wykładany do publicznego wglądu wraz z prognozą oddziaływania środowisko w dniach od 5 maja 2022 r. do 27 maja 2022 r. W termi</w:t>
      </w:r>
      <w:r>
        <w:rPr>
          <w:color w:val="000000"/>
          <w:szCs w:val="20"/>
          <w:u w:color="000000"/>
        </w:rPr>
        <w:t>nie wnoszenia uwag, określonym na podstawie art. 17 pkt 11 ustawy z dnia 27 marca 2003 r. o planowaniu i zagospodarowaniu przestrzennym, tj. do dnia 10 czerwca 2022 r. , nie wpłynęła żadna uwaga.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ab/>
        <w:t>Dla potrzeb projektu planu miejscowego, zgodnie z art. 17 p</w:t>
      </w:r>
      <w:r>
        <w:rPr>
          <w:color w:val="000000"/>
          <w:szCs w:val="20"/>
          <w:u w:color="000000"/>
        </w:rPr>
        <w:t>kt 4 i 5 ustawy z dnia 27 marca 2003 r. o planowaniu i zagospodarowaniu przestrzennym, sporządzono prognozę oddziaływania na środowisko oraz prognozę skutków finansowych uchwalenia planu miejscowego.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5. Umożliwiając sytuowanie nowej zabudowy uwzględniono w</w:t>
      </w:r>
      <w:r>
        <w:rPr>
          <w:color w:val="000000"/>
          <w:szCs w:val="20"/>
          <w:u w:color="000000"/>
        </w:rPr>
        <w:t>ymagania ładu przestrzennego, efektywne gospodarowanie przestrzenią oraz walory ekonomiczne przestrzeni, w szczególności: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 projektowane struktury przestrzenne oparto o istniejący system komunikacyjny z uwzględnieniem jego przebudowy;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 uwzględniono prze</w:t>
      </w:r>
      <w:r>
        <w:rPr>
          <w:color w:val="000000"/>
          <w:szCs w:val="20"/>
          <w:u w:color="000000"/>
        </w:rPr>
        <w:t>bieg istniejących tras autobusowych i tramwajowych, które umożliwiają maksymalne wykorzystanie transportu publicznego jako podstawowego środka transportu;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 zapewniono rozwiązania przestrzenne ułatwiające przemieszczanie się pieszych i rowerzystów poprzez</w:t>
      </w:r>
      <w:r>
        <w:rPr>
          <w:color w:val="000000"/>
          <w:szCs w:val="20"/>
          <w:u w:color="000000"/>
        </w:rPr>
        <w:t xml:space="preserve"> wprowadzenie terenu placu publicznego;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4) obszar, dla którego został sporządzony projekt planu stanowi część zwartej struktury funkcjonalno-przestrzennej śródmieścia Łodzi, dlatego projekt przewiduje jedynie uzupełnienie i uporządkowanie istniejącej struk</w:t>
      </w:r>
      <w:r>
        <w:rPr>
          <w:color w:val="000000"/>
          <w:szCs w:val="20"/>
          <w:u w:color="000000"/>
        </w:rPr>
        <w:t>tury przestrzennej.</w:t>
      </w:r>
    </w:p>
    <w:p w:rsidR="00C602C8" w:rsidRDefault="00C602C8">
      <w:pPr>
        <w:spacing w:before="120" w:after="120"/>
        <w:ind w:left="283" w:firstLine="227"/>
        <w:rPr>
          <w:color w:val="000000"/>
          <w:szCs w:val="20"/>
          <w:u w:color="000000"/>
        </w:rPr>
      </w:pP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   </w:t>
      </w:r>
    </w:p>
    <w:p w:rsidR="00C602C8" w:rsidRDefault="00C602C8">
      <w:pPr>
        <w:spacing w:before="120" w:after="120"/>
        <w:ind w:left="283" w:firstLine="227"/>
        <w:rPr>
          <w:color w:val="000000"/>
          <w:szCs w:val="20"/>
          <w:u w:color="000000"/>
        </w:rPr>
      </w:pP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II.</w:t>
      </w:r>
      <w:r>
        <w:rPr>
          <w:b/>
          <w:color w:val="000000"/>
          <w:szCs w:val="20"/>
          <w:u w:color="000000"/>
        </w:rPr>
        <w:t xml:space="preserve"> Zgodność z wynikami analizy dotyczącej oceny aktualności studium uwarunkowań i kierunków zagospodarowania przestrzennego oraz miejscowych planów zagospodarowania przestrzennego, a także sposób uwzględnienia uniwersalnego projektowania.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Zgodnie z wymogiem </w:t>
      </w:r>
      <w:r>
        <w:rPr>
          <w:color w:val="000000"/>
          <w:szCs w:val="20"/>
          <w:u w:color="000000"/>
        </w:rPr>
        <w:t>art. 32 ust. 1 ustawy z dnia 27 marca 2003 r. o planowaniu i zagospodarowaniu przestrzennym w celu oceny aktualności studium i planów miejscowych Prezydent Miasta Łodzi dokonał analiz zmian w zagospodarowaniu przestrzennym. Ocena aktualności Studium uwarun</w:t>
      </w:r>
      <w:r>
        <w:rPr>
          <w:color w:val="000000"/>
          <w:szCs w:val="20"/>
          <w:u w:color="000000"/>
        </w:rPr>
        <w:t>kowań i kierunków zagospodarowania przestrzennego oraz miejscowych planów zagospodarowania przestrzennego miasta Łodzi przyjęta uchwałą Nr LXXIX/2113/18 Rady Miejskiej w Łodzi z dnia 14 listopada 2018 r. nie wskazuje na nieaktualność studium na obszarze ob</w:t>
      </w:r>
      <w:r>
        <w:rPr>
          <w:color w:val="000000"/>
          <w:szCs w:val="20"/>
          <w:u w:color="000000"/>
        </w:rPr>
        <w:t>jętym projektem planu. W momencie dokonywania oceny obszar projektu planu był objęty obowiązującym miejscowym planem zagospodarowania przestrzennego, uchwalonym uchwałą Nr XLVIII/1228/17 Rady Miejskiej w Łodzi z dnia 10 maja 2017 r. Ocena aktualności, o kt</w:t>
      </w:r>
      <w:r>
        <w:rPr>
          <w:color w:val="000000"/>
          <w:szCs w:val="20"/>
          <w:u w:color="000000"/>
        </w:rPr>
        <w:t>órej mowa powyżej, nie wskazała niezgodności obowiązującego planu miejscowego z obowiązującym Studium uwarunkowań i kierunków zagospodarowania przestrzennego. Projekt planu jest zgodny z wynikami analizy dotyczącej ww. oceny.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W projekcie planu uwzględniono</w:t>
      </w:r>
      <w:r>
        <w:rPr>
          <w:color w:val="000000"/>
          <w:szCs w:val="20"/>
          <w:u w:color="000000"/>
        </w:rPr>
        <w:t xml:space="preserve"> uniwersalne projektowanie poprzez wyznaczenie terenów przeznaczonych pod przestrzenie publiczne. Może to zostać wykorzystane na poprawę dostępności osób ze szczególnymi potrzebami.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III. </w:t>
      </w:r>
      <w:r>
        <w:rPr>
          <w:b/>
          <w:color w:val="000000"/>
          <w:szCs w:val="20"/>
          <w:u w:color="000000"/>
        </w:rPr>
        <w:t>Wpływ na finanse publiczne, w tym budżet gminy.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Wpływ ustaleń projekt</w:t>
      </w:r>
      <w:r>
        <w:rPr>
          <w:color w:val="000000"/>
          <w:szCs w:val="20"/>
          <w:u w:color="000000"/>
        </w:rPr>
        <w:t>u planu na finanse publiczne, w tym budżet gminy został zidentyfikowany i oszacowany w prognozie finansowej skutków uchwalenia planu. Celem prognozy finansowej jest próba określenia potencjalnych dochodów i wydatków z tytułu uchwalenia miejscowego planu za</w:t>
      </w:r>
      <w:r>
        <w:rPr>
          <w:color w:val="000000"/>
          <w:szCs w:val="20"/>
          <w:u w:color="000000"/>
        </w:rPr>
        <w:t>gospodarowania przestrzennego dla części obszaru miasta Łodzi położonej w rejonie alei Tadeusza Kościuszki oraz ulic Andrzeja Struga i Piotrkowskiej.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ab/>
        <w:t>Wykonane obliczenia wykazały ujemny wynik finansowy przedsięwzięcia. Największe koszty całkowite Gmina bę</w:t>
      </w:r>
      <w:r>
        <w:rPr>
          <w:color w:val="000000"/>
          <w:szCs w:val="20"/>
          <w:u w:color="000000"/>
        </w:rPr>
        <w:t>dzie musiała ponieść w związku z nabyciem nieruchomości przewidzianych pod realizację inwestycji celu publicznego.</w:t>
      </w: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ab/>
        <w:t>Oszacowany poziom wyniku finansowego może odbiegać od rzeczywistych przyszłych rezultatów, z uwagi na nieprzewidywalność zachowań inwestorów</w:t>
      </w:r>
      <w:r>
        <w:rPr>
          <w:color w:val="000000"/>
          <w:szCs w:val="20"/>
          <w:u w:color="000000"/>
        </w:rPr>
        <w:t>, poziom cen rynkowych oraz zmienność uwarunkowań w czasie. Opracowana prognoza pokazuje skalę pewnych zjawisk, które mogą wystąpić w konsekwencji uchwalenia planu oraz jest wskazówką do podjęcia kierunku w polityce finansowania inwestycji. Ma na celu uświ</w:t>
      </w:r>
      <w:r>
        <w:rPr>
          <w:color w:val="000000"/>
          <w:szCs w:val="20"/>
          <w:u w:color="000000"/>
        </w:rPr>
        <w:t>adamiać skalę zjawisk, które mogą potencjalnie wystąpić.</w:t>
      </w:r>
    </w:p>
    <w:p w:rsidR="00C602C8" w:rsidRDefault="00C602C8">
      <w:pPr>
        <w:spacing w:before="120" w:after="120"/>
        <w:ind w:left="283" w:firstLine="227"/>
        <w:rPr>
          <w:color w:val="000000"/>
          <w:szCs w:val="20"/>
          <w:u w:color="000000"/>
        </w:rPr>
      </w:pPr>
    </w:p>
    <w:p w:rsidR="00C602C8" w:rsidRDefault="00C602C8">
      <w:pPr>
        <w:spacing w:before="120" w:after="120"/>
        <w:ind w:left="283" w:firstLine="227"/>
        <w:rPr>
          <w:color w:val="000000"/>
          <w:szCs w:val="20"/>
          <w:u w:color="000000"/>
        </w:rPr>
      </w:pPr>
    </w:p>
    <w:p w:rsidR="00C602C8" w:rsidRDefault="006D1B2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Opracowany projekt planu miejscowego uzyskał niezbędne opinie i uzgodnienia określone w art. 17 pkt 6 ustawy z dnia 27 marca 2003 r. o planowaniu i zagospodarowaniu przestrzennym, a następnie zosta</w:t>
      </w:r>
      <w:r>
        <w:rPr>
          <w:color w:val="000000"/>
          <w:szCs w:val="20"/>
          <w:u w:color="000000"/>
        </w:rPr>
        <w:t>ł wyłożony do publicznego wglądu. W terminie wnoszenia uwag do wyłożonego projektu planu nie wpłynęła żadna uwaga. W związku z powyższym Prezydent Miasta przedstawia Radzie Miejskiej w Łodzi projekt planu miejscowego.</w:t>
      </w:r>
    </w:p>
    <w:sectPr w:rsidR="00C602C8">
      <w:footerReference w:type="default" r:id="rId21"/>
      <w:endnotePr>
        <w:numFmt w:val="decimal"/>
      </w:endnotePr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1B27" w:rsidRDefault="006D1B27">
      <w:r>
        <w:separator/>
      </w:r>
    </w:p>
  </w:endnote>
  <w:endnote w:type="continuationSeparator" w:id="0">
    <w:p w:rsidR="006D1B27" w:rsidRDefault="006D1B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C602C8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C602C8" w:rsidRDefault="006D1B27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C602C8" w:rsidRDefault="006D1B27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ED480B">
            <w:rPr>
              <w:sz w:val="18"/>
            </w:rPr>
            <w:fldChar w:fldCharType="separate"/>
          </w:r>
          <w:r w:rsidR="00ED480B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C602C8" w:rsidRDefault="00C602C8">
    <w:pPr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C602C8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C602C8" w:rsidRDefault="006D1B27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C602C8" w:rsidRDefault="006D1B27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ED480B">
            <w:rPr>
              <w:sz w:val="18"/>
            </w:rPr>
            <w:fldChar w:fldCharType="separate"/>
          </w:r>
          <w:r w:rsidR="00ED480B">
            <w:rPr>
              <w:noProof/>
              <w:sz w:val="18"/>
            </w:rPr>
            <w:t>3</w:t>
          </w:r>
          <w:r>
            <w:rPr>
              <w:sz w:val="18"/>
            </w:rPr>
            <w:fldChar w:fldCharType="end"/>
          </w:r>
        </w:p>
      </w:tc>
    </w:tr>
  </w:tbl>
  <w:p w:rsidR="00C602C8" w:rsidRDefault="00C602C8">
    <w:pPr>
      <w:rPr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C602C8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C602C8" w:rsidRDefault="006D1B27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C602C8" w:rsidRDefault="006D1B27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ED480B">
            <w:rPr>
              <w:sz w:val="18"/>
            </w:rPr>
            <w:fldChar w:fldCharType="separate"/>
          </w:r>
          <w:r w:rsidR="00ED480B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C602C8" w:rsidRDefault="00C602C8">
    <w:pPr>
      <w:rPr>
        <w:sz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C602C8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C602C8" w:rsidRDefault="006D1B27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C602C8" w:rsidRDefault="006D1B27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ED480B">
            <w:rPr>
              <w:sz w:val="18"/>
            </w:rPr>
            <w:fldChar w:fldCharType="separate"/>
          </w:r>
          <w:r w:rsidR="00ED480B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C602C8" w:rsidRDefault="00C602C8">
    <w:pPr>
      <w:rPr>
        <w:sz w:val="18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C602C8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C602C8" w:rsidRDefault="006D1B27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C602C8" w:rsidRDefault="006D1B27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ED480B">
            <w:rPr>
              <w:sz w:val="18"/>
            </w:rPr>
            <w:fldChar w:fldCharType="separate"/>
          </w:r>
          <w:r w:rsidR="00ED480B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C602C8" w:rsidRDefault="00C602C8">
    <w:pPr>
      <w:rPr>
        <w:sz w:val="18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C602C8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C602C8" w:rsidRDefault="006D1B27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C602C8" w:rsidRDefault="006D1B27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ED480B">
            <w:rPr>
              <w:sz w:val="18"/>
            </w:rPr>
            <w:fldChar w:fldCharType="separate"/>
          </w:r>
          <w:r w:rsidR="00ED480B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C602C8" w:rsidRDefault="00C602C8">
    <w:pPr>
      <w:rPr>
        <w:sz w:val="18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C602C8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C602C8" w:rsidRDefault="006D1B27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C602C8" w:rsidRDefault="006D1B27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ED480B">
            <w:rPr>
              <w:sz w:val="18"/>
            </w:rPr>
            <w:fldChar w:fldCharType="separate"/>
          </w:r>
          <w:r w:rsidR="00ED480B">
            <w:rPr>
              <w:noProof/>
              <w:sz w:val="18"/>
            </w:rPr>
            <w:t>6</w:t>
          </w:r>
          <w:r>
            <w:rPr>
              <w:sz w:val="18"/>
            </w:rPr>
            <w:fldChar w:fldCharType="end"/>
          </w:r>
        </w:p>
      </w:tc>
    </w:tr>
  </w:tbl>
  <w:p w:rsidR="00C602C8" w:rsidRDefault="00C602C8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1B27" w:rsidRDefault="006D1B27">
      <w:r>
        <w:separator/>
      </w:r>
    </w:p>
  </w:footnote>
  <w:footnote w:type="continuationSeparator" w:id="0">
    <w:p w:rsidR="006D1B27" w:rsidRDefault="006D1B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6D1B27"/>
    <w:rsid w:val="00A77B3E"/>
    <w:rsid w:val="00C602C8"/>
    <w:rsid w:val="00CA2A55"/>
    <w:rsid w:val="00ED4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29A4D8E-E47B-4EE4-9A24-7D4281884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E3C7A0D8-CE4C-4959-9331-F817E1980694.jpg" TargetMode="External"/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3" Type="http://schemas.openxmlformats.org/officeDocument/2006/relationships/webSettings" Target="webSettings.xml"/><Relationship Id="rId21" Type="http://schemas.openxmlformats.org/officeDocument/2006/relationships/footer" Target="footer7.xml"/><Relationship Id="rId7" Type="http://schemas.openxmlformats.org/officeDocument/2006/relationships/image" Target="media/image1.png"/><Relationship Id="rId12" Type="http://schemas.openxmlformats.org/officeDocument/2006/relationships/image" Target="Zalacznik2A707EC3-8D2D-49FE-85DE-3EA5BACCF5B8.jpg" TargetMode="External"/><Relationship Id="rId17" Type="http://schemas.openxmlformats.org/officeDocument/2006/relationships/image" Target="Zalacznik2A946E11-100F-4DC2-A99C-1624DCDB520F.p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footer" Target="footer6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image" Target="Zalacznik237AF686-9C69-4360-A0D7-357F31E33EE8.jpg" TargetMode="External"/><Relationship Id="rId19" Type="http://schemas.openxmlformats.org/officeDocument/2006/relationships/hyperlink" Target="file:///D:\K-4941\Users\vgandziarska\AppData\Local\Temp\Zalacznik5.gm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8455</Words>
  <Characters>50733</Characters>
  <Application>Microsoft Office Word</Application>
  <DocSecurity>0</DocSecurity>
  <Lines>422</Lines>
  <Paragraphs>118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^^^^^^^^^^^^^^^^^^^^</vt:lpstr>
      <vt:lpstr/>
    </vt:vector>
  </TitlesOfParts>
  <Company>Rada Miejska w Łodzi</Company>
  <LinksUpToDate>false</LinksUpToDate>
  <CharactersWithSpaces>59070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^^^^^^^^^^^^^^^^^^^^</dc:title>
  <dc:subject>w sprawie uchwalenia miejscowego planu zagospodarowania przestrzennego dla części obszaru miasta Łodzi położonej w^rejonie alei Tadeusza Kościuszki oraz ulic Andrzeja Struga i^Piotrkowskiej.</dc:subject>
  <dc:creator>awinerowicz</dc:creator>
  <cp:lastModifiedBy>Violetta Gandziarska</cp:lastModifiedBy>
  <cp:revision>2</cp:revision>
  <dcterms:created xsi:type="dcterms:W3CDTF">2022-08-03T10:02:00Z</dcterms:created>
  <dcterms:modified xsi:type="dcterms:W3CDTF">2022-08-03T10:02:00Z</dcterms:modified>
  <cp:category>Akt prawny</cp:category>
</cp:coreProperties>
</file>