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C20546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A77B3E">
            <w:pPr>
              <w:ind w:left="6236"/>
              <w:jc w:val="left"/>
              <w:rPr>
                <w:b/>
                <w:i/>
                <w:u w:val="thick"/>
              </w:rPr>
            </w:pPr>
          </w:p>
          <w:p w:rsidR="00A77B3E" w:rsidRDefault="00177B0F">
            <w:pPr>
              <w:ind w:left="6236"/>
              <w:jc w:val="left"/>
            </w:pPr>
            <w:r>
              <w:t>Druk Nr</w:t>
            </w:r>
            <w:r w:rsidR="003810D6">
              <w:t xml:space="preserve"> 214/2022</w:t>
            </w:r>
          </w:p>
          <w:p w:rsidR="00A77B3E" w:rsidRDefault="00177B0F">
            <w:pPr>
              <w:ind w:left="6236"/>
              <w:jc w:val="left"/>
            </w:pPr>
            <w:r>
              <w:t>Projekt z dnia</w:t>
            </w:r>
            <w:r w:rsidR="003810D6">
              <w:t xml:space="preserve"> 6.09.2022 r.</w:t>
            </w:r>
            <w:bookmarkStart w:id="0" w:name="_GoBack"/>
            <w:bookmarkEnd w:id="0"/>
          </w:p>
          <w:p w:rsidR="00A77B3E" w:rsidRDefault="00A77B3E">
            <w:pPr>
              <w:ind w:left="6236"/>
              <w:jc w:val="left"/>
            </w:pPr>
          </w:p>
        </w:tc>
      </w:tr>
    </w:tbl>
    <w:p w:rsidR="00A77B3E" w:rsidRDefault="00A77B3E"/>
    <w:p w:rsidR="00A77B3E" w:rsidRDefault="00177B0F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177B0F">
      <w:pPr>
        <w:spacing w:before="240" w:after="240"/>
        <w:rPr>
          <w:b/>
          <w:caps/>
        </w:rPr>
      </w:pPr>
      <w:r>
        <w:rPr>
          <w:b/>
        </w:rPr>
        <w:t>z dnia                      2022 r.</w:t>
      </w:r>
    </w:p>
    <w:p w:rsidR="00A77B3E" w:rsidRDefault="00177B0F">
      <w:pPr>
        <w:keepNext/>
        <w:spacing w:after="480"/>
      </w:pPr>
      <w:r>
        <w:rPr>
          <w:b/>
        </w:rPr>
        <w:t>w sprawie ustalenia lokalizacji inwestycji mieszkaniowej i inwestycji towarzyszącej przy ulicy Rzgowskiej 26/28 w Łodzi.</w:t>
      </w:r>
    </w:p>
    <w:p w:rsidR="00A77B3E" w:rsidRDefault="00177B0F">
      <w:pPr>
        <w:keepLines/>
        <w:spacing w:before="120" w:after="120"/>
        <w:ind w:firstLine="567"/>
        <w:jc w:val="both"/>
      </w:pPr>
      <w:r>
        <w:t xml:space="preserve">Na podstawie </w:t>
      </w:r>
      <w:r>
        <w:t>art. 18 ust. 2 pkt 15 ustawy z dnia 8 marca 1990 r. o samorządzie gminnym (Dz. U. z 2022 r. poz. 559, 583, 1005, 1079 i 1561) oraz art. 7 ust. 4 i art. 8 ust. 1-3 ustawy z dnia 5 lipca 2018 r. o ułatwieniach w przygotowaniu i realizacji inwestycji mieszkan</w:t>
      </w:r>
      <w:r>
        <w:t>iowych oraz inwestycji towarzyszących (Dz. U. z 2021 r. poz. 1538), Rada Miejska w Łodzi</w:t>
      </w:r>
    </w:p>
    <w:p w:rsidR="00A77B3E" w:rsidRDefault="00177B0F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177B0F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JP SHOOTING RANGE Sp. z o.o. z siedzibą w Łodzi, lokalizację inwestycji mieszkaniowej polegającej na budow</w:t>
      </w:r>
      <w:r>
        <w:t>ie zespołu zabudowy mieszkaniowej wielorodzinnej składającej się z budynku mieszkalnego wielorodzinnego z garażem wielostanowiskowym w „Fabryce Stolarowa” i budynku mieszkalnego wielorodzinnego w pierzei ulicy Rzgowskiej, wraz z niezbędnymi urządzeniami bu</w:t>
      </w:r>
      <w:r>
        <w:t>dowlanymi z nim związanymi oraz drogami wewnętrznymi oraz niezbędną infrastrukturą, oraz inwestycji towarzyszącej polegającej na budowie budynku o funkcji usługowej, służącego obsłudze mieszkańców budynków będących przedmiotem inwestycji mieszkaniowej, wra</w:t>
      </w:r>
      <w:r>
        <w:t>z z niezbędnymi urządzeniami budowlanymi z nim związanymi, przy ulicy Rzgowskiej 26/28 w Łodzi, na części nieruchomości obejmującej część działki nr 159/19 w obrębie G-3 oraz nieruchomości obejmującej działki nr 75/2 i 75/3, w obrębie G-3.</w:t>
      </w:r>
    </w:p>
    <w:p w:rsidR="00A77B3E" w:rsidRDefault="00177B0F">
      <w:pPr>
        <w:keepLines/>
        <w:spacing w:before="240" w:after="120"/>
        <w:ind w:firstLine="567"/>
        <w:jc w:val="both"/>
      </w:pPr>
      <w:r>
        <w:t>§ 2. </w:t>
      </w:r>
      <w:r>
        <w:t>Określa się</w:t>
      </w:r>
      <w:r>
        <w:t xml:space="preserve"> granice terenu objętego inwestycją mieszkaniową i inwestycją towarzyszącą przedstawione na kopii mapy zasadniczej w skali 1:1000 oznaczone linią przerywaną koloru pomarańczowego i literowo A-B-C-D-E-F-G-H-I-J-K-L-M-N-O-P-R-S-S-T-U-W-Y-Z-A’– zgodnie z załą</w:t>
      </w:r>
      <w:r>
        <w:t>cznikiem Nr 1 do uchwały.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>Określa się minimalną łączną powierzchnię użytkową mieszkań – 14 000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22 091,30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135 i maksymalną liczbę mieszkań – 405.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nie przewiduje się powierzchni przeznaczonej na działalność handlową lub usługową. W ramach inwestycji towarzyszącej przewiduje się budowę budynku usługowego o powierzchni użytkowej przeznaczonej na działalność usługo</w:t>
      </w:r>
      <w:r>
        <w:rPr>
          <w:color w:val="000000"/>
          <w:u w:color="000000"/>
        </w:rPr>
        <w:t>wą nieprzekraczającej 151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budowie budynku mieszkalnego wielorodzinnego z garażem wielostanowiskowym podziemnym, oznaczonego numerem 1 na załączniku</w:t>
      </w:r>
      <w:r>
        <w:rPr>
          <w:color w:val="000000"/>
          <w:u w:color="000000"/>
        </w:rPr>
        <w:t xml:space="preserve"> Nr 2 do uchwały;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budynku mieszkalnego wielorodzinnego zlokalizowanego w pierzei ulicy Rzgowskiej, oznaczonego numerem 1.1 na załączniku Nr 2 do uchwały, z przejazdem w parterze od strony ulicy Rzgowskiej prowadzącym do wnętrza terenu inwestycji</w:t>
      </w:r>
      <w:r>
        <w:rPr>
          <w:color w:val="000000"/>
          <w:u w:color="000000"/>
        </w:rPr>
        <w:t>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budynku o funkcji usługowej, oznaczonego numerem 2 na załączniku Nr 2 do uchwały;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 zjazdu z ulicy Rzgowskiej;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zagospodarowaniu terenu m.in. w formie utwardzonych dojść i dojazdów, zieleni, miejsc rekreacji;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budowie niezbędnego </w:t>
      </w:r>
      <w:r>
        <w:rPr>
          <w:color w:val="000000"/>
          <w:u w:color="000000"/>
        </w:rPr>
        <w:t>uzbrojenia terenu, w tym m.in. stacji transformatowych, przyłączy, instalacji zewnętrznych i innych niezbędnych urządzeń budowlanych oraz przebudowie i usunięciu kolizji z istniejącymi sieciami i instalacjami, w tym m.in. z kolektorem sieci sanitarnej ksM7</w:t>
      </w:r>
      <w:r>
        <w:rPr>
          <w:color w:val="000000"/>
          <w:u w:color="000000"/>
        </w:rPr>
        <w:t>00.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 powiązanie inwestycji mieszkaniowej z istniejącym i planowanym uzbrojeniem terenu: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Rzgowskiej, zgodnie z warunkami technicznymi właściwego gestora sieci;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ścieki do kanalizacji </w:t>
      </w:r>
      <w:r>
        <w:rPr>
          <w:color w:val="000000"/>
          <w:u w:color="000000"/>
        </w:rPr>
        <w:t>miejskiej zlokalizowanej w ulicy Rzgowskiej, zgodnie z warunkami technicznymi właściwego gestora sieci;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będą do kanalizacji ogólnospławnej zlokalizowanej w ulicy Rzgowskiej oraz retencjonowane na terenie nieruchomości i odprowa</w:t>
      </w:r>
      <w:r>
        <w:rPr>
          <w:color w:val="000000"/>
          <w:u w:color="000000"/>
        </w:rPr>
        <w:t>dzane do kanalizacji w dłuższym czasie lub zagospodarowywane na terenie posesji, zgodnie z warunkami technicznymi właściwego gestora sieci;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ciepłowniczej, zgodnie z warunkami technicznymi właściwego gestora sieci;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</w:t>
      </w:r>
      <w:r>
        <w:rPr>
          <w:color w:val="000000"/>
          <w:u w:color="000000"/>
        </w:rPr>
        <w:t>ktryczna z sieci zgodnie z warunkami technicznymi właściwego gestora sieci.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towarzyszącej: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</w:t>
      </w:r>
      <w:r>
        <w:rPr>
          <w:color w:val="000000"/>
          <w:u w:color="000000"/>
        </w:rPr>
        <w:t>e inne potrzeby w zakresie uzbrojenia terenu, niezbędną liczbę miejsc postojowych, jak również sposób zagospodarowywania odpadów: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</w:t>
      </w:r>
      <w:r>
        <w:rPr>
          <w:color w:val="000000"/>
          <w:u w:color="000000"/>
        </w:rPr>
        <w:t>ych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bytowe do kanalizacji miejskiej ogólnospławnej – maksymalnie 6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miejskiej – maksymalnie 1100 kW,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1550 kW,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 xml:space="preserve">wody opadowe w maksymalnej </w:t>
      </w:r>
      <w:r>
        <w:rPr>
          <w:color w:val="000000"/>
          <w:u w:color="000000"/>
        </w:rPr>
        <w:t>ilości 20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będą bezpośrednio do kanalizacji ogólnospławnej, a w pozostałej części retencjonowane na terenie nieruchomości i  odprowadzane do kanalizacji w dłuższym czasie lub zagospodarowywane na terenie posesji,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g) </w:t>
      </w:r>
      <w:r>
        <w:rPr>
          <w:color w:val="000000"/>
          <w:u w:color="000000"/>
        </w:rPr>
        <w:t xml:space="preserve">minimalna łączna </w:t>
      </w:r>
      <w:r>
        <w:rPr>
          <w:color w:val="000000"/>
          <w:u w:color="000000"/>
        </w:rPr>
        <w:t>liczba miejsc postojowych, powinna być zgodna z § 3 ust. 1 pkt 2 i ust. 2 uchwały Nr LXXVI/2076/18 Rady Miejskiej w Łodzi z dnia 10 października 2018 r. w sprawie lokalnych standardów urbanistycznych dla Miasta Łodzi (Dz. Urz. Woj. Łódzkiego poz. 5644), zm</w:t>
      </w:r>
      <w:r>
        <w:rPr>
          <w:color w:val="000000"/>
          <w:u w:color="000000"/>
        </w:rPr>
        <w:t>ienionej uchwałami Rady Miejskiej w Łodzi: Nr III/59/18 z dnia 27 grudnia 2018 r. (Dz. Urz. Woj. Łódzkiego z 2019 r. poz. 348), Nr XXXIII/1093/20 z dnia 2 grudnia 2020 r. (Dz. Urz. Woj. Łódzkiego poz. 7200) i Nr LX/1810/22 z dnia 1 czerwca 2022 r. (Dz. Urz</w:t>
      </w:r>
      <w:r>
        <w:rPr>
          <w:color w:val="000000"/>
          <w:u w:color="000000"/>
        </w:rPr>
        <w:t>. Woj. Łódzkiego poz. 3675),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</w:t>
      </w:r>
      <w:r>
        <w:rPr>
          <w:color w:val="000000"/>
          <w:u w:color="000000"/>
        </w:rPr>
        <w:t>ania terenu, w tym przeznaczenie projektowanych obiektów budowlanych, przedstawione w formie opisowej i graficznej: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ukształtowanie budynku mieszkalnego wielorodzinnego, oznaczonego numerem 1 na załączniku Nr 2 do uchwa</w:t>
      </w:r>
      <w:r>
        <w:rPr>
          <w:color w:val="000000"/>
          <w:u w:color="000000"/>
        </w:rPr>
        <w:t>ły, jako bryły na planie litery „U”, tworzące wewnętrzny  plac – dziedziniec, zagospodarowany jako teren zielony, miejsce rekreacji,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elewacja frontowa budynku mieszkalnego wielorodzinnego, oznaczonego numerem 1.1 na załączniku Nr 2 do uchwały, zlokalizo</w:t>
      </w:r>
      <w:r>
        <w:rPr>
          <w:color w:val="000000"/>
          <w:u w:color="000000"/>
        </w:rPr>
        <w:t>wana w pierzei ulicy Rzgowskiej, z przejazdem w parterze, prowadzącym do wnętrza terenu inwestycji,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budynek o funkcji usługowej, oznaczony numerem 2 na załączniku Nr 2 do uchwały, zlokalizowany w miejscu wyburzonych budynków dawnej maszynowni i kotłowni</w:t>
      </w:r>
      <w:r>
        <w:rPr>
          <w:color w:val="000000"/>
          <w:u w:color="000000"/>
        </w:rPr>
        <w:t>,  należących do zabudowań dawnej Fabryki Wyrobów Bawełnianych firmy „W. Stolarow”, w zmienionym obrysie,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dostęp do drogi publicznej – ulicy Rzgowskiej poprzez zjazd i projektowaną drogę na działkach nr 75/2 i 75/3 w obrębie G-3, przy ulicy Rzgowskiej 2</w:t>
      </w:r>
      <w:r>
        <w:rPr>
          <w:color w:val="000000"/>
          <w:u w:color="000000"/>
        </w:rPr>
        <w:t>2,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układ projektowanych dróg dojazdowych połączony z istniejącym układem drogowym w południowej części działki nr 159/19 w obrębie G-3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planowany sposób zagospodarowania terenu określa załącznik Nr 2 do uchwały,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</w:t>
      </w:r>
      <w:r>
        <w:rPr>
          <w:color w:val="000000"/>
          <w:u w:color="000000"/>
        </w:rPr>
        <w:t>owy: zespół zabudowy mieszkaniowej wielorodzinnej z garażem wielostanowiskowym na kondygnacji podziemnej oraz budynek o funkcji usługowej, służący obsłudze mieszkańców budynków będących przedmiotem inwestycji mieszkaniowej;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</w:t>
      </w:r>
      <w:r>
        <w:rPr>
          <w:color w:val="000000"/>
          <w:u w:color="000000"/>
        </w:rPr>
        <w:t xml:space="preserve"> parametry techniczne inwestycji mieszkaniowej oraz dane charakteryzujące jej wpływ na środowisko (w myśl ustawy z dnia 3 października 2008 r. o udostępnianiu informacji o środowisku i jego ochronie, udziale społeczeństwa w ochronie środowiska oraz o ocena</w:t>
      </w:r>
      <w:r>
        <w:rPr>
          <w:color w:val="000000"/>
          <w:u w:color="000000"/>
        </w:rPr>
        <w:t>ch oddziaływania na środowisko, Dz. U. z 2022 r. poz. 1029, 1260, 1261 i 1783):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(nadziemnej) – maksymalnie 5 381,40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wysokość zabudowy:</w:t>
      </w:r>
    </w:p>
    <w:p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budynku mieszkalnego wielorodzinnego, ozna</w:t>
      </w:r>
      <w:r>
        <w:rPr>
          <w:color w:val="000000"/>
          <w:u w:color="000000"/>
        </w:rPr>
        <w:t>czonego numerem 1 na załączniku Nr 2 do uchwały – maksymalnie 22,4 m, liczba kondygnacji: maksymalnie 7 nadziemnych i 1 podziemna,</w:t>
      </w:r>
    </w:p>
    <w:p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lastRenderedPageBreak/>
        <w:t>-- </w:t>
      </w:r>
      <w:r>
        <w:rPr>
          <w:color w:val="000000"/>
          <w:u w:color="000000"/>
        </w:rPr>
        <w:tab/>
        <w:t>budynku mieszkalnego wielorodzinnego, oznaczonego numerem 1.1 na załączniku Nr 2 do uchwały – maksymalnie 16 m, liczba ko</w:t>
      </w:r>
      <w:r>
        <w:rPr>
          <w:color w:val="000000"/>
          <w:u w:color="000000"/>
        </w:rPr>
        <w:t>ndygnacji: od 3 do 4 nadziemnych,</w:t>
      </w:r>
    </w:p>
    <w:p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ab/>
        <w:t>budynku usługowego, oznaczonego numerem 2 na załączniku Nr 2 do uchwały – maksymalnie 10 m,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kształt dachu i kąt nachylenia połaci dachowych:</w:t>
      </w:r>
    </w:p>
    <w:p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budynków mieszkalnych wielorodzinnych, oznaczonych numerami 1 i 1.1 na </w:t>
      </w:r>
      <w:r>
        <w:rPr>
          <w:color w:val="000000"/>
          <w:u w:color="000000"/>
        </w:rPr>
        <w:t>załączniku Nr 2 do uchwały – dach płaski o maksymalnym kącie nachylenia połaci dachowych 5%,</w:t>
      </w:r>
    </w:p>
    <w:p w:rsidR="00A77B3E" w:rsidRDefault="00177B0F">
      <w:pPr>
        <w:keepLines/>
        <w:spacing w:line="360" w:lineRule="auto"/>
        <w:ind w:left="1020" w:hanging="227"/>
        <w:jc w:val="both"/>
        <w:rPr>
          <w:color w:val="000000"/>
          <w:u w:color="000000"/>
        </w:rPr>
      </w:pPr>
      <w:r>
        <w:t>-- </w:t>
      </w:r>
      <w:r>
        <w:rPr>
          <w:color w:val="000000"/>
          <w:u w:color="000000"/>
        </w:rPr>
        <w:t>budynku usługowego, oznaczonego numerem 2 na załączniku Nr 2 do uchwały – dach dwuspadowy o maksymalnym kącie nachylenia połaci dachowych 20%,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 xml:space="preserve">powierzchnia </w:t>
      </w:r>
      <w:r>
        <w:rPr>
          <w:color w:val="000000"/>
          <w:u w:color="000000"/>
        </w:rPr>
        <w:t>biologicznie czynna – minimum 10% powierzchni terenu inwestycji,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dane charakteryzujące jej wpływ na środowisko: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mieszkaniowej wraz z towarzyszącą jej infrastrukturą – mniejsza niż 4 ha,</w:t>
      </w:r>
    </w:p>
    <w:p w:rsidR="00A77B3E" w:rsidRDefault="00177B0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użytkowa garaży wraz z tow</w:t>
      </w:r>
      <w:r>
        <w:rPr>
          <w:color w:val="000000"/>
          <w:u w:color="000000"/>
        </w:rPr>
        <w:t>arzyszącą infrastrukturą na potrzeby budowy zabudowy mieszkaniowej – mniejsza niż 0,5 ha.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inwestycją towarzyszącą będą zlokalizowane na następujących nieruchomościach lub ich częściach, wskazanych według katast</w:t>
      </w:r>
      <w:r>
        <w:rPr>
          <w:color w:val="000000"/>
          <w:u w:color="000000"/>
        </w:rPr>
        <w:t>ru nieruchomości oraz księgi wieczystej: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części działki nr 159/19, obręb G-3 – KW LD1M/00060133/3,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działkach nr 75/2 i 75/3, obręb G-3 – KW LD1M/00304443/2;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towarzyszącej na: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części działki nr </w:t>
      </w:r>
      <w:r>
        <w:rPr>
          <w:color w:val="000000"/>
          <w:u w:color="000000"/>
        </w:rPr>
        <w:t>159/19, obręb G-3 – KW LD1M/00060133/3,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działkach nr 75/2 i 75/3, obręb G-3 – KW LD1M/00304443/2.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Nie wskazuje się nieruchomości, według katastru nieruchomości oraz księgi wieczystej, w stosunku do których decyzja o pozwoleniu na budowę inwestycji</w:t>
      </w:r>
      <w:r>
        <w:rPr>
          <w:color w:val="000000"/>
          <w:u w:color="000000"/>
        </w:rPr>
        <w:t xml:space="preserve"> mieszkaniowej i inwestycji towarzyszącej ma wywołać skutek, o którym mowa w art. 35 ust. 1 ustawy z dnia 5 lipca 2018 r. o ułatwieniach w przygotowaniu i realizacji inwestycji mieszkaniowych oraz inwestycji towarzyszących.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</w:t>
      </w:r>
      <w:r>
        <w:rPr>
          <w:color w:val="000000"/>
          <w:u w:color="000000"/>
        </w:rPr>
        <w:t>ości lub ich części, według katastru nieruchomości oraz księgi wieczystej, o których mowa w art. 38 ust. 1 ustawy z dnia 5 lipca 2018 r. o ułatwieniach w przygotowaniu i realizacji inwestycji mieszkaniowych oraz inwestycji towarzyszących.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</w:t>
      </w:r>
      <w:r>
        <w:rPr>
          <w:color w:val="000000"/>
          <w:u w:color="000000"/>
        </w:rPr>
        <w:t xml:space="preserve"> warunki wynikające z potrzeb ochrony środowiska i ochrony zabytków: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 oraz z 2022 r. poz. 1071) proj</w:t>
      </w:r>
      <w:r>
        <w:rPr>
          <w:color w:val="000000"/>
          <w:u w:color="000000"/>
        </w:rPr>
        <w:t xml:space="preserve">ektowana inwestycja nie kwalifikuje się do przedsięwzięć </w:t>
      </w:r>
      <w:r>
        <w:rPr>
          <w:color w:val="000000"/>
          <w:u w:color="000000"/>
        </w:rPr>
        <w:lastRenderedPageBreak/>
        <w:t>mogących znacząco oddziaływać na środowisko i nie wymaga uzyskania decyzji o środowiskowych uwarunkowaniach realizacji przedsięwzięcia;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</w:t>
      </w:r>
      <w:r>
        <w:rPr>
          <w:color w:val="000000"/>
          <w:u w:color="000000"/>
        </w:rPr>
        <w:t>yrody i ich otulinami, o których mowa w art. 6 ustawy z dnia 16 kwietnia 2004 r. o ochronie przyrody (Dz. U. z 2022 r. poz. 916 i 1726);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realizacja planowanej inwestycji powinna być zgodna z wymogami ochrony środowiska zwartymi w obowiązujących przepisa</w:t>
      </w:r>
      <w:r>
        <w:rPr>
          <w:color w:val="000000"/>
          <w:u w:color="000000"/>
        </w:rPr>
        <w:t>ch i normach, w tym ustawie z dnia 27 kwietnia 2001 r. – Prawo ochrony środowiska (Dz. U. z 2021 r. poz. 1973, 2127 i 2269 oraz z 2022 r. poz. 1079, 1260, 1504, 1576 i 1747);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inwestycja znajduje się na obszarze objętym formami ochrony zabytków, o któryc</w:t>
      </w:r>
      <w:r>
        <w:rPr>
          <w:color w:val="000000"/>
          <w:u w:color="000000"/>
        </w:rPr>
        <w:t>h mowa w art. 7 ustawy z dnia 23 lipca 2003 r. o ochronie zabytków i opiece nad zabytkami (Dz. U. z 2022 r. poz. 840):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„historyczny zespół budowlany dawnej fabryki wyrobów bawełnianych „W. Stolarow” w zakresie obejmującym: budynek przędzalni, budynek sk</w:t>
      </w:r>
      <w:r>
        <w:rPr>
          <w:color w:val="000000"/>
          <w:u w:color="000000"/>
        </w:rPr>
        <w:t>ładu towarów gotowych, budynek maszynowni II przy tkalni, budynek składu przędzy, budynek stróżówki i stołówki, główną bramę wjazdową z fragmentem ogrodzenia od strony ul. Rzgowskiej, a także zachodnią część nieruchomości gruntowej, usytuowane w Łodzi przy</w:t>
      </w:r>
      <w:r>
        <w:rPr>
          <w:color w:val="000000"/>
          <w:u w:color="000000"/>
        </w:rPr>
        <w:t xml:space="preserve"> ul. Rzgowskiej 26/28.” wpisany do rejestru zabytków pod nr A/363, zgodnie z decyzją nr WUOZ-BR.5140.241.PU z dnia 27 listopada 2017 r.,</w:t>
      </w:r>
    </w:p>
    <w:p w:rsidR="00A77B3E" w:rsidRDefault="00177B0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obszar „historycznego układu urbanistycznego oraz krajobrazu kulturowego osady „Nowa Łódka” ujętego w gminnej ewiden</w:t>
      </w:r>
      <w:r>
        <w:rPr>
          <w:color w:val="000000"/>
          <w:u w:color="000000"/>
        </w:rPr>
        <w:t>cji zabytków;</w:t>
      </w:r>
    </w:p>
    <w:p w:rsidR="00A77B3E" w:rsidRDefault="00177B0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realizacja planowanej inwestycji powinna być zgodna z wymogami ustawy z dnia 23 lipca 2003 r. o ochronie zabytków i opiece nad zabytkami.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 xml:space="preserve">Niniejsza uchwała nie rodzi praw do terenu oraz nie narusza prawa własności i uprawnień osób </w:t>
      </w:r>
      <w:r>
        <w:rPr>
          <w:color w:val="000000"/>
          <w:u w:color="000000"/>
        </w:rPr>
        <w:t>trzecich.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177B0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629"/>
      </w:tblGrid>
      <w:tr w:rsidR="00C20546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177B0F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</w:t>
            </w:r>
            <w:r>
              <w:rPr>
                <w:b/>
                <w:color w:val="000000"/>
                <w:u w:color="000000"/>
              </w:rPr>
              <w:t>GOŁASZEWSKI</w:t>
            </w:r>
          </w:p>
        </w:tc>
      </w:tr>
    </w:tbl>
    <w:p w:rsidR="00A77B3E" w:rsidRDefault="00177B0F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177B0F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177B0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177B0F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Granice terenu objętego inwestycją </w:t>
      </w:r>
      <w:r>
        <w:rPr>
          <w:b/>
          <w:color w:val="000000"/>
          <w:u w:color="000000"/>
        </w:rPr>
        <w:t>mieszkaniową i inwestycją towarzyszącą</w:t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>
            <wp:extent cx="4953691" cy="7003281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70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177B0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177B0F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br/>
      </w:r>
      <w:r>
        <w:rPr>
          <w:noProof/>
          <w:color w:val="000000"/>
          <w:u w:color="000000"/>
          <w:lang w:eastAsia="zh-TW" w:bidi="ar-SA"/>
        </w:rPr>
        <w:drawing>
          <wp:inline distT="0" distB="0" distL="0" distR="0">
            <wp:extent cx="5764581" cy="4068556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4068556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>
            <wp:extent cx="5764581" cy="4068556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lastRenderedPageBreak/>
        <w:drawing>
          <wp:inline distT="0" distB="0" distL="0" distR="0">
            <wp:extent cx="5764581" cy="4068556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177B0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eastAsia="zh-TW" w:bidi="ar-SA"/>
        </w:rPr>
        <w:drawing>
          <wp:inline distT="0" distB="0" distL="0" distR="0">
            <wp:extent cx="5764581" cy="4068556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C20546" w:rsidRDefault="00C20546">
      <w:pPr>
        <w:rPr>
          <w:color w:val="000000"/>
          <w:szCs w:val="20"/>
        </w:rPr>
      </w:pPr>
    </w:p>
    <w:p w:rsidR="00C20546" w:rsidRDefault="00177B0F">
      <w:pPr>
        <w:rPr>
          <w:color w:val="000000"/>
          <w:szCs w:val="20"/>
        </w:rPr>
      </w:pPr>
      <w:r>
        <w:rPr>
          <w:b/>
          <w:color w:val="000000"/>
          <w:szCs w:val="20"/>
        </w:rPr>
        <w:t>Uzasadnienie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Na podstawie art. 7 ust. 1 i 6 ustawy z dnia 5 lipca 2018 r. o ułatwieniach w przygotowaniu i realizacji inwestycji mieszkaniowych i inwestycji towarzyszących (Dz. U. z </w:t>
      </w:r>
      <w:r w:rsidRPr="003810D6">
        <w:rPr>
          <w:szCs w:val="20"/>
          <w:lang w:eastAsia="en-US" w:bidi="en-US"/>
        </w:rPr>
        <w:t>2021</w:t>
      </w:r>
      <w:r>
        <w:rPr>
          <w:szCs w:val="20"/>
        </w:rPr>
        <w:t> r. poz. 1538), zwanej dalej specustawą</w:t>
      </w:r>
      <w:r w:rsidRPr="003810D6">
        <w:rPr>
          <w:szCs w:val="20"/>
          <w:lang w:eastAsia="it-IT" w:bidi="it-IT"/>
        </w:rPr>
        <w:t>, pe</w:t>
      </w:r>
      <w:r>
        <w:rPr>
          <w:szCs w:val="20"/>
        </w:rPr>
        <w:t>łnomocnik inwestora JP SHOO</w:t>
      </w:r>
      <w:r>
        <w:rPr>
          <w:szCs w:val="20"/>
        </w:rPr>
        <w:t>TING RANGE Sp. z </w:t>
      </w:r>
      <w:r w:rsidRPr="003810D6">
        <w:rPr>
          <w:szCs w:val="20"/>
          <w:lang w:eastAsia="it-IT" w:bidi="it-IT"/>
        </w:rPr>
        <w:t>o.o. z</w:t>
      </w:r>
      <w:r>
        <w:rPr>
          <w:szCs w:val="20"/>
        </w:rPr>
        <w:t> siedzibą w Łodzi</w:t>
      </w:r>
      <w:r w:rsidRPr="003810D6">
        <w:rPr>
          <w:szCs w:val="20"/>
          <w:lang w:eastAsia="it-IT" w:bidi="it-IT"/>
        </w:rPr>
        <w:t>,</w:t>
      </w:r>
      <w:r>
        <w:rPr>
          <w:szCs w:val="20"/>
        </w:rPr>
        <w:t xml:space="preserve"> pismem z dnia 1 kwietnia 2022 r. wystąpił, za pośrednictwem Prezydenta Miasta Łodzi - Biura Architekta Miasta w Departamencie Planowania i  Rozwoju Gospodarczego Urzędu Miasta Łodzi, do Rady Miejskiej w Łodzi o ustalenie lokalizacji inwestycji mieszkaniow</w:t>
      </w:r>
      <w:r>
        <w:rPr>
          <w:szCs w:val="20"/>
        </w:rPr>
        <w:t>ej polegającej na budowie zespołu zabudowy mieszkaniowej wielorodzinnej z </w:t>
      </w:r>
      <w:r w:rsidRPr="003810D6">
        <w:rPr>
          <w:szCs w:val="20"/>
          <w:lang w:eastAsia="it-IT" w:bidi="it-IT"/>
        </w:rPr>
        <w:t>gara</w:t>
      </w:r>
      <w:r>
        <w:rPr>
          <w:szCs w:val="20"/>
        </w:rPr>
        <w:t>żem wielostanowiskowym na kondygnacji podziemnej w „Fabryce Stolarowa”, wraz z niezbędnymi urządzeniami budowlanymi z nim związanymi oraz drogami wewnętrznymi oraz niezbędną infr</w:t>
      </w:r>
      <w:r>
        <w:rPr>
          <w:szCs w:val="20"/>
        </w:rPr>
        <w:t>astrukturą, oraz inwestycji towarzyszącej polegającej na budowie budynku o funkcji usługowej, służącemu obsłudze mieszkańców budynku będącego przedmiotem inwestycji mieszkaniowej, wraz z niezbędnymi urządzeniami budowlanymi z nim związanymi, przy ulicy Rzg</w:t>
      </w:r>
      <w:r>
        <w:rPr>
          <w:szCs w:val="20"/>
        </w:rPr>
        <w:t>owskiej 26/28 w Łodzi, na nieruchomościach lub ich częściach obejmujących działki lub ich części o nr. 159/19, 75/2, 75/3, 153/1 i 152/1 w </w:t>
      </w:r>
      <w:r>
        <w:rPr>
          <w:szCs w:val="20"/>
          <w:lang w:val="x-none"/>
        </w:rPr>
        <w:t>obr</w:t>
      </w:r>
      <w:r>
        <w:rPr>
          <w:szCs w:val="20"/>
        </w:rPr>
        <w:t>ębie G-3. W związku z brakami formalnymi, wniosek został uzupełniony przy piśmie z dnia 28 kwietnia 2022 r., a nas</w:t>
      </w:r>
      <w:r>
        <w:rPr>
          <w:szCs w:val="20"/>
        </w:rPr>
        <w:t>tępnie zmodyfikowany dnia 5 maja 2022 r. i opublikowany 9 maja 2022 r. w Biuletynie Informacji Publicznej na stronie Urzędu Miasta Łodzi.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związku z odmową uzgodnienia ww. wniosku przez Łódzkiego Wojewódzkiego Konserwatora Zabytków i Zarząd Dróg i Transpo</w:t>
      </w:r>
      <w:r>
        <w:rPr>
          <w:szCs w:val="20"/>
        </w:rPr>
        <w:t>rtu oraz negatywną opinią Miejskiej Komisji Urbanistyczno-Architektonicznej, inwestor zmodyfikował wniosek przy piśmie z dnia 30 czerwca 2022 r. Inwestor m.in. rozszerzył zakres inwestycji mieszkaniowej o budynek mieszkalny wielorodzinny zlokalizowany w pi</w:t>
      </w:r>
      <w:r>
        <w:rPr>
          <w:szCs w:val="20"/>
        </w:rPr>
        <w:t>erzei ulicy Rzgowskiej oraz zmniejszył teren objęty wnioskiem do części nieruchomości obejmującej część działki nr 159/19 oraz nieruchomości obejmującej działki nr 75/2 i 75/3, w </w:t>
      </w:r>
      <w:r>
        <w:rPr>
          <w:szCs w:val="20"/>
          <w:lang w:val="x-none"/>
        </w:rPr>
        <w:t>obr</w:t>
      </w:r>
      <w:r>
        <w:rPr>
          <w:szCs w:val="20"/>
        </w:rPr>
        <w:t>ębie G-3. Wniosek został opublikowany w Biuletynie Informacji Publicznej d</w:t>
      </w:r>
      <w:r>
        <w:rPr>
          <w:szCs w:val="20"/>
        </w:rPr>
        <w:t>nia 1 lipca 2022 r.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Wniosek spełnia wymagania okreś</w:t>
      </w:r>
      <w:r w:rsidRPr="003810D6">
        <w:rPr>
          <w:szCs w:val="20"/>
          <w:lang w:eastAsia="en-US" w:bidi="en-US"/>
        </w:rPr>
        <w:t>lone w</w:t>
      </w:r>
      <w:r>
        <w:rPr>
          <w:szCs w:val="20"/>
        </w:rPr>
        <w:t> art. 7 ust. 7 specustawy. Określono granice terenu objętego wnioskiem, przedstawiając je na kopii mapy zasadniczej, przyjętej do państwowego zasobu geodezyjnego i kartograficznego, obejmującej teren</w:t>
      </w:r>
      <w:r>
        <w:rPr>
          <w:szCs w:val="20"/>
        </w:rPr>
        <w:t>, kt</w:t>
      </w:r>
      <w:r>
        <w:rPr>
          <w:szCs w:val="20"/>
          <w:lang w:val="x-none"/>
        </w:rPr>
        <w:t>ó</w:t>
      </w:r>
      <w:r>
        <w:rPr>
          <w:szCs w:val="20"/>
        </w:rPr>
        <w:t>rego wniosek dotyczy i obszar, na kt</w:t>
      </w:r>
      <w:r>
        <w:rPr>
          <w:szCs w:val="20"/>
          <w:lang w:val="x-none"/>
        </w:rPr>
        <w:t>ó</w:t>
      </w:r>
      <w:r>
        <w:rPr>
          <w:szCs w:val="20"/>
        </w:rPr>
        <w:t>ry inwestycja będzie oddziaływać, w skali 1:1000. Określono planowaną minimalną i maksymalną powierzchnię użytkową mieszkań, planowaną minimalną i maksymalną liczbę mieszkań, zakres inwestycji przeznaczony na dział</w:t>
      </w:r>
      <w:r>
        <w:rPr>
          <w:szCs w:val="20"/>
        </w:rPr>
        <w:t>alność usługową, zmiany w dotychczasowym sposobie zagospodarowania terenu. Wniosek obejmuje analizę powiązania inwestycji mieszkaniowej z uzbrojeniem terenu, oraz charakterystykę inwestycji mieszkaniowej. Wnioskodawca określił, że  nie wskazuje nieruchomoś</w:t>
      </w:r>
      <w:r>
        <w:rPr>
          <w:szCs w:val="20"/>
        </w:rPr>
        <w:t>ci, według katastru nieruchomości oraz księgi wieczystej, na kt</w:t>
      </w:r>
      <w:r>
        <w:rPr>
          <w:szCs w:val="20"/>
          <w:lang w:val="x-none"/>
        </w:rPr>
        <w:t>ó</w:t>
      </w:r>
      <w:r>
        <w:rPr>
          <w:szCs w:val="20"/>
        </w:rPr>
        <w:t>rych mają być zlokalizowane obiekty objęte inwestycją mieszkaniową i towarzyszącą oraz nieruchomoś</w:t>
      </w:r>
      <w:r w:rsidRPr="003810D6">
        <w:rPr>
          <w:szCs w:val="20"/>
          <w:lang w:eastAsia="it-IT" w:bidi="it-IT"/>
        </w:rPr>
        <w:t>ci, o</w:t>
      </w:r>
      <w:r>
        <w:rPr>
          <w:szCs w:val="20"/>
        </w:rPr>
        <w:t> kt</w:t>
      </w:r>
      <w:r>
        <w:rPr>
          <w:szCs w:val="20"/>
          <w:lang w:val="x-none"/>
        </w:rPr>
        <w:t>ó</w:t>
      </w:r>
      <w:r>
        <w:rPr>
          <w:szCs w:val="20"/>
        </w:rPr>
        <w:t>rych mowa w art. 35 ust. 1 i art. 38 ust. 1 specustawy. Inwestor wskazał r</w:t>
      </w:r>
      <w:r>
        <w:rPr>
          <w:szCs w:val="20"/>
          <w:lang w:val="x-none"/>
        </w:rPr>
        <w:t>ó</w:t>
      </w:r>
      <w:r>
        <w:rPr>
          <w:szCs w:val="20"/>
        </w:rPr>
        <w:t>wnież, że </w:t>
      </w:r>
      <w:r>
        <w:rPr>
          <w:szCs w:val="20"/>
        </w:rPr>
        <w:t>dla obszaru, na kt</w:t>
      </w:r>
      <w:r>
        <w:rPr>
          <w:szCs w:val="20"/>
          <w:lang w:val="x-none"/>
        </w:rPr>
        <w:t>ó</w:t>
      </w:r>
      <w:r>
        <w:rPr>
          <w:szCs w:val="20"/>
        </w:rPr>
        <w:t xml:space="preserve">rym zlokalizowana jest inwestycja obowiązuje miejscowy plan zagospodarowania przestrzennego, w jakim zakresie wnioskowana inwestycja nie spełnia jego ustaleń oraz wykazał brak sprzeczności inwestycji mieszkaniowej ze studium uwarunkowań </w:t>
      </w:r>
      <w:r>
        <w:rPr>
          <w:szCs w:val="20"/>
        </w:rPr>
        <w:t>i kierunk</w:t>
      </w:r>
      <w:r>
        <w:rPr>
          <w:szCs w:val="20"/>
          <w:lang w:val="x-none"/>
        </w:rPr>
        <w:t>ó</w:t>
      </w:r>
      <w:r>
        <w:rPr>
          <w:szCs w:val="20"/>
        </w:rPr>
        <w:t>w zagospodarowania przestrzennego miasta Łodzi. Inwestor wykazał, że inwestycja mieszkaniowa odpowiada standardom, o kt</w:t>
      </w:r>
      <w:r>
        <w:rPr>
          <w:szCs w:val="20"/>
          <w:lang w:val="x-none"/>
        </w:rPr>
        <w:t>ó</w:t>
      </w:r>
      <w:r>
        <w:rPr>
          <w:szCs w:val="20"/>
        </w:rPr>
        <w:t>rych mowa w rozdziale 3 specustawy. Do wniosku załączono koncepcję urbanistyczno-architektoniczną, sporządzoną przez osobę wpi</w:t>
      </w:r>
      <w:r>
        <w:rPr>
          <w:szCs w:val="20"/>
        </w:rPr>
        <w:t>saną na listę izby samorządu zawodowego architekt</w:t>
      </w:r>
      <w:r>
        <w:rPr>
          <w:szCs w:val="20"/>
          <w:lang w:val="x-none"/>
        </w:rPr>
        <w:t>ó</w:t>
      </w:r>
      <w:r>
        <w:rPr>
          <w:szCs w:val="20"/>
        </w:rPr>
        <w:t>w posiadającą uprawnienia budowlane do projektowania bez ograniczeń w specjalności architektonicznej, oraz inne wymagane oświadczenia i zaświadczenia.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 xml:space="preserve">Pismem z dnia 5 lipca 2022 r. powiadomiono organy </w:t>
      </w:r>
      <w:r>
        <w:rPr>
          <w:szCs w:val="20"/>
        </w:rPr>
        <w:t>opiniują</w:t>
      </w:r>
      <w:r w:rsidRPr="003810D6">
        <w:rPr>
          <w:szCs w:val="20"/>
          <w:lang w:eastAsia="en-US" w:bidi="en-US"/>
        </w:rPr>
        <w:t>ce i</w:t>
      </w:r>
      <w:r>
        <w:rPr>
          <w:szCs w:val="20"/>
        </w:rPr>
        <w:t> uzgadniające, o kt</w:t>
      </w:r>
      <w:r>
        <w:rPr>
          <w:szCs w:val="20"/>
          <w:lang w:val="x-none"/>
        </w:rPr>
        <w:t>ó</w:t>
      </w:r>
      <w:r>
        <w:rPr>
          <w:szCs w:val="20"/>
        </w:rPr>
        <w:t>rych mowa w art. 7 ust. 12 i 14 specustawy, o możliwości przedstawienia stanowiska w sprawie lub uzgodnienia w ciągu 21 dni od daty doręczenia wystąpienia.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Prezydent Mias</w:t>
      </w:r>
      <w:r>
        <w:rPr>
          <w:szCs w:val="20"/>
        </w:rPr>
        <w:t>ta Łodzi, w kt</w:t>
      </w:r>
      <w:r>
        <w:rPr>
          <w:szCs w:val="20"/>
          <w:lang w:val="x-none"/>
        </w:rPr>
        <w:t>ó</w:t>
      </w:r>
      <w:r>
        <w:rPr>
          <w:szCs w:val="20"/>
        </w:rPr>
        <w:t>rego imieniu działa Dyrektor Łódzkiego Ośrodka Geodezji - opinia z dnia 14 lipca 2022 r., znak OKS.071.47.2022.2, informują</w:t>
      </w:r>
      <w:r w:rsidRPr="003810D6">
        <w:rPr>
          <w:szCs w:val="20"/>
          <w:lang w:eastAsia="it-IT" w:bidi="it-IT"/>
        </w:rPr>
        <w:t>ca o</w:t>
      </w:r>
      <w:r>
        <w:rPr>
          <w:szCs w:val="20"/>
        </w:rPr>
        <w:t> braku zastrzeżeń w zakresie ochrony grunt</w:t>
      </w:r>
      <w:r>
        <w:rPr>
          <w:szCs w:val="20"/>
          <w:lang w:val="x-none"/>
        </w:rPr>
        <w:t>ó</w:t>
      </w:r>
      <w:r>
        <w:rPr>
          <w:szCs w:val="20"/>
        </w:rPr>
        <w:t xml:space="preserve">w rolnych oraz koordynacji usytuowania projektowanych sieci uzbrojenia </w:t>
      </w:r>
      <w:r>
        <w:rPr>
          <w:szCs w:val="20"/>
        </w:rPr>
        <w:t>terenu;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Szef Centralnego Wojskowego Centrum Rekrutacji, Szef Ośrodka Zamiejscowego w Łodzi - pismo z dnia 11 lipca 2022 r. znak: CWCR_OZ_Łódź.Oper.0732.78.2022 informujące o braku uwag i zastrzeżeń do przedmiotowej lokalizacji;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Miejska Komisja Urbanist</w:t>
      </w:r>
      <w:r>
        <w:rPr>
          <w:szCs w:val="20"/>
        </w:rPr>
        <w:t>yczno-Architektoniczna - pozytywna opinia wyrażona w uchwale nr 27/X/2022 z dnia 18 lipca 2022 r.;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Zarząd Wojew</w:t>
      </w:r>
      <w:r>
        <w:rPr>
          <w:szCs w:val="20"/>
          <w:lang w:val="x-none"/>
        </w:rPr>
        <w:t>ó</w:t>
      </w:r>
      <w:r>
        <w:rPr>
          <w:szCs w:val="20"/>
        </w:rPr>
        <w:t>dztwa Łódzkiego - pismo z dnia 21 lipca 2022 r., znak BPPWŁ.ZP.405.5.2022, informują</w:t>
      </w:r>
      <w:r w:rsidRPr="003810D6">
        <w:rPr>
          <w:szCs w:val="20"/>
          <w:lang w:eastAsia="it-IT" w:bidi="it-IT"/>
        </w:rPr>
        <w:t>c</w:t>
      </w:r>
      <w:r>
        <w:rPr>
          <w:szCs w:val="20"/>
        </w:rPr>
        <w:t>e</w:t>
      </w:r>
      <w:r w:rsidRPr="003810D6">
        <w:rPr>
          <w:szCs w:val="20"/>
          <w:lang w:eastAsia="it-IT" w:bidi="it-IT"/>
        </w:rPr>
        <w:t xml:space="preserve"> o</w:t>
      </w:r>
      <w:r>
        <w:rPr>
          <w:szCs w:val="20"/>
        </w:rPr>
        <w:t xml:space="preserve"> braku możliwości przeprowadzenia oceny przedłożonego </w:t>
      </w:r>
      <w:r>
        <w:rPr>
          <w:szCs w:val="20"/>
        </w:rPr>
        <w:t>projektu i zaopiniowania go z uwagi na fakt, że Wojew</w:t>
      </w:r>
      <w:r>
        <w:rPr>
          <w:szCs w:val="20"/>
          <w:lang w:val="x-none"/>
        </w:rPr>
        <w:t>ó</w:t>
      </w:r>
      <w:r>
        <w:rPr>
          <w:szCs w:val="20"/>
        </w:rPr>
        <w:t>dztwo Łódzkie nie posiada audytu krajobrazowego;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Łódzki Państwowy Wojew</w:t>
      </w:r>
      <w:r>
        <w:rPr>
          <w:szCs w:val="20"/>
          <w:lang w:val="x-none"/>
        </w:rPr>
        <w:t>ó</w:t>
      </w:r>
      <w:r>
        <w:rPr>
          <w:szCs w:val="20"/>
        </w:rPr>
        <w:t>dzki Inspektor Sanitarny w Łodzi - pozytywna opinia z dnia 25 lipca 2022 r., znak: Ł</w:t>
      </w:r>
      <w:r w:rsidRPr="003810D6">
        <w:rPr>
          <w:szCs w:val="20"/>
          <w:lang w:eastAsia="de-DE" w:bidi="de-DE"/>
        </w:rPr>
        <w:t>PWIS.NSOZNS.9022.</w:t>
      </w:r>
      <w:r>
        <w:rPr>
          <w:szCs w:val="20"/>
        </w:rPr>
        <w:t>260</w:t>
      </w:r>
      <w:r w:rsidRPr="003810D6">
        <w:rPr>
          <w:szCs w:val="20"/>
          <w:lang w:eastAsia="de-DE" w:bidi="de-DE"/>
        </w:rPr>
        <w:t>.2022.</w:t>
      </w:r>
      <w:r>
        <w:rPr>
          <w:szCs w:val="20"/>
        </w:rPr>
        <w:t>AK</w:t>
      </w:r>
      <w:r w:rsidRPr="003810D6">
        <w:rPr>
          <w:szCs w:val="20"/>
          <w:lang w:eastAsia="de-DE" w:bidi="de-DE"/>
        </w:rPr>
        <w:t>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</w:t>
      </w:r>
      <w:r>
        <w:rPr>
          <w:szCs w:val="20"/>
        </w:rPr>
        <w:t>ne opinie zostały wysłane do Wnioskodawcy.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Wojew</w:t>
      </w:r>
      <w:r>
        <w:rPr>
          <w:szCs w:val="20"/>
          <w:lang w:val="x-none"/>
        </w:rPr>
        <w:t>ó</w:t>
      </w:r>
      <w:r>
        <w:rPr>
          <w:szCs w:val="20"/>
        </w:rPr>
        <w:t>dzkiej Państwowej Straży Pożarnej w Łodzi;</w:t>
      </w:r>
    </w:p>
    <w:p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Agencji Bezpieczeństwa Wewnętrznego / Dyrektora D</w:t>
      </w:r>
      <w:r>
        <w:rPr>
          <w:szCs w:val="20"/>
        </w:rPr>
        <w:t>elegatury w Katowicach;</w:t>
      </w:r>
    </w:p>
    <w:p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Wojew</w:t>
      </w:r>
      <w:r>
        <w:rPr>
          <w:szCs w:val="20"/>
          <w:lang w:val="x-none"/>
        </w:rPr>
        <w:t>ó</w:t>
      </w:r>
      <w:r>
        <w:rPr>
          <w:szCs w:val="20"/>
        </w:rPr>
        <w:t>dzkiego Policji w Łodzi;</w:t>
      </w:r>
    </w:p>
    <w:p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Komendanta Nadwiślańskiego Oddział</w:t>
      </w:r>
      <w:r w:rsidRPr="003810D6">
        <w:rPr>
          <w:szCs w:val="20"/>
          <w:lang w:eastAsia="de-DE" w:bidi="de-DE"/>
        </w:rPr>
        <w:t>u Stra</w:t>
      </w:r>
      <w:r>
        <w:rPr>
          <w:szCs w:val="20"/>
        </w:rPr>
        <w:t>ży Granicznej im. Powstania Warszawskiego,</w:t>
      </w:r>
    </w:p>
    <w:p w:rsidR="00C20546" w:rsidRDefault="00177B0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</w:t>
      </w:r>
      <w:r>
        <w:rPr>
          <w:szCs w:val="20"/>
        </w:rPr>
        <w:tab/>
        <w:t>Prezesa Urzędu Lotnictwa Cywilnego,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co do kt</w:t>
      </w:r>
      <w:r>
        <w:rPr>
          <w:szCs w:val="20"/>
          <w:lang w:val="x-none"/>
        </w:rPr>
        <w:t>ó</w:t>
      </w:r>
      <w:r>
        <w:rPr>
          <w:szCs w:val="20"/>
        </w:rPr>
        <w:t xml:space="preserve">rych zgodnie z art. 7 ust. 13 specustawy nieprzekazanie </w:t>
      </w:r>
      <w:r>
        <w:rPr>
          <w:szCs w:val="20"/>
        </w:rPr>
        <w:t>opinii w terminie 21 dni od dnia otrzymania powiadomienia uznaje się za brak zastrzeżeń.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Organy uzgadniające: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Zarząd Dr</w:t>
      </w:r>
      <w:r>
        <w:rPr>
          <w:szCs w:val="20"/>
          <w:lang w:val="x-none"/>
        </w:rPr>
        <w:t>ó</w:t>
      </w:r>
      <w:r w:rsidRPr="003810D6">
        <w:rPr>
          <w:szCs w:val="20"/>
          <w:lang w:eastAsia="en-US" w:bidi="en-US"/>
        </w:rPr>
        <w:t>g i</w:t>
      </w:r>
      <w:r>
        <w:rPr>
          <w:szCs w:val="20"/>
        </w:rPr>
        <w:t> </w:t>
      </w:r>
      <w:r w:rsidRPr="003810D6">
        <w:rPr>
          <w:szCs w:val="20"/>
          <w:lang w:eastAsia="pt-PT" w:bidi="pt-PT"/>
        </w:rPr>
        <w:t>Transportu</w:t>
      </w:r>
      <w:r>
        <w:rPr>
          <w:szCs w:val="20"/>
        </w:rPr>
        <w:t xml:space="preserve"> nie wypowiedział się w terminie 21 dni od dnia otrzymania wniosku, co zgodnie z art. 7 pkt 15 specustawy uznaje się za </w:t>
      </w:r>
      <w:r>
        <w:rPr>
          <w:szCs w:val="20"/>
        </w:rPr>
        <w:t>uzgodnienie wniosku,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― Łódzki Wojew</w:t>
      </w:r>
      <w:r>
        <w:rPr>
          <w:szCs w:val="20"/>
          <w:lang w:val="x-none"/>
        </w:rPr>
        <w:t>ó</w:t>
      </w:r>
      <w:r>
        <w:rPr>
          <w:szCs w:val="20"/>
        </w:rPr>
        <w:t>dzki Konserwator Zabytk</w:t>
      </w:r>
      <w:r>
        <w:rPr>
          <w:szCs w:val="20"/>
          <w:lang w:val="x-none"/>
        </w:rPr>
        <w:t>ó</w:t>
      </w:r>
      <w:r>
        <w:rPr>
          <w:szCs w:val="20"/>
        </w:rPr>
        <w:t>w uzgodnił zmodyfikowany wniosek o ustalenie lokalizacji inwestycji mieszkaniowej i inwestycji towarzyszącej przy ulicy Rzgowskiej 26/28 w Łodzi - postanowienie z dnia 12 lipca 2022 r. znak WUOZ-P</w:t>
      </w:r>
      <w:r>
        <w:rPr>
          <w:szCs w:val="20"/>
        </w:rPr>
        <w:t>P.5151.654.2022.LL.AD.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Do projektu uchwały, zgodnie z art. 7 ust. 17 specustawy, dołączone zostały uzyskane opinie i uzgodnienia. Z ich treści wynika, że podmioty opiniujące lub uzgadniające nie wniosły sprzeciwu wobec planowanej inwestycji.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trakcie trwa</w:t>
      </w:r>
      <w:r>
        <w:rPr>
          <w:szCs w:val="20"/>
        </w:rPr>
        <w:t>nia procedury nie wpłynęły żadne uwagi do wniosku.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Wnioskodawca złożył oświadczenie, o kt</w:t>
      </w:r>
      <w:r>
        <w:rPr>
          <w:szCs w:val="20"/>
          <w:lang w:val="x-none"/>
        </w:rPr>
        <w:t>ó</w:t>
      </w:r>
      <w:r>
        <w:rPr>
          <w:szCs w:val="20"/>
        </w:rPr>
        <w:t>rym mowa w art. 7 ust. 8 pkt 2 specustawy, że nie zachodzi kolizja lokalizacji inwestycji mieszkaniowej z inwestycjami, o kt</w:t>
      </w:r>
      <w:r>
        <w:rPr>
          <w:szCs w:val="20"/>
          <w:lang w:val="x-none"/>
        </w:rPr>
        <w:t>ó</w:t>
      </w:r>
      <w:r>
        <w:rPr>
          <w:szCs w:val="20"/>
        </w:rPr>
        <w:t xml:space="preserve">rych mowa w art. 4 pkt 1-13 specustawy i </w:t>
      </w:r>
      <w:r>
        <w:rPr>
          <w:szCs w:val="20"/>
        </w:rPr>
        <w:t>kt</w:t>
      </w:r>
      <w:r>
        <w:rPr>
          <w:szCs w:val="20"/>
          <w:lang w:val="x-none"/>
        </w:rPr>
        <w:t>ó</w:t>
      </w:r>
      <w:r>
        <w:rPr>
          <w:szCs w:val="20"/>
        </w:rPr>
        <w:t>re mają ustawowe pierwszeństwo przed inwestycjami mieszkaniowymi.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Na obszarze obejmującym teren wniosku obowiązuje miejscowy plan zagospodarowania przestrzennego dla części obszaru miasta Łodzi położonej w rejonie ulic: Stanisława Przybyszewskiego, Kruc</w:t>
      </w:r>
      <w:r>
        <w:rPr>
          <w:szCs w:val="20"/>
        </w:rPr>
        <w:t>zej, Zarzewskiej, Łomżyńskiej, gen. Jarosława Dąbrowskiego, Rzgowskiej, Bednarskiej, Wólczańskiej, Sieradzkiej i Piotrkowskiej oraz placu Reymonta, przyjęty uchwałą Nr LXXXVIII/1823/14 Rady Miejskiej w Łodzi z dnia 4 czerwca 2014 r.. Teren inwestycji miesz</w:t>
      </w:r>
      <w:r>
        <w:rPr>
          <w:szCs w:val="20"/>
        </w:rPr>
        <w:t>kaniowej zlokalizowany jest na terenie wyznaczonym liniami rozgraniczającymi i oznaczony symbolem 1U, o przeznaczeniu tereny zabudowy usługowej z ograniczeniem do usług handlu, gastronomii, kultury, usług administracyjno-biurowych, hotelarstwa i zakwaterow</w:t>
      </w:r>
      <w:r>
        <w:rPr>
          <w:szCs w:val="20"/>
        </w:rPr>
        <w:t>ania turystycznego, opieki medycznej. Niezgodność z ustaleniami miejscowego planu zagospodarowania przestrzennego dotyczy przede wszystkim przeznaczenia: w mpzp - teren zabudowy usługowej, wniosek dotyczy m.in. dwóch budynków mieszkaniowych wielorodzinnych</w:t>
      </w:r>
      <w:r>
        <w:rPr>
          <w:szCs w:val="20"/>
        </w:rPr>
        <w:t>; wysokości zabudowy: w mpzp do 5 kondygnacji i jednocześnie nie więcej niż 16 m, wniosek obejmuje m.in. budynek wielorodzinnych o wysokości do 7 kondygnacji i maksymalnie 22,4 m wysokości; ilość miejsc parkingowych zmniejszonych do wskaźnika 0,7 miejsca n</w:t>
      </w:r>
      <w:r>
        <w:rPr>
          <w:szCs w:val="20"/>
        </w:rPr>
        <w:t>a lokal mieszkalny, która jest zgodna z lokalnymi standardami urbanistycznymi, zamiast 1,2 ustalonego w planie miejscowym; nieuwzględnienia strefy zieleni wyznaczonej w planie miejscowym w północno-wschodniej części działki, na której zaprojektowano fragme</w:t>
      </w:r>
      <w:r>
        <w:rPr>
          <w:szCs w:val="20"/>
        </w:rPr>
        <w:t>nt budynku mieszkalnego wielorodzinnego, jednocześnie lokalizując powierzchnię biologicznie czynną (min. 10% powierzchni terenu inwestycji) głównie w centralnej części założenia, na placu-dziedzińcu wewnętrznym.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Zgodnie z art. 5 ust. 3 specustawy inwestycj</w:t>
      </w:r>
      <w:r>
        <w:rPr>
          <w:szCs w:val="20"/>
        </w:rPr>
        <w:t>ę mieszkaniową lub inwestycję towarzyszącą realizuje się niezależnie od istnienia lub ustaleń miejscowego planu zagospodarowania przestrzennego pod warunkiem, że nie jest sprzeczna ze studium uwarunkowań kierunk</w:t>
      </w:r>
      <w:r>
        <w:rPr>
          <w:szCs w:val="20"/>
          <w:lang w:val="x-none"/>
        </w:rPr>
        <w:t>ó</w:t>
      </w:r>
      <w:r>
        <w:rPr>
          <w:szCs w:val="20"/>
        </w:rPr>
        <w:t xml:space="preserve">w zagospodarowania przestrzennego gminy </w:t>
      </w:r>
      <w:r>
        <w:rPr>
          <w:szCs w:val="20"/>
        </w:rPr>
        <w:t>oraz uchwałą o utworzeniu parku kulturowego. Z ustaleń Studium uwarunkowań i kierunk</w:t>
      </w:r>
      <w:r>
        <w:rPr>
          <w:szCs w:val="20"/>
          <w:lang w:val="x-none"/>
        </w:rPr>
        <w:t>ó</w:t>
      </w:r>
      <w:r>
        <w:rPr>
          <w:szCs w:val="20"/>
        </w:rPr>
        <w:t>w zagospodarowania przestrzennego, przyjętego uchwałą Nr LXIX/1753/18 Rady Miejskiej w Łodzi z dnia 28 </w:t>
      </w:r>
      <w:r w:rsidRPr="003810D6">
        <w:rPr>
          <w:szCs w:val="20"/>
          <w:lang w:eastAsia="it-IT" w:bidi="it-IT"/>
        </w:rPr>
        <w:t>marca 2018</w:t>
      </w:r>
      <w:r>
        <w:rPr>
          <w:szCs w:val="20"/>
        </w:rPr>
        <w:t> r., zmienioną uchwałami Rady Miejskiej w Łodzi Nr VI/215</w:t>
      </w:r>
      <w:r>
        <w:rPr>
          <w:szCs w:val="20"/>
        </w:rPr>
        <w:t>/19 z dnia 6 </w:t>
      </w:r>
      <w:r w:rsidRPr="003810D6">
        <w:rPr>
          <w:szCs w:val="20"/>
          <w:lang w:eastAsia="it-IT" w:bidi="it-IT"/>
        </w:rPr>
        <w:t>marca 2019</w:t>
      </w:r>
      <w:r>
        <w:rPr>
          <w:szCs w:val="20"/>
        </w:rPr>
        <w:t> r. oraz Nr LII/1605/21 z dnia 22 grudnia 2021 r., zwanego dalej Studium, wynika, że lokalizacja wnioskowanej inwestycji mieszkaniowej i inwestycji towarzyszącej znajduje się w jednostce W3b - strefa wielkomiejska, jednostka funkcjon</w:t>
      </w:r>
      <w:r>
        <w:rPr>
          <w:szCs w:val="20"/>
        </w:rPr>
        <w:t>alno-przestrzenna — wielofunkcyjne kwartały śródmiejskie III, tereny zabudowy mieszkaniowej wielorodzinnej, usługowej. Zar</w:t>
      </w:r>
      <w:r>
        <w:rPr>
          <w:szCs w:val="20"/>
          <w:lang w:val="x-none"/>
        </w:rPr>
        <w:t>ó</w:t>
      </w:r>
      <w:r>
        <w:rPr>
          <w:szCs w:val="20"/>
        </w:rPr>
        <w:t>wno przeznaczenie projektowanego zespołu zabudowy mieszkaniowej wielorodzinnej z budynkiem o funkcji usługowej, zaprojektowane przeks</w:t>
      </w:r>
      <w:r>
        <w:rPr>
          <w:szCs w:val="20"/>
        </w:rPr>
        <w:t>ztałcenie terenu pofabrycznego poprawiające jakość zamieszkania w mieście, jak i ukształtowanie zabudowy obejmujące m.in. uzupełnienie pierzei ulicy Rzgowskiej, wytworzenie pierzei nowej ulicy zaplanowanej w miejscowym planie oraz powstanie wewnętrznego pl</w:t>
      </w:r>
      <w:r>
        <w:rPr>
          <w:szCs w:val="20"/>
        </w:rPr>
        <w:t>acu-dziedzińca zagospodarowanego zielenią, uwzględnienie osi widokowych i ekspozycji istniejącej zabytkowej wieży budynku przędzalni, zlokalizowanego wewnątrz terenu inwestycji, a także charakterystyczne parametry zabudowy i zagospodarowania terenu, jak po</w:t>
      </w:r>
      <w:r>
        <w:rPr>
          <w:szCs w:val="20"/>
        </w:rPr>
        <w:t>wierzchnia biologicznie czynna terenu, intensywność zabudowy czy jej wysokość, nie są sprzeczne ze Studium.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Inwestycja została zlokalizowana poza obszarem parku kulturowego.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Wniosek inwestora spełnia standardy lokalizacji i realizacji inwestycji mieszkanio</w:t>
      </w:r>
      <w:r>
        <w:rPr>
          <w:szCs w:val="20"/>
        </w:rPr>
        <w:t>wych określonych w rozdziale 3 specustawy w następujący spos</w:t>
      </w:r>
      <w:r>
        <w:rPr>
          <w:szCs w:val="20"/>
          <w:lang w:val="x-none"/>
        </w:rPr>
        <w:t>ó</w:t>
      </w:r>
      <w:r>
        <w:rPr>
          <w:szCs w:val="20"/>
        </w:rPr>
        <w:t>b:</w:t>
      </w:r>
    </w:p>
    <w:p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lastRenderedPageBreak/>
        <w:t>1) zgodnie z art. 17 ust. 1 specustawy: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a)</w:t>
      </w:r>
      <w:r>
        <w:rPr>
          <w:szCs w:val="20"/>
        </w:rPr>
        <w:tab/>
        <w:t>inwestycja ma zapewniony dostęp do drogi publicznej - ulicy Rzgowskiej poprzez projektowany zjazd zlokalizowany na działkach nr 75/2 i 75/3 w obrębie</w:t>
      </w:r>
      <w:r>
        <w:rPr>
          <w:szCs w:val="20"/>
        </w:rPr>
        <w:t xml:space="preserve"> G-3, przy ulicy Rzgowskiej 22 i projektowane drogi wewnętrzne o szerokości drogi nie mniejszej niż 6 m,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>inwestycja ma zapewniony dostęp do sieci wodociągowej i kanalizacyjnej – zgodnie z warunkami przyłączenia do sieci WTT.424.430.2022/WSZ z dnia 9 mar</w:t>
      </w:r>
      <w:r>
        <w:rPr>
          <w:szCs w:val="20"/>
        </w:rPr>
        <w:t>ca 2022 r. Zakładu Wodociąg</w:t>
      </w:r>
      <w:r>
        <w:rPr>
          <w:szCs w:val="20"/>
          <w:lang w:val="x-none"/>
        </w:rPr>
        <w:t>ó</w:t>
      </w:r>
      <w:r>
        <w:rPr>
          <w:szCs w:val="20"/>
        </w:rPr>
        <w:t>w i Kanalizacji Sp. z </w:t>
      </w:r>
      <w:r w:rsidRPr="003810D6">
        <w:rPr>
          <w:szCs w:val="20"/>
          <w:lang w:eastAsia="it-IT" w:bidi="it-IT"/>
        </w:rPr>
        <w:t>o.o.,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c)</w:t>
      </w:r>
      <w:r>
        <w:rPr>
          <w:szCs w:val="20"/>
        </w:rPr>
        <w:tab/>
        <w:t>inwestycja ma zapewniony dostęp do sieci elektroenergetycznej – zgodnie z oświadczeniem nr 22-D7/WZD/00108/SL z dnia 28 lutego 2022 r. PGE Dystrybucja S.A. w Łodzi;</w:t>
      </w:r>
    </w:p>
    <w:p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2) zgodnie z art. 17 ust. 2 w zw</w:t>
      </w:r>
      <w:r>
        <w:rPr>
          <w:szCs w:val="20"/>
        </w:rPr>
        <w:t>iązku z art. 19 specustawy i uchwałą Nr LXXVI/2076/18 Rady Miejskiej w Łodzi z dnia 10 października 2018 r. w sprawie lokalnych standard</w:t>
      </w:r>
      <w:r>
        <w:rPr>
          <w:szCs w:val="20"/>
          <w:lang w:val="x-none"/>
        </w:rPr>
        <w:t>ó</w:t>
      </w:r>
      <w:r>
        <w:rPr>
          <w:szCs w:val="20"/>
        </w:rPr>
        <w:t xml:space="preserve">w urbanistycznych dla Miasta Łodzi, zmienioną uchwałami Rady Miejskiej w Łodzi Nr III/59/18 z dnia 27 grudnia 2018 r., </w:t>
      </w:r>
      <w:r>
        <w:rPr>
          <w:szCs w:val="20"/>
        </w:rPr>
        <w:t>Nr XXXIII/1093/20 z dnia 2 grudnia 2020 r. i Nr LX/1810/22</w:t>
      </w:r>
      <w:r w:rsidRPr="003810D6">
        <w:rPr>
          <w:szCs w:val="20"/>
          <w:lang w:eastAsia="de-DE" w:bidi="de-DE"/>
        </w:rPr>
        <w:t xml:space="preserve"> z</w:t>
      </w:r>
      <w:r>
        <w:rPr>
          <w:szCs w:val="20"/>
        </w:rPr>
        <w:t> dnia 1 czerwca 2022 r., zwanych dalej lokalnymi standardami urbanistycznymi: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 xml:space="preserve">a) </w:t>
      </w:r>
      <w:r>
        <w:rPr>
          <w:szCs w:val="20"/>
        </w:rPr>
        <w:tab/>
        <w:t>odległość (dojście) inwestycji mieszkaniowej od istniejącego przystanku publicznego transportu zbiorowego - przyst</w:t>
      </w:r>
      <w:r>
        <w:rPr>
          <w:szCs w:val="20"/>
        </w:rPr>
        <w:t>anku autobusowego Rzgowska -Dąbrowskiego wynosi około 165 m, czyli nie więcej niż 250 m,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>odległość (dojście) do Szkoły Podstawowej nr 10, zlokalizowanej przy ulicy Przybyszewskiego 15/21 mogącej przyjąć nie mniej niż 7% planowanych mieszkańc</w:t>
      </w:r>
      <w:r>
        <w:rPr>
          <w:szCs w:val="20"/>
          <w:lang w:val="x-none"/>
        </w:rPr>
        <w:t>ó</w:t>
      </w:r>
      <w:r>
        <w:rPr>
          <w:szCs w:val="20"/>
        </w:rPr>
        <w:t xml:space="preserve">w </w:t>
      </w:r>
      <w:r>
        <w:rPr>
          <w:szCs w:val="20"/>
        </w:rPr>
        <w:t>inwestycji, wynosi nie więcej niż 750 m, co potwierdza zaświadczenie z dnia 9 marca 2022 r., nr DEP-ED-X.0124.8.2022;</w:t>
      </w:r>
    </w:p>
    <w:p w:rsidR="00C20546" w:rsidRDefault="00177B0F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3) zgodnie z art. 17 ust. 3 specustawy spełnienie wymogu określonego w ustawie art. 17 ust. 2 pkt 2 potwierdził Prezydent Miasta Łodzi, za</w:t>
      </w:r>
      <w:r>
        <w:rPr>
          <w:szCs w:val="20"/>
        </w:rPr>
        <w:t>świadczeniem znak: DEP-ED-X.0124.8.2022</w:t>
      </w:r>
      <w:r w:rsidRPr="003810D6">
        <w:rPr>
          <w:szCs w:val="20"/>
          <w:lang w:eastAsia="de-DE" w:bidi="de-DE"/>
        </w:rPr>
        <w:t xml:space="preserve"> z</w:t>
      </w:r>
      <w:r>
        <w:rPr>
          <w:szCs w:val="20"/>
        </w:rPr>
        <w:t> dnia 9 marca 2022 roku;</w:t>
      </w:r>
    </w:p>
    <w:p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4)</w:t>
      </w:r>
      <w:r>
        <w:rPr>
          <w:szCs w:val="20"/>
        </w:rPr>
        <w:tab/>
        <w:t>zgodnie z art. 17 ust. 4 w związku z art. 19 specustawy i lokalnymi standardami urbanistycznymi, inwestycja jest zlokalizowana w odległości okoł</w:t>
      </w:r>
      <w:r w:rsidRPr="003810D6">
        <w:rPr>
          <w:szCs w:val="20"/>
          <w:lang w:eastAsia="it-IT" w:bidi="it-IT"/>
        </w:rPr>
        <w:t>o 25</w:t>
      </w:r>
      <w:r>
        <w:rPr>
          <w:szCs w:val="20"/>
        </w:rPr>
        <w:t>0 m od Parku im. J. Dąbrowskiego o powi</w:t>
      </w:r>
      <w:r>
        <w:rPr>
          <w:szCs w:val="20"/>
        </w:rPr>
        <w:t>erzchni ok. 5,4 ha, czyli w odległości mniejszej niż 750 m od urządzonych teren</w:t>
      </w:r>
      <w:r>
        <w:rPr>
          <w:szCs w:val="20"/>
          <w:lang w:val="x-none"/>
        </w:rPr>
        <w:t>ó</w:t>
      </w:r>
      <w:r>
        <w:rPr>
          <w:szCs w:val="20"/>
        </w:rPr>
        <w:t>w wypoczynku oraz rekreacji lub sportu, o powierzchni stanowiącej co najmniej iloczyn planowanej liczby mieszkańc</w:t>
      </w:r>
      <w:r>
        <w:rPr>
          <w:szCs w:val="20"/>
          <w:lang w:val="x-none"/>
        </w:rPr>
        <w:t>ó</w:t>
      </w:r>
      <w:r>
        <w:rPr>
          <w:szCs w:val="20"/>
        </w:rPr>
        <w:t>w (maksymalnie 789 mieszkańc</w:t>
      </w:r>
      <w:r>
        <w:rPr>
          <w:szCs w:val="20"/>
          <w:lang w:val="x-none"/>
        </w:rPr>
        <w:t>ó</w:t>
      </w:r>
      <w:r>
        <w:rPr>
          <w:szCs w:val="20"/>
        </w:rPr>
        <w:t>w) oraz wskaźnika wynoszącego 4 m</w:t>
      </w:r>
      <w:r>
        <w:rPr>
          <w:szCs w:val="20"/>
          <w:vertAlign w:val="superscript"/>
        </w:rPr>
        <w:t>2</w:t>
      </w:r>
      <w:r>
        <w:rPr>
          <w:szCs w:val="20"/>
        </w:rPr>
        <w:t>, czyli 3156 m</w:t>
      </w:r>
      <w:r>
        <w:rPr>
          <w:szCs w:val="20"/>
          <w:vertAlign w:val="superscript"/>
        </w:rPr>
        <w:t>2</w:t>
      </w:r>
      <w:r>
        <w:rPr>
          <w:szCs w:val="20"/>
        </w:rPr>
        <w:t>;</w:t>
      </w:r>
    </w:p>
    <w:p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5)</w:t>
      </w:r>
      <w:r>
        <w:rPr>
          <w:szCs w:val="20"/>
        </w:rPr>
        <w:tab/>
        <w:t>zgodnie z art. 17 ust. 6 w związku z art. 19 specustawy i lokalnymi standardami urbanistycznymi, projektowane budynki będą miały maksymalnie VII kondygnacji;</w:t>
      </w:r>
    </w:p>
    <w:p w:rsidR="00C20546" w:rsidRDefault="00177B0F">
      <w:pPr>
        <w:tabs>
          <w:tab w:val="left" w:pos="855"/>
        </w:tabs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t>6)</w:t>
      </w:r>
      <w:r>
        <w:rPr>
          <w:szCs w:val="20"/>
        </w:rPr>
        <w:tab/>
        <w:t>zgodnie z art. 19 ust. 3 specustawy i lokalnymi standardami urbanistycznym</w:t>
      </w:r>
      <w:r>
        <w:rPr>
          <w:szCs w:val="20"/>
        </w:rPr>
        <w:t>i: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a)</w:t>
      </w:r>
      <w:r>
        <w:rPr>
          <w:szCs w:val="20"/>
        </w:rPr>
        <w:tab/>
        <w:t xml:space="preserve">inwestycja ma zapewniony dostęp sieci ciepłowniczej zgodnie z pismem znak: VECP/HN/TP/2022 z dnia 16 lutego 2022 r. </w:t>
      </w:r>
      <w:r w:rsidRPr="003810D6">
        <w:rPr>
          <w:szCs w:val="20"/>
          <w:lang w:eastAsia="de-DE" w:bidi="de-DE"/>
        </w:rPr>
        <w:t xml:space="preserve">VEOLIA ENERGIA </w:t>
      </w:r>
      <w:r>
        <w:rPr>
          <w:szCs w:val="20"/>
        </w:rPr>
        <w:t>ŁÓDŹ S.A.;</w:t>
      </w:r>
    </w:p>
    <w:p w:rsidR="00C20546" w:rsidRDefault="00177B0F">
      <w:pPr>
        <w:spacing w:before="120" w:after="120"/>
        <w:ind w:left="1140" w:hanging="420"/>
        <w:jc w:val="both"/>
        <w:rPr>
          <w:szCs w:val="20"/>
        </w:rPr>
      </w:pPr>
      <w:r>
        <w:rPr>
          <w:szCs w:val="20"/>
        </w:rPr>
        <w:t>b)</w:t>
      </w:r>
      <w:r>
        <w:rPr>
          <w:szCs w:val="20"/>
        </w:rPr>
        <w:tab/>
        <w:t>zapewniono niezbędną minimalną liczbę miejsc parkingowych dla obsługi inwestycji mieszkaniowej nie mniejs</w:t>
      </w:r>
      <w:r>
        <w:rPr>
          <w:szCs w:val="20"/>
        </w:rPr>
        <w:t>zą niż wskaźnik 0,7 m.p. na lokal mieszkalny określonych dla obszaru poza centralną częścią Strefy Wielkomiejskiej oraz 2 m.p. na każde rozpoczęte 100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powierzchni całkowitej budynku o funkcji usługowej, stanowiącej inwestycję towarzyszącą.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Ponadto, proj</w:t>
      </w:r>
      <w:r>
        <w:rPr>
          <w:szCs w:val="20"/>
        </w:rPr>
        <w:t xml:space="preserve">ektowana inwestycja mieszkaniowa i inwestycja towarzysząca nie zostały zlokalizowane na terenach podlegających ochronie przed lokalizowaniem lub zabudową </w:t>
      </w:r>
      <w:r>
        <w:rPr>
          <w:szCs w:val="20"/>
        </w:rPr>
        <w:lastRenderedPageBreak/>
        <w:t>na podstawie odrębnych przepis</w:t>
      </w:r>
      <w:r>
        <w:rPr>
          <w:szCs w:val="20"/>
          <w:lang w:val="x-none"/>
        </w:rPr>
        <w:t>ó</w:t>
      </w:r>
      <w:r>
        <w:rPr>
          <w:szCs w:val="20"/>
        </w:rPr>
        <w:t>w, a także w granicach otulin form ochrony przyrody, rodzinnych ogrod</w:t>
      </w:r>
      <w:r>
        <w:rPr>
          <w:szCs w:val="20"/>
          <w:lang w:val="x-none"/>
        </w:rPr>
        <w:t>ó</w:t>
      </w:r>
      <w:r>
        <w:rPr>
          <w:szCs w:val="20"/>
        </w:rPr>
        <w:t>w działkowych czy obszaru szczeg</w:t>
      </w:r>
      <w:r>
        <w:rPr>
          <w:szCs w:val="20"/>
          <w:lang w:val="x-none"/>
        </w:rPr>
        <w:t>ó</w:t>
      </w:r>
      <w:r>
        <w:rPr>
          <w:szCs w:val="20"/>
        </w:rPr>
        <w:t>lnego zagrożenia powodzią, zgodnie z art. 5 ust. 1 i 2 specustawy.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ab/>
        <w:t>Przy podejmowaniu niniejszej uchwały Rada Miejska w Łodzi brała pod uwagę stan zaspokojenia potrzeb mieszkaniowych na terenie gminy oraz potrzeby i możliwo</w:t>
      </w:r>
      <w:r>
        <w:rPr>
          <w:szCs w:val="20"/>
        </w:rPr>
        <w:t>ści rozwoju gminy wynikające z ustaleń studium uwarunkowań i kierunk</w:t>
      </w:r>
      <w:r>
        <w:rPr>
          <w:szCs w:val="20"/>
          <w:lang w:val="x-none"/>
        </w:rPr>
        <w:t>ó</w:t>
      </w:r>
      <w:r>
        <w:rPr>
          <w:szCs w:val="20"/>
        </w:rPr>
        <w:t>w zagospodarowania przestrzennego gminy.</w:t>
      </w:r>
    </w:p>
    <w:p w:rsidR="00C20546" w:rsidRDefault="00177B0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ab/>
        <w:t>Z uwagi na uzyskane pozytywne stanowiska organ</w:t>
      </w:r>
      <w:r>
        <w:rPr>
          <w:szCs w:val="20"/>
          <w:lang w:val="x-none"/>
        </w:rPr>
        <w:t>ó</w:t>
      </w:r>
      <w:r>
        <w:rPr>
          <w:szCs w:val="20"/>
        </w:rPr>
        <w:t>w i instytucji opiniujących i uzgadniających wniosek, oraz brak uwag do wniosku publikowanego na s</w:t>
      </w:r>
      <w:r>
        <w:rPr>
          <w:szCs w:val="20"/>
        </w:rPr>
        <w:t>tronie podmiotowej Biuletynu Informacji Publicznej Urzędu Miasta Łodzi, uznaje się za zasadne podjęcie uchwał</w:t>
      </w:r>
      <w:r w:rsidRPr="003810D6">
        <w:rPr>
          <w:szCs w:val="20"/>
          <w:lang w:eastAsia="en-US" w:bidi="en-US"/>
        </w:rPr>
        <w:t>y o</w:t>
      </w:r>
      <w:r>
        <w:rPr>
          <w:szCs w:val="20"/>
        </w:rPr>
        <w:t> ustaleniu lokalizacji inwestycji mieszkaniowej i inwestycji towarzyszącej zgodnie z parametrami i warunkami określonymi wnioskiem.</w:t>
      </w:r>
    </w:p>
    <w:p w:rsidR="00C20546" w:rsidRDefault="00C20546">
      <w:pPr>
        <w:spacing w:before="120" w:after="120"/>
        <w:ind w:left="283" w:firstLine="227"/>
        <w:jc w:val="both"/>
        <w:rPr>
          <w:color w:val="000000"/>
          <w:szCs w:val="20"/>
          <w:u w:color="000000"/>
        </w:rPr>
      </w:pPr>
    </w:p>
    <w:sectPr w:rsidR="00C20546">
      <w:footerReference w:type="default" r:id="rId29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B0F" w:rsidRDefault="00177B0F">
      <w:r>
        <w:separator/>
      </w:r>
    </w:p>
  </w:endnote>
  <w:endnote w:type="continuationSeparator" w:id="0">
    <w:p w:rsidR="00177B0F" w:rsidRDefault="00177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205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10D6"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20546" w:rsidRDefault="00C20546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205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10D6"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:rsidR="00C20546" w:rsidRDefault="00C20546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205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10D6"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C20546" w:rsidRDefault="00C20546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205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20546" w:rsidRDefault="00177B0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10D6">
            <w:rPr>
              <w:sz w:val="18"/>
            </w:rPr>
            <w:fldChar w:fldCharType="separate"/>
          </w:r>
          <w:r w:rsidR="003810D6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:rsidR="00C20546" w:rsidRDefault="00C20546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B0F" w:rsidRDefault="00177B0F">
      <w:r>
        <w:separator/>
      </w:r>
    </w:p>
  </w:footnote>
  <w:footnote w:type="continuationSeparator" w:id="0">
    <w:p w:rsidR="00177B0F" w:rsidRDefault="00177B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77B0F"/>
    <w:rsid w:val="003810D6"/>
    <w:rsid w:val="00A77B3E"/>
    <w:rsid w:val="00C20546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99481CC-D060-4BF4-A010-C292267F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DD67C71A-CFEE-4A29-8048-F894A7C6CF20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ZalacznikDEAD2B5F-926D-4685-AD4C-F9BAA5C9C850.png" TargetMode="External"/><Relationship Id="rId7" Type="http://schemas.openxmlformats.org/officeDocument/2006/relationships/image" Target="media/image1.jpeg"/><Relationship Id="rId12" Type="http://schemas.openxmlformats.org/officeDocument/2006/relationships/image" Target="Zalacznik4ED82C9B-E06F-4D5C-9518-0CC8098E7F36.png" TargetMode="External"/><Relationship Id="rId17" Type="http://schemas.openxmlformats.org/officeDocument/2006/relationships/footer" Target="footer2.xml"/><Relationship Id="rId25" Type="http://schemas.openxmlformats.org/officeDocument/2006/relationships/image" Target="Zalacznik3383A63F-7602-467D-BA2D-019FEEB9981D.png" TargetMode="External"/><Relationship Id="rId2" Type="http://schemas.openxmlformats.org/officeDocument/2006/relationships/settings" Target="settings.xml"/><Relationship Id="rId16" Type="http://schemas.openxmlformats.org/officeDocument/2006/relationships/image" Target="Zalacznik8236D93F-4918-4484-A0EF-820E11A59DAF.png" TargetMode="External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Zalacznik8380A8AB-4A9C-4149-8557-6C706A850294.png" TargetMode="External"/><Relationship Id="rId28" Type="http://schemas.openxmlformats.org/officeDocument/2006/relationships/footer" Target="footer3.xml"/><Relationship Id="rId10" Type="http://schemas.openxmlformats.org/officeDocument/2006/relationships/image" Target="Zalacznik21DD8716-0C68-48F4-8259-0F58E58F0CF9.png" TargetMode="External"/><Relationship Id="rId19" Type="http://schemas.openxmlformats.org/officeDocument/2006/relationships/image" Target="Zalacznik0301DA5B-9E1E-4196-9743-CCF4CE0C1322.pn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7540F203-FF95-4F32-9A3F-7D34CDDC83DB.png" TargetMode="External"/><Relationship Id="rId22" Type="http://schemas.openxmlformats.org/officeDocument/2006/relationships/image" Target="media/image8.png"/><Relationship Id="rId27" Type="http://schemas.openxmlformats.org/officeDocument/2006/relationships/image" Target="Zalacznik0FDB21E5-1D89-4A3F-A502-EFC07C0B0CD4.p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3887</Words>
  <Characters>23325</Characters>
  <Application>Microsoft Office Word</Application>
  <DocSecurity>0</DocSecurity>
  <Lines>194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i^inwestycji^towarzyszącej przy^ulicy Rzgowskiej 26/28 w^Łodzi.</dc:subject>
  <dc:creator>ksudaj</dc:creator>
  <cp:lastModifiedBy>Katarzyna Sudaj</cp:lastModifiedBy>
  <cp:revision>2</cp:revision>
  <dcterms:created xsi:type="dcterms:W3CDTF">2022-09-06T09:46:00Z</dcterms:created>
  <dcterms:modified xsi:type="dcterms:W3CDTF">2022-09-06T09:46:00Z</dcterms:modified>
  <cp:category>Akt prawny</cp:category>
</cp:coreProperties>
</file>