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377E6A" w14:paraId="5776DFB1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978423C" w14:textId="77777777" w:rsidR="00A77B3E" w:rsidRDefault="00A77B3E">
            <w:pPr>
              <w:ind w:left="6236"/>
              <w:jc w:val="left"/>
            </w:pPr>
          </w:p>
          <w:p w14:paraId="4591E4D1" w14:textId="20F6A21A" w:rsidR="00A77B3E" w:rsidRDefault="008650CC">
            <w:pPr>
              <w:ind w:left="6236"/>
              <w:jc w:val="left"/>
            </w:pPr>
            <w:r>
              <w:t>Druk Nr 285/2022</w:t>
            </w:r>
          </w:p>
          <w:p w14:paraId="09040AC8" w14:textId="609B459E" w:rsidR="00A77B3E" w:rsidRDefault="008650CC">
            <w:pPr>
              <w:ind w:left="6236"/>
              <w:jc w:val="left"/>
            </w:pPr>
            <w:r>
              <w:t>Projekt z dnia 28 listopada 2022 r.</w:t>
            </w:r>
          </w:p>
          <w:p w14:paraId="7B1E60DC" w14:textId="77777777" w:rsidR="00A77B3E" w:rsidRDefault="00A77B3E">
            <w:pPr>
              <w:ind w:left="6236"/>
              <w:jc w:val="left"/>
            </w:pPr>
          </w:p>
        </w:tc>
      </w:tr>
    </w:tbl>
    <w:p w14:paraId="0670683D" w14:textId="77777777" w:rsidR="00A77B3E" w:rsidRDefault="00A77B3E"/>
    <w:p w14:paraId="215BA4F5" w14:textId="77777777" w:rsidR="00A77B3E" w:rsidRDefault="008650CC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53D418B4" w14:textId="77777777" w:rsidR="00A77B3E" w:rsidRDefault="008650CC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2022 r.</w:t>
      </w:r>
    </w:p>
    <w:p w14:paraId="0AC49918" w14:textId="77777777" w:rsidR="00A77B3E" w:rsidRDefault="008650CC">
      <w:pPr>
        <w:keepNext/>
        <w:spacing w:after="280"/>
        <w:jc w:val="center"/>
      </w:pPr>
      <w:r>
        <w:rPr>
          <w:b/>
        </w:rPr>
        <w:t xml:space="preserve">w sprawie uchwalenia miejscowego planu zagospodarowania przestrzennego dla części obszaru miasta Łodzi położonej </w:t>
      </w:r>
      <w:r>
        <w:rPr>
          <w:b/>
        </w:rPr>
        <w:t>w rejonie ulic: Byszewskiej, Oliwkowej, Bananowej, Kokosowej</w:t>
      </w:r>
      <w:r>
        <w:rPr>
          <w:b/>
        </w:rPr>
        <w:br/>
        <w:t>i Pomarańczowej.</w:t>
      </w:r>
    </w:p>
    <w:p w14:paraId="3331F02E" w14:textId="77777777" w:rsidR="00A77B3E" w:rsidRDefault="008650CC">
      <w:pPr>
        <w:keepLines/>
        <w:spacing w:before="120" w:after="120"/>
        <w:ind w:firstLine="567"/>
      </w:pPr>
      <w:r>
        <w:t>Na podstawie art. 18 ust. 2 pkt 5 i art. 40 ust. 1 ustawy z dnia 8 marca 1990 r. o samorządzie gminnym (Dz. U. z 2022 r. poz. 559, 583, 1005, 1079 i 1561) oraz art. 14 ust. 8 i a</w:t>
      </w:r>
      <w:r>
        <w:t>rt. 20 ust. 1 ustawy z dnia 27 marca 2003 r. o planowaniu i zagospodarowaniu przestrzennym (Dz. U. z 2022 r. poz. 503, 1846 i 2185), Rada Miejska w Łodzi</w:t>
      </w:r>
    </w:p>
    <w:p w14:paraId="1DD7F2F9" w14:textId="77777777" w:rsidR="00A77B3E" w:rsidRDefault="008650CC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14:paraId="00910145" w14:textId="77777777" w:rsidR="00A77B3E" w:rsidRDefault="008650CC">
      <w:pPr>
        <w:keepNext/>
        <w:spacing w:before="24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55EA5A21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1. 1. </w:t>
      </w:r>
      <w:r>
        <w:t xml:space="preserve">Przedmiotem uchwały są ustalenia </w:t>
      </w:r>
      <w:r>
        <w:t>miejscowego planu zagospodarowania przestrzennego dla części obszaru miasta Łodzi położonej w rejonie ulic: Byszewskiej, Oliwkowej, Bananowej, Kokosowej i Pomarańczowej, zwanego dalej „planem”, wraz z integralnymi jej częściami w postaci:</w:t>
      </w:r>
    </w:p>
    <w:p w14:paraId="1A908852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rysunku planu </w:t>
      </w:r>
      <w:r>
        <w:rPr>
          <w:color w:val="000000"/>
          <w:u w:color="000000"/>
        </w:rPr>
        <w:t>wykonanego na mapie sytuacyjno-wysokościowej w skali 1:1000, stanowiącego załącznik Nr 1 do uchwały;</w:t>
      </w:r>
    </w:p>
    <w:p w14:paraId="35CA790C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rozstrzygnięcia o sposobie rozpatrzenia uwag do projektu planu wniesionych w związku z wyłożeniem do publicznego wglądu, stanowiącego załącznik Nr 2 do </w:t>
      </w:r>
      <w:r>
        <w:rPr>
          <w:color w:val="000000"/>
          <w:u w:color="000000"/>
        </w:rPr>
        <w:t>uchwały;</w:t>
      </w:r>
    </w:p>
    <w:p w14:paraId="3392913C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 zapisanych w planie inwestycji z zakresu infrastruktury technicznej, które należą do zadań własnych gminy oraz zasadach ich finansowania, zgodnie z przepisami o finansach publicznych, </w:t>
      </w:r>
      <w:r>
        <w:rPr>
          <w:color w:val="000000"/>
          <w:u w:color="000000"/>
        </w:rPr>
        <w:t>stanowiącego załącznik Nr 3 do uchwały;</w:t>
      </w:r>
    </w:p>
    <w:p w14:paraId="18DA7667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szczególnych warunków zagospodarowania terenów oraz ograniczeń w ich użytkowaniu w tym zakazu zabudowy.</w:t>
      </w:r>
    </w:p>
    <w:p w14:paraId="0FFD0B76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79AD70A0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</w:t>
      </w:r>
      <w:r>
        <w:rPr>
          <w:color w:val="000000"/>
          <w:u w:color="000000"/>
        </w:rPr>
        <w:t>ię, że plan nie narusza ustaleń „Studium uwarunkowań i kierunków zagospodarowania przestrzennego miasta Łodzi” uchwalonego uchwałą Nr LXIX/1753/18 Rady Miejskiej w Łodzi z dnia 28 marca 2018 r., zmienioną uchwałami Rady Miejskiej w Łodzi Nr VI/215/19 z dni</w:t>
      </w:r>
      <w:r>
        <w:rPr>
          <w:color w:val="000000"/>
          <w:u w:color="000000"/>
        </w:rPr>
        <w:t>a 6 marca 2019 r. i Nr LII/1605/21 z dnia 22 grudnia 2021 r.</w:t>
      </w:r>
    </w:p>
    <w:p w14:paraId="0DC6A443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189854D1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14:paraId="26FA8B6D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górniczyc</w:t>
      </w:r>
      <w:r>
        <w:rPr>
          <w:color w:val="000000"/>
          <w:u w:color="000000"/>
        </w:rPr>
        <w:t>h, a także obszarów szczególnego zagrożenia powodzią, obszarów osuwania się mas ziemnych;</w:t>
      </w:r>
    </w:p>
    <w:p w14:paraId="74C3A298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1041A4CC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Rysunek planu zawiera ustalenia obowiązujące, w tym oznaczenia ustaleń wynika</w:t>
      </w:r>
      <w:r>
        <w:rPr>
          <w:color w:val="000000"/>
          <w:u w:color="000000"/>
        </w:rPr>
        <w:t>jących z przepisów odrębnych, oraz oznaczenia informacyjne, zgodnie z legendą zamieszczoną na rysunku planu.</w:t>
      </w:r>
    </w:p>
    <w:p w14:paraId="415BD816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zabudowy i zagospodarowania oraz sposoby użytkowania poszczególnych terenów wyznaczonych liniami rozgraniczającymi określa się łącznie na</w:t>
      </w:r>
      <w:r>
        <w:rPr>
          <w:color w:val="000000"/>
          <w:u w:color="000000"/>
        </w:rPr>
        <w:t xml:space="preserve"> podstawie:</w:t>
      </w:r>
    </w:p>
    <w:p w14:paraId="7B7DA3BF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ustaleń o charakterze ogólnym, zawartych w rozdziale 2;</w:t>
      </w:r>
    </w:p>
    <w:p w14:paraId="1DFFDBD6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ustaleń obowiązujących, zawartych na rysunku planu.</w:t>
      </w:r>
    </w:p>
    <w:p w14:paraId="7BA1678C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linii rozgraniczających należy ustalać poprzez odczyt rysunku planu w oparciu o jego skalę.</w:t>
      </w:r>
    </w:p>
    <w:p w14:paraId="7A0E58A5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</w:t>
      </w:r>
      <w:r>
        <w:rPr>
          <w:color w:val="000000"/>
          <w:u w:color="000000"/>
        </w:rPr>
        <w:t>ane w uchwale należy rozumieć następująco:</w:t>
      </w:r>
    </w:p>
    <w:p w14:paraId="136BBCA3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infrastruktura techniczna – przewody i urządzenia oraz obiekty budowlane: wodociągowe, kanalizacyjne, ciepłownicze, elektryczne, gazowe i telekomunikacyjne;</w:t>
      </w:r>
    </w:p>
    <w:p w14:paraId="27307516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linia rozgraniczająca – wyznaczona na rysunku plan</w:t>
      </w:r>
      <w:r>
        <w:rPr>
          <w:color w:val="000000"/>
          <w:u w:color="000000"/>
        </w:rPr>
        <w:t>u linia ciągła, stanowiąca granicę między terenami o różnym przeznaczeniu lub różnych zasadach i warunkach zagospodarowania;</w:t>
      </w:r>
    </w:p>
    <w:p w14:paraId="0908857E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nadzór archeologiczny – rodzaj badań archeologicznych polegających na obserwacji i analizie nawarstwień w wykopach budowlanych p</w:t>
      </w:r>
      <w:r>
        <w:rPr>
          <w:color w:val="000000"/>
          <w:u w:color="000000"/>
        </w:rPr>
        <w:t>odczas realizacji robót ziemnych lub przy dokonywaniu zmiany charakteru dotychczasowej działalności wiążącej się z naruszeniem struktury gruntu;</w:t>
      </w:r>
    </w:p>
    <w:p w14:paraId="26F5E49A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przepisy odrębne – przepisy prawa powszechnie obowiązującego, w szczególności ustawy i rozporządzenia, a tak</w:t>
      </w:r>
      <w:r>
        <w:rPr>
          <w:color w:val="000000"/>
          <w:u w:color="000000"/>
        </w:rPr>
        <w:t>że akty prawa miejscowego obowiązujące na obszarze miasta Łodzi;</w:t>
      </w:r>
    </w:p>
    <w:p w14:paraId="424FB9C4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terenie, odpowiednio:</w:t>
      </w:r>
    </w:p>
    <w:p w14:paraId="07967B88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</w:t>
      </w:r>
      <w:r>
        <w:rPr>
          <w:color w:val="000000"/>
          <w:u w:color="000000"/>
        </w:rPr>
        <w:t>nie podstawowe – przeznaczenie, które przeważa na danej działce,</w:t>
      </w:r>
    </w:p>
    <w:p w14:paraId="330DD664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podstawowe;</w:t>
      </w:r>
    </w:p>
    <w:p w14:paraId="34E686D5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ochrony archeologicznej – rodzaj strefy ochrony konserwatorskiej obejmującej obszar, na </w:t>
      </w:r>
      <w:r>
        <w:rPr>
          <w:color w:val="000000"/>
          <w:u w:color="000000"/>
        </w:rPr>
        <w:t>którym zlokalizowane są zabytki archeologiczne lub istnieje uzasadnione podejrzenie, że mogą się one na nim znajdować;</w:t>
      </w:r>
    </w:p>
    <w:p w14:paraId="0ACF5E51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– wydzielone liniami rozgraniczającymi lub liniami granic opracowania planu nieruchomości lub ich części, oznaczone symbolami li</w:t>
      </w:r>
      <w:r>
        <w:rPr>
          <w:color w:val="000000"/>
          <w:u w:color="000000"/>
        </w:rPr>
        <w:t>czbowymi i literowymi, z których liczby oznaczają numer porządkowy terenu, a litery podstawowe przeznaczenie terenu;</w:t>
      </w:r>
    </w:p>
    <w:p w14:paraId="50620119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uchwała – niniejsza uchwała Rady Miejskiej w Łodzi;</w:t>
      </w:r>
    </w:p>
    <w:p w14:paraId="5AD0F459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ustawa – ustawa z dnia 27 marca 2003 r. o planowaniu i zagospodarowaniu przestrze</w:t>
      </w:r>
      <w:r>
        <w:rPr>
          <w:color w:val="000000"/>
          <w:u w:color="000000"/>
        </w:rPr>
        <w:t>nnym, o ile z treści przepisu nie wynika inaczej;</w:t>
      </w:r>
    </w:p>
    <w:p w14:paraId="1D3AD320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wskaźnik powierzchni biologicznie czynnej – udział procentowy terenu biologicznie czynnego w powierzchni działki budowlanej;</w:t>
      </w:r>
    </w:p>
    <w:p w14:paraId="74C22F77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zieleń wysoka – drzewa lub krzewy o wysokości docelowej co najmniej 2,0 m</w:t>
      </w:r>
      <w:r>
        <w:rPr>
          <w:color w:val="000000"/>
          <w:u w:color="000000"/>
        </w:rPr>
        <w:t>.</w:t>
      </w:r>
    </w:p>
    <w:p w14:paraId="58A3D4F3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niniejszej uchwały, należy rozumieć w sposób określony w ustawie lub w tych przepisach, a w przypadku braku</w:t>
      </w:r>
      <w:r>
        <w:rPr>
          <w:color w:val="000000"/>
          <w:u w:color="000000"/>
        </w:rPr>
        <w:t xml:space="preserve"> definicji – w rozumieniu powszechnym.</w:t>
      </w:r>
    </w:p>
    <w:p w14:paraId="202D5DB3" w14:textId="77777777" w:rsidR="00A77B3E" w:rsidRDefault="008650CC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lastRenderedPageBreak/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07705354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5.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>1ZP, 2ZP i 3ZP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7B3972F0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zakresie przeznaczenia terenu ustala się:</w:t>
      </w:r>
    </w:p>
    <w:p w14:paraId="65FB4E95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tereny zieleni urządzonej;</w:t>
      </w:r>
    </w:p>
    <w:p w14:paraId="75028B75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7DAD05D4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usług sportu i rekreacji,</w:t>
      </w:r>
    </w:p>
    <w:p w14:paraId="71C59FCE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wód powierzchniowych śródlądowych,</w:t>
      </w:r>
    </w:p>
    <w:p w14:paraId="4590A389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tereny infrastruktury technicznej.</w:t>
      </w:r>
    </w:p>
    <w:p w14:paraId="58DEA8CB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</w:t>
      </w:r>
      <w:r>
        <w:rPr>
          <w:color w:val="000000"/>
          <w:u w:color="000000"/>
        </w:rPr>
        <w:t>ala się następujące zasady ochrony i kształtowania ładu przestrzennego oraz warunki zabudowy i zagospodarowania terenu:</w:t>
      </w:r>
    </w:p>
    <w:p w14:paraId="70FE4E68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 – zachowanie i ochronę terenów zieleni pełniących rolę w s</w:t>
      </w:r>
      <w:r>
        <w:rPr>
          <w:color w:val="000000"/>
          <w:u w:color="000000"/>
        </w:rPr>
        <w:t>ystemie ekologicznym miasta;</w:t>
      </w:r>
    </w:p>
    <w:p w14:paraId="6712E3BD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budynków;</w:t>
      </w:r>
    </w:p>
    <w:p w14:paraId="5AB7C285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przeznaczenia pod zieleń wysoką minimum 20% powierzchni każdego terenu;</w:t>
      </w:r>
    </w:p>
    <w:p w14:paraId="56AE41A1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wskaźnik powierzchni biologicznie czynnej: minimum 80%;</w:t>
      </w:r>
    </w:p>
    <w:p w14:paraId="7618AB1B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zabudowy obiektów budowlanych inn</w:t>
      </w:r>
      <w:r>
        <w:rPr>
          <w:color w:val="000000"/>
          <w:u w:color="000000"/>
        </w:rPr>
        <w:t>ych niż budynki: 40 m;</w:t>
      </w:r>
    </w:p>
    <w:p w14:paraId="2B69210C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dopuszczenie sytuowania tymczasowych obiektów budowlanych związanych z usługami sportu</w:t>
      </w:r>
      <w:r>
        <w:rPr>
          <w:color w:val="000000"/>
          <w:u w:color="000000"/>
        </w:rPr>
        <w:br/>
        <w:t>i rekreacji o maksymalnych wymiarach poziomych 7 m x 7 m i wysokości 4 m oraz o dachu płaskim lub dwuspadowym o kącie nachylenia do 35° w </w:t>
      </w:r>
      <w:r>
        <w:rPr>
          <w:color w:val="000000"/>
          <w:u w:color="000000"/>
        </w:rPr>
        <w:t>ilości nie większej niż 1 na terenie.</w:t>
      </w:r>
    </w:p>
    <w:p w14:paraId="7B25951C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wymagania wynikające z potrzeb kształtowania przestrzeni publicznych, do których na obszarze planu należą tereny oznaczone symbolem ZP polegające na nakazie stosowania rozwiązań technicznych uwzględniając</w:t>
      </w:r>
      <w:r>
        <w:rPr>
          <w:color w:val="000000"/>
          <w:u w:color="000000"/>
        </w:rPr>
        <w:t>ych potrzeby osób ze szczególnymi potrzebami.</w:t>
      </w:r>
    </w:p>
    <w:p w14:paraId="6BD64583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163593A0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 znacząco oddziaływać na środowisko;</w:t>
      </w:r>
    </w:p>
    <w:p w14:paraId="206D1D4B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od</w:t>
      </w:r>
      <w:r>
        <w:rPr>
          <w:color w:val="000000"/>
          <w:u w:color="000000"/>
        </w:rPr>
        <w:t xml:space="preserve">nawialnych źródeł energii – zakaz lokalizacji urządzeń wytwarzających energię z odnawialnych źródeł energii o mocy większej niż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, o której mowa w przepisach odrębnych z zakresu odnawialnych źródeł energii;</w:t>
      </w:r>
    </w:p>
    <w:p w14:paraId="15099A9E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wód podzi</w:t>
      </w:r>
      <w:r>
        <w:rPr>
          <w:color w:val="000000"/>
          <w:u w:color="000000"/>
        </w:rPr>
        <w:t>emnych:</w:t>
      </w:r>
    </w:p>
    <w:p w14:paraId="2C7D671B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rozwiązań umożliwiających wykorzystanie lub retencjonowanie nadmiaru wód opadowych i roztopowych w miejscu ich powstania, z dopuszczeniem odprowadzenia ich do odbiornika na warunkach określonych w przepisach odrębnych </w:t>
      </w:r>
      <w:r>
        <w:rPr>
          <w:color w:val="000000"/>
          <w:u w:color="000000"/>
        </w:rPr>
        <w:t>dotyczących zbiorowego zaopatrzenia w wodę i zbiorowego odprowadzania ścieków oraz prawa wodnego, a także budownictwa,</w:t>
      </w:r>
    </w:p>
    <w:p w14:paraId="61E94A21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stosunków wodnych, jeżeli zmiany te nie wynikają z działań na rzecz ochrony przyrody albo racjonalnej gospodar</w:t>
      </w:r>
      <w:r>
        <w:rPr>
          <w:color w:val="000000"/>
          <w:u w:color="000000"/>
        </w:rPr>
        <w:t>ki rolnej, leśnej lub wodnej;</w:t>
      </w:r>
    </w:p>
    <w:p w14:paraId="4DCDAD3A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powietrza – zakaz stosowania źródeł zaopatrzenia w ciepło powodujących emisję spalin przekraczających dopuszczalne normy;</w:t>
      </w:r>
    </w:p>
    <w:p w14:paraId="667B70B8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w zakresie ochrony przed hałasem, tereny oznaczone na rysunku planu symbolem ZP</w:t>
      </w:r>
      <w:r>
        <w:rPr>
          <w:color w:val="000000"/>
          <w:u w:color="000000"/>
        </w:rPr>
        <w:t xml:space="preserve">  zalicza się do terenów chronionych akustycznie, określonych jako „tereny rekreacyjno-wypoczynkowe”, w rozumieniu przepisów odrębnych dotyczących dopuszczalnych poziomów hałasu w środowisku;</w:t>
      </w:r>
    </w:p>
    <w:p w14:paraId="28A03D34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zakresie ochrony powierzchni ziemi – nakaz zapewnienia dla </w:t>
      </w:r>
      <w:r>
        <w:rPr>
          <w:color w:val="000000"/>
          <w:u w:color="000000"/>
        </w:rPr>
        <w:t>nieruchomości miejsca służącego do czasowego gromadzenia odpadów stałych, z uwzględnieniem wymogów wynikających z przepisów odrębnych dotyczących budownictwa oraz dotyczących utrzymania czystości i porządku w gminie.</w:t>
      </w:r>
    </w:p>
    <w:p w14:paraId="2658BF1F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ochron</w:t>
      </w:r>
      <w:r>
        <w:rPr>
          <w:color w:val="000000"/>
          <w:u w:color="000000"/>
        </w:rPr>
        <w:t>y dziedzictwa kulturowego i zabytków, w tym krajobrazów kulturowych:</w:t>
      </w:r>
    </w:p>
    <w:p w14:paraId="35A8C9D3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lokalizację zabytku archeologicznego, oznaczonego na rysunku planu i wymienionego w poniższej 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3199"/>
        <w:gridCol w:w="5147"/>
      </w:tblGrid>
      <w:tr w:rsidR="00377E6A" w14:paraId="3EDCC85F" w14:textId="77777777">
        <w:trPr>
          <w:trHeight w:val="340"/>
        </w:trPr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7537B05" w14:textId="77777777" w:rsidR="00A77B3E" w:rsidRDefault="008650CC">
            <w:pPr>
              <w:jc w:val="center"/>
              <w:rPr>
                <w:color w:val="000000"/>
                <w:u w:color="000000"/>
              </w:rPr>
            </w:pPr>
            <w:r>
              <w:t>Numer AZP</w:t>
            </w:r>
          </w:p>
        </w:tc>
        <w:tc>
          <w:tcPr>
            <w:tcW w:w="3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8A340B6" w14:textId="77777777" w:rsidR="00A77B3E" w:rsidRDefault="008650CC">
            <w:pPr>
              <w:jc w:val="center"/>
              <w:rPr>
                <w:color w:val="000000"/>
                <w:u w:color="000000"/>
              </w:rPr>
            </w:pPr>
            <w:r>
              <w:t>Nr stanowiska w miejscowości</w:t>
            </w:r>
          </w:p>
        </w:tc>
        <w:tc>
          <w:tcPr>
            <w:tcW w:w="5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9F6746A" w14:textId="77777777" w:rsidR="00A77B3E" w:rsidRDefault="008650CC">
            <w:pPr>
              <w:jc w:val="center"/>
              <w:rPr>
                <w:color w:val="000000"/>
                <w:u w:color="000000"/>
              </w:rPr>
            </w:pPr>
            <w:r>
              <w:t>Chronologia</w:t>
            </w:r>
          </w:p>
        </w:tc>
      </w:tr>
      <w:tr w:rsidR="00377E6A" w14:paraId="177E1048" w14:textId="77777777">
        <w:trPr>
          <w:trHeight w:val="340"/>
        </w:trPr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6FFB164" w14:textId="77777777" w:rsidR="00A77B3E" w:rsidRDefault="008650CC">
            <w:pPr>
              <w:jc w:val="center"/>
              <w:rPr>
                <w:color w:val="000000"/>
                <w:u w:color="000000"/>
              </w:rPr>
            </w:pPr>
            <w:r>
              <w:t>66-53/3</w:t>
            </w:r>
          </w:p>
        </w:tc>
        <w:tc>
          <w:tcPr>
            <w:tcW w:w="3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A450ABE" w14:textId="77777777" w:rsidR="00A77B3E" w:rsidRDefault="008650CC">
            <w:pPr>
              <w:jc w:val="center"/>
              <w:rPr>
                <w:color w:val="000000"/>
                <w:u w:color="000000"/>
              </w:rPr>
            </w:pPr>
            <w:r>
              <w:t xml:space="preserve">Łódź, Nowosolna, stan. 2 </w:t>
            </w:r>
          </w:p>
        </w:tc>
        <w:tc>
          <w:tcPr>
            <w:tcW w:w="5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5B9E475" w14:textId="77777777" w:rsidR="00A77B3E" w:rsidRDefault="008650CC">
            <w:pPr>
              <w:jc w:val="left"/>
              <w:rPr>
                <w:color w:val="000000"/>
                <w:u w:color="000000"/>
              </w:rPr>
            </w:pPr>
            <w:r>
              <w:t>epoka żelaza; kultura przeworska, okres wpływów rzymskich</w:t>
            </w:r>
          </w:p>
        </w:tc>
      </w:tr>
    </w:tbl>
    <w:p w14:paraId="5A436156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 obszarze lokalizacji zabytku archeologicznego, o którym mowa w pkt 1, przy realizacji robót ziemnych lub dokonywaniu zmiany charakteru dotychczasowej </w:t>
      </w:r>
      <w:r>
        <w:rPr>
          <w:color w:val="000000"/>
          <w:u w:color="000000"/>
        </w:rPr>
        <w:t>działalności wiążącej się z naruszeniem struktury gruntu nakazuje się przeprowadzenie badań archeologicznych, zgodnie z przepisami odrębnymi z zakresu ochrony zabytków i prawa budowlanego;</w:t>
      </w:r>
    </w:p>
    <w:p w14:paraId="65FA0F82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wprowadza się strefę ochrony archeologicznej wskazaną na rysunku</w:t>
      </w:r>
      <w:r>
        <w:rPr>
          <w:color w:val="000000"/>
          <w:u w:color="000000"/>
        </w:rPr>
        <w:t xml:space="preserve"> planu, w której przy realizacji robót ziemnych lub dokonywaniu zmiany charakteru dotychczasowej działalności wiążącej się z naruszeniem struktury gruntu nakazuje się prowadzenie nadzoru archeologicznego na zasadach określonych w przepisach odrębnych z zak</w:t>
      </w:r>
      <w:r>
        <w:rPr>
          <w:color w:val="000000"/>
          <w:u w:color="000000"/>
        </w:rPr>
        <w:t>resu ochrony zabytków.</w:t>
      </w:r>
    </w:p>
    <w:p w14:paraId="4531E450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W zakresie zasad i warunków scalania i podziału nieruchomości:</w:t>
      </w:r>
    </w:p>
    <w:p w14:paraId="2610B518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przeprowadzania scaleń i podziałów nieruchomości;</w:t>
      </w:r>
    </w:p>
    <w:p w14:paraId="6A002000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</w:t>
      </w:r>
      <w:r>
        <w:rPr>
          <w:color w:val="000000"/>
          <w:u w:color="000000"/>
        </w:rPr>
        <w:t>eruchomości dokonywanego na wniosek:</w:t>
      </w:r>
    </w:p>
    <w:p w14:paraId="21D88861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działki: minimum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AF4A5B1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frontu działki: minimum 30 m,</w:t>
      </w:r>
    </w:p>
    <w:p w14:paraId="66853078" w14:textId="77777777" w:rsidR="00A77B3E" w:rsidRDefault="008650CC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kąt położenia granic działki w stosunku do pasa drogowego: od 70° do 90°;</w:t>
      </w:r>
    </w:p>
    <w:p w14:paraId="1EA15C23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parametry działek powstałych w wyniku scalania i podzi</w:t>
      </w:r>
      <w:r>
        <w:rPr>
          <w:color w:val="000000"/>
          <w:u w:color="000000"/>
        </w:rPr>
        <w:t>ału nieruchomości nie obowiązują dla działek gruntu wydzielonych pod infrastrukturę techniczną.</w:t>
      </w:r>
    </w:p>
    <w:p w14:paraId="2F587DD0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W zakresie komunikacji ustala się obsługę komunikacyjną terenów ZP z dróg dojazdowych</w:t>
      </w:r>
      <w:r>
        <w:rPr>
          <w:color w:val="000000"/>
          <w:u w:color="000000"/>
        </w:rPr>
        <w:br/>
        <w:t>i dróg wewnętrznych (ulice: Pomarańczowa, Kokosowa, Figowa, Oliwkowa, B</w:t>
      </w:r>
      <w:r>
        <w:rPr>
          <w:color w:val="000000"/>
          <w:u w:color="000000"/>
        </w:rPr>
        <w:t>ananowa oraz Byszewska) położonych poza granicami obszaru objętego niniejszym planem miejscowym.</w:t>
      </w:r>
    </w:p>
    <w:p w14:paraId="70DF58E5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Ustala się zasady modernizacji, rozbudowy i budowy systemów infrastruktury technicznej:</w:t>
      </w:r>
    </w:p>
    <w:p w14:paraId="43623C35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wyposażenie terenów w sieci i urządzenia </w:t>
      </w:r>
      <w:r>
        <w:rPr>
          <w:color w:val="000000"/>
          <w:u w:color="000000"/>
        </w:rPr>
        <w:t>infrastruktury technicznej w oparciu o istniejące systemy, ich przebudowę, a także budowę nowych systemów;</w:t>
      </w:r>
    </w:p>
    <w:p w14:paraId="2AAC9033" w14:textId="77777777" w:rsidR="00A77B3E" w:rsidRDefault="008650CC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oraz przebudowywanej i rozbudowywanej infrastruktury technicznej jako podziemnej.</w:t>
      </w:r>
    </w:p>
    <w:p w14:paraId="3924D14A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granice terenów rozmieszc</w:t>
      </w:r>
      <w:r>
        <w:rPr>
          <w:color w:val="000000"/>
          <w:u w:color="000000"/>
        </w:rPr>
        <w:t>zenia inwestycji celu publicznego o znaczeniu lokalnym, które stanowią wskazane na rysunku planu linie rozgraniczające terenów publicznie dostępnych samorządowych terenów zieleni urządzonej oznaczonych symbolami od 1ZP do 3ZP.</w:t>
      </w:r>
    </w:p>
    <w:p w14:paraId="547DD8C7" w14:textId="77777777" w:rsidR="00A77B3E" w:rsidRDefault="008650CC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11. </w:t>
      </w:r>
      <w:r>
        <w:rPr>
          <w:color w:val="000000"/>
          <w:u w:color="000000"/>
        </w:rPr>
        <w:t>Ustala się szczególne war</w:t>
      </w:r>
      <w:r>
        <w:rPr>
          <w:color w:val="000000"/>
          <w:u w:color="000000"/>
        </w:rPr>
        <w:t>unki zagospodarowania terenów oraz ograniczenia w ich użytkowaniu wynikające z przepisów odrębnych z zakresu lotnictwa – cały obszaru planu obejmują powierzchnie ograniczające zabudowę (BRA) od lotniczych urządzeń naziemnych (LUN),</w:t>
      </w:r>
      <w:r>
        <w:rPr>
          <w:color w:val="000000"/>
          <w:u w:color="000000"/>
        </w:rPr>
        <w:br/>
        <w:t xml:space="preserve">z </w:t>
      </w:r>
      <w:proofErr w:type="spellStart"/>
      <w:r>
        <w:rPr>
          <w:color w:val="000000"/>
          <w:u w:color="000000"/>
        </w:rPr>
        <w:t>wyłączeniami</w:t>
      </w:r>
      <w:proofErr w:type="spellEnd"/>
      <w:r>
        <w:rPr>
          <w:color w:val="000000"/>
          <w:u w:color="000000"/>
        </w:rPr>
        <w:t xml:space="preserve"> oraz możl</w:t>
      </w:r>
      <w:r>
        <w:rPr>
          <w:color w:val="000000"/>
          <w:u w:color="000000"/>
        </w:rPr>
        <w:t>iwością uzyskania odstępstwa od wymogów dotyczących powierzchni ograniczających zabudowę, zgodnie z przepisami odrębnymi z zakresu lotnictwa.</w:t>
      </w:r>
    </w:p>
    <w:p w14:paraId="7AF21C69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Ustala się wysokość stawki procentowej służącej określeniu opłaty, o której mowa w art. 36 ust. 4 ustawy dla </w:t>
      </w:r>
      <w:r>
        <w:rPr>
          <w:color w:val="000000"/>
          <w:u w:color="000000"/>
        </w:rPr>
        <w:t>wszystkich terenów w wysokości 30%.</w:t>
      </w:r>
    </w:p>
    <w:p w14:paraId="3538EB58" w14:textId="77777777" w:rsidR="00A77B3E" w:rsidRDefault="008650CC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63A96AE7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75771B3F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Wykonanie uchwały powierza się Prezydent</w:t>
      </w:r>
      <w:r>
        <w:rPr>
          <w:color w:val="000000"/>
          <w:u w:color="000000"/>
        </w:rPr>
        <w:t>owi Miasta Łodzi.</w:t>
      </w:r>
    </w:p>
    <w:p w14:paraId="755D3F56" w14:textId="77777777" w:rsidR="00A77B3E" w:rsidRDefault="008650CC">
      <w:pPr>
        <w:keepLines/>
        <w:spacing w:before="240" w:after="12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 xml:space="preserve">Tracą moc ustalenia miejscowego planu zagospodarowania przestrzennego dla części obszaru miasta Łodzi położonej w rejonie ulic: Brzezińskiej, Pomorskiej, Jugosłowiańskiej, </w:t>
      </w:r>
      <w:proofErr w:type="spellStart"/>
      <w:r>
        <w:rPr>
          <w:color w:val="000000"/>
          <w:u w:color="000000"/>
        </w:rPr>
        <w:t>Wiączyńskiej</w:t>
      </w:r>
      <w:proofErr w:type="spellEnd"/>
      <w:r>
        <w:rPr>
          <w:color w:val="000000"/>
          <w:u w:color="000000"/>
        </w:rPr>
        <w:t>, J. Kasprowicza, Grabińskiej i Byszewskiej – obs</w:t>
      </w:r>
      <w:r>
        <w:rPr>
          <w:color w:val="000000"/>
          <w:u w:color="000000"/>
        </w:rPr>
        <w:t>zaru centrum osiedla Nowosolna, zatwierdzonego uchwałą Nr XLIX/1508/21 Rady Miejskiej w Łodzi z dnia 20 października 2021 r. (Dz. Urz. Woj. Łódzkiego poz. 5802) – w części odnoszącej się do obszaru objętego ustaleniami niniejszej uchwały.</w:t>
      </w:r>
    </w:p>
    <w:p w14:paraId="1553C566" w14:textId="77777777" w:rsidR="00A77B3E" w:rsidRDefault="008650CC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Uchwała wch</w:t>
      </w:r>
      <w:r>
        <w:rPr>
          <w:color w:val="000000"/>
          <w:u w:color="000000"/>
        </w:rPr>
        <w:t>odzi w życie po upływie 14 dni od dnia jej ogłoszenia w Dzienniku Urzędowym Województwa Łódzkiego.</w:t>
      </w:r>
    </w:p>
    <w:p w14:paraId="49C896F9" w14:textId="77777777" w:rsidR="00A77B3E" w:rsidRDefault="008650CC">
      <w:pPr>
        <w:keepNext/>
        <w:keepLines/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>  </w:t>
      </w:r>
    </w:p>
    <w:p w14:paraId="2F549BC9" w14:textId="77777777" w:rsidR="00A77B3E" w:rsidRDefault="008650C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7E6A" w14:paraId="062B933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E932E1" w14:textId="77777777" w:rsidR="00377E6A" w:rsidRDefault="00377E6A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51B8CF" w14:textId="77777777" w:rsidR="00377E6A" w:rsidRDefault="008650CC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50BBCA1F" w14:textId="77777777" w:rsidR="00A77B3E" w:rsidRDefault="008650CC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4F45EDFD" w14:textId="77777777" w:rsidR="00A77B3E" w:rsidRDefault="008650CC" w:rsidP="008650CC">
      <w:pPr>
        <w:spacing w:before="120" w:after="120"/>
        <w:jc w:val="left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48C7DDDF" w14:textId="77777777" w:rsidR="00A77B3E" w:rsidRDefault="008650CC">
      <w:pPr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                  2022 r.</w:t>
      </w:r>
      <w:r>
        <w:rPr>
          <w:color w:val="000000"/>
          <w:u w:color="000000"/>
        </w:rPr>
        <w:br/>
      </w:r>
    </w:p>
    <w:p w14:paraId="3697A17C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F471F7B" wp14:editId="668FA30C">
            <wp:extent cx="6276376" cy="443269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376" cy="4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D3FB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0A433E65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F6EFCD2" wp14:editId="4FE5C89F">
            <wp:extent cx="6276376" cy="4432691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376" cy="4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660F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0D011E3A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D4E6EC7" wp14:editId="04FC9B2B">
            <wp:extent cx="6274446" cy="4434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4446" cy="443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4333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08ABFB35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9D9700C" wp14:editId="55AC7BBD">
            <wp:extent cx="6276376" cy="4432691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6376" cy="4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E783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114E5C77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513D368" wp14:editId="74A21D23">
            <wp:extent cx="6276376" cy="4432691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6376" cy="4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0CD6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157F2BC9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A44B830" wp14:editId="095AAF48">
            <wp:extent cx="6268186" cy="8383700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8186" cy="83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80C8" w14:textId="77777777" w:rsidR="00A77B3E" w:rsidRDefault="008650CC">
      <w:pPr>
        <w:spacing w:before="120" w:after="120"/>
        <w:jc w:val="left"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14:paraId="2FBC4C6D" w14:textId="77777777" w:rsidR="00A77B3E" w:rsidRDefault="008650CC">
      <w:pPr>
        <w:keepNext/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 xml:space="preserve">do </w:t>
      </w:r>
      <w:r>
        <w:rPr>
          <w:color w:val="000000"/>
          <w:u w:color="000000"/>
        </w:rPr>
        <w:t>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                  2022 r.</w:t>
      </w:r>
      <w:r>
        <w:rPr>
          <w:color w:val="000000"/>
          <w:u w:color="000000"/>
        </w:rPr>
        <w:br/>
      </w:r>
    </w:p>
    <w:p w14:paraId="65CCCE48" w14:textId="77777777" w:rsidR="00A77B3E" w:rsidRDefault="008650CC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związku</w:t>
      </w:r>
      <w:r>
        <w:rPr>
          <w:b/>
          <w:color w:val="000000"/>
          <w:u w:color="000000"/>
        </w:rPr>
        <w:br/>
        <w:t>z wyłożeniem do publicznego wglądu.</w:t>
      </w:r>
    </w:p>
    <w:p w14:paraId="7D129471" w14:textId="77777777" w:rsidR="00A77B3E" w:rsidRDefault="008650CC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Projekt  miejscowego planu zagospodarowania </w:t>
      </w:r>
      <w:r>
        <w:rPr>
          <w:color w:val="000000"/>
          <w:u w:color="000000"/>
        </w:rPr>
        <w:t>przestrzennego dla części obszaru miasta Łodzi położonej w rejonie ulic: Byszewskiej, Oliwkowej, Bananowej, Kokosowej i Pomarańczowej został wyłożony do publicznego wglądu w okresie od 18 października 2022 r. do 9 listopada 2022 r.</w:t>
      </w:r>
    </w:p>
    <w:p w14:paraId="4CD5AFA8" w14:textId="77777777" w:rsidR="00A77B3E" w:rsidRDefault="008650CC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terminie wyznaczonym d</w:t>
      </w:r>
      <w:r>
        <w:rPr>
          <w:color w:val="000000"/>
          <w:u w:color="000000"/>
        </w:rPr>
        <w:t>o wnoszenia uwag dotyczących projektu planu tj. do dnia 23 listopada 2022 r. nie wpłynęła żadna uwaga.</w:t>
      </w:r>
    </w:p>
    <w:p w14:paraId="3CC09C91" w14:textId="77777777" w:rsidR="00A77B3E" w:rsidRDefault="008650CC">
      <w:pPr>
        <w:keepNext/>
        <w:keepLines/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44434D07" w14:textId="77777777" w:rsidR="00A77B3E" w:rsidRDefault="008650C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7E6A" w14:paraId="3978F00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EEE407" w14:textId="77777777" w:rsidR="00377E6A" w:rsidRDefault="00377E6A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AEBC41" w14:textId="77777777" w:rsidR="00377E6A" w:rsidRDefault="008650CC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6F9D9515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B6D4496" w14:textId="77777777" w:rsidR="00A77B3E" w:rsidRDefault="008650CC">
      <w:pPr>
        <w:keepNext/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Rady Miejskiej w Łodzi</w:t>
      </w:r>
      <w:r>
        <w:rPr>
          <w:color w:val="000000"/>
          <w:u w:color="000000"/>
        </w:rPr>
        <w:br/>
        <w:t>z dnia                   2022 r.</w:t>
      </w:r>
      <w:r>
        <w:rPr>
          <w:color w:val="000000"/>
          <w:u w:color="000000"/>
        </w:rPr>
        <w:br/>
      </w:r>
    </w:p>
    <w:p w14:paraId="79ECEF01" w14:textId="77777777" w:rsidR="00A77B3E" w:rsidRDefault="008650CC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 zapisanych w planie inwestycji z zakresu infrastruktury technicznej, które należą do zadań własnych gminy oraz zasadach ich finansowania, zgodnie z przepisami o </w:t>
      </w:r>
      <w:r>
        <w:rPr>
          <w:b/>
          <w:color w:val="000000"/>
          <w:u w:color="000000"/>
        </w:rPr>
        <w:t>finansach publicznych.</w:t>
      </w:r>
    </w:p>
    <w:p w14:paraId="1199E244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technicznej, będących zadaniami własnymi gminy należy:</w:t>
      </w:r>
    </w:p>
    <w:p w14:paraId="578A0991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-uzbrojenie terenu w sieć wodociągową, kanalizacji sanitarnej oraz kanalizacji deszczowej,</w:t>
      </w:r>
    </w:p>
    <w:p w14:paraId="659DE8B9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-uzbrojenie terenu w sieć oświetlenia ulicznego,</w:t>
      </w:r>
    </w:p>
    <w:p w14:paraId="75F5F45E" w14:textId="77777777" w:rsidR="00A77B3E" w:rsidRDefault="008650CC">
      <w:pPr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-bud</w:t>
      </w:r>
      <w:r>
        <w:rPr>
          <w:color w:val="000000"/>
          <w:u w:color="000000"/>
        </w:rPr>
        <w:t>owa nowych dróg, chodników i dróg rowerowych.</w:t>
      </w:r>
    </w:p>
    <w:p w14:paraId="77ACC151" w14:textId="77777777" w:rsidR="00A77B3E" w:rsidRDefault="008650CC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gminy objętych wieloletnią prognozą finansową.</w:t>
      </w:r>
    </w:p>
    <w:p w14:paraId="39813457" w14:textId="77777777" w:rsidR="00A77B3E" w:rsidRDefault="008650CC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Finansowanie będzie si</w:t>
      </w:r>
      <w:r>
        <w:rPr>
          <w:color w:val="000000"/>
          <w:u w:color="000000"/>
        </w:rPr>
        <w:t>ę opierało o budżet gminy, z wykorzystaniem funduszy strukturalnych Unii Europejskiej oraz środków Funduszu Ochrony Środowiska, a także środków możliwych do pozyskania z Zintegrowanego Programu Operacyjnego Rozwoju Regionalnego.</w:t>
      </w:r>
    </w:p>
    <w:p w14:paraId="2CC1C772" w14:textId="77777777" w:rsidR="00A77B3E" w:rsidRDefault="008650CC">
      <w:pPr>
        <w:keepNext/>
        <w:keepLines/>
        <w:spacing w:before="120" w:after="12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</w:t>
      </w:r>
      <w:r>
        <w:rPr>
          <w:color w:val="000000"/>
          <w:u w:color="000000"/>
        </w:rPr>
        <w:t>iera obciążeń miasta z tytułu odszkodowań w trybie art. 36 ust. 1 ustawy.</w:t>
      </w:r>
    </w:p>
    <w:p w14:paraId="210D3217" w14:textId="77777777" w:rsidR="00A77B3E" w:rsidRDefault="00A77B3E">
      <w:pPr>
        <w:keepNext/>
        <w:keepLines/>
        <w:spacing w:before="120" w:after="120"/>
        <w:jc w:val="left"/>
        <w:rPr>
          <w:color w:val="000000"/>
          <w:u w:color="000000"/>
        </w:rPr>
      </w:pPr>
    </w:p>
    <w:p w14:paraId="12474F62" w14:textId="77777777" w:rsidR="00A77B3E" w:rsidRDefault="008650C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7E6A" w14:paraId="1CB5518C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BD30D3" w14:textId="77777777" w:rsidR="00377E6A" w:rsidRDefault="00377E6A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0700C4" w14:textId="77777777" w:rsidR="00377E6A" w:rsidRDefault="008650CC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 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73062287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4D677780" w14:textId="0B1537FB" w:rsidR="00A77B3E" w:rsidRDefault="008650CC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</w:t>
      </w:r>
      <w:r>
        <w:rPr>
          <w:color w:val="000000"/>
          <w:u w:color="000000"/>
        </w:rPr>
        <w:t>                    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2022 r.</w:t>
      </w:r>
      <w:r>
        <w:rPr>
          <w:color w:val="000000"/>
          <w:u w:color="000000"/>
        </w:rPr>
        <w:br/>
      </w:r>
      <w:hyperlink r:id="rId22" w:history="1">
        <w:r>
          <w:rPr>
            <w:rStyle w:val="Hipercze"/>
            <w:color w:val="000000"/>
            <w:u w:val="none" w:color="000000"/>
          </w:rPr>
          <w:t>Zalacznik4.xml</w:t>
        </w:r>
      </w:hyperlink>
    </w:p>
    <w:p w14:paraId="1560370E" w14:textId="77777777" w:rsidR="00A77B3E" w:rsidRDefault="008650CC">
      <w:pPr>
        <w:keepNext/>
        <w:spacing w:after="280"/>
        <w:jc w:val="center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</w:t>
      </w:r>
      <w:r>
        <w:rPr>
          <w:b/>
          <w:color w:val="000000"/>
          <w:u w:color="000000"/>
        </w:rPr>
        <w:t>. 3 ustawy z dnia 27 marca 2003 r. o planowaniu i zagospodarowaniu przestrzennym ujawnione zostaną po kliknięciu w ikonę.</w:t>
      </w:r>
    </w:p>
    <w:p w14:paraId="272CC77D" w14:textId="77777777" w:rsidR="00377E6A" w:rsidRDefault="00377E6A">
      <w:pPr>
        <w:rPr>
          <w:szCs w:val="20"/>
        </w:rPr>
      </w:pPr>
    </w:p>
    <w:p w14:paraId="7BEDD11C" w14:textId="77777777" w:rsidR="00377E6A" w:rsidRDefault="008650CC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6D7C230B" w14:textId="77777777" w:rsidR="00377E6A" w:rsidRDefault="008650CC">
      <w:pPr>
        <w:spacing w:before="120" w:after="12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uchwalenia miejscowego planu zagospodarowania przestrzennego dla części obszaru </w:t>
      </w:r>
      <w:r>
        <w:rPr>
          <w:b/>
          <w:szCs w:val="20"/>
        </w:rPr>
        <w:t>miasta Łodzi położonej w rejonie ulic: Byszewskiej, Oliwkowej, Bananowej, Kokosowej i Pomarańczowej.</w:t>
      </w:r>
    </w:p>
    <w:p w14:paraId="4E595136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Projekt planu (wraz z „Prognozą oddziaływania na środowisko” i „Prognozą skutków finansowych uchwalenia planu miejscowego”) został opracowany na podstawie </w:t>
      </w:r>
      <w:r>
        <w:rPr>
          <w:color w:val="000000"/>
          <w:szCs w:val="20"/>
          <w:u w:color="000000"/>
        </w:rPr>
        <w:t xml:space="preserve">uchwały Nr LIV/1640/22 Rady Miejskiej w Łodzi z dnia 19 stycznia 2022 r. w sprawie przystąpienia do sporządzenia miejscowego planu zagospodarowania przestrzennego dla części obszaru miasta Łodzi położonej w rejonie ulic: Byszewskiej Oliwkowej, </w:t>
      </w:r>
      <w:r>
        <w:rPr>
          <w:szCs w:val="20"/>
        </w:rPr>
        <w:t xml:space="preserve">Bananowej, </w:t>
      </w:r>
      <w:r>
        <w:rPr>
          <w:color w:val="000000"/>
          <w:szCs w:val="20"/>
          <w:u w:color="000000"/>
        </w:rPr>
        <w:t>K</w:t>
      </w:r>
      <w:r>
        <w:rPr>
          <w:color w:val="000000"/>
          <w:szCs w:val="20"/>
          <w:u w:color="000000"/>
        </w:rPr>
        <w:t>okosowej i Pomarańczowej. Powierzchnia obszaru objętego ustaleniami planu wynosi około 1,58 ha.</w:t>
      </w:r>
    </w:p>
    <w:p w14:paraId="538D53F7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planu, zgodnie z jego uchwałą inicjującą, jest ustalenie przeznaczenia</w:t>
      </w:r>
      <w:r>
        <w:rPr>
          <w:color w:val="000000"/>
          <w:szCs w:val="20"/>
          <w:u w:color="000000"/>
        </w:rPr>
        <w:br/>
        <w:t>i sposobu zagospodarowania terenów zgodnie z wymogami ładu przestrzennego ora</w:t>
      </w:r>
      <w:r>
        <w:rPr>
          <w:color w:val="000000"/>
          <w:szCs w:val="20"/>
          <w:u w:color="000000"/>
        </w:rPr>
        <w:t>z realizowaną polityką przestrzenną miasta określoną w obowiązującym Studium uwarunkowań i kierunków zagospodarowania przestrzennego miasta Łodzi uchwalonym uchwałą Nr LXIX/1753/18 Rady Miejskiej w Łodzi z dnia 28 marca 2018 r., zmienioną uchwałami Rady Mi</w:t>
      </w:r>
      <w:r>
        <w:rPr>
          <w:color w:val="000000"/>
          <w:szCs w:val="20"/>
          <w:u w:color="000000"/>
        </w:rPr>
        <w:t>ejskiej w Łodzi Nr VI/215/19 z dnia 6 marca 2019 r. i Nr LII/1605/21 z dnia 22 grudnia 2021 r.</w:t>
      </w:r>
    </w:p>
    <w:p w14:paraId="6FDB1247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przedstawionej uchwały jest zgodny z obowiązującym Studium uwarunkowań i kierunków zagospodarowania przestrzennego miasta Łodzi. Dla obszaru objętego pla</w:t>
      </w:r>
      <w:r>
        <w:rPr>
          <w:color w:val="000000"/>
          <w:szCs w:val="20"/>
          <w:u w:color="000000"/>
        </w:rPr>
        <w:t xml:space="preserve">nem miejscowym Studium wyznacza tereny M3 – tereny zabudowy mieszkaniowej jednorodzinnej. Możliwość urządzenia terenów zieleni, w ramach jednostki M3, jest zgodne z ustaleniami ogólnymi wskazanymi dla struktury </w:t>
      </w:r>
      <w:proofErr w:type="spellStart"/>
      <w:r>
        <w:rPr>
          <w:color w:val="000000"/>
          <w:szCs w:val="20"/>
          <w:u w:color="000000"/>
        </w:rPr>
        <w:t>funkcjonalno</w:t>
      </w:r>
      <w:proofErr w:type="spellEnd"/>
      <w:r>
        <w:rPr>
          <w:color w:val="000000"/>
          <w:szCs w:val="20"/>
          <w:u w:color="000000"/>
        </w:rPr>
        <w:t xml:space="preserve"> – przestrzennej.</w:t>
      </w:r>
    </w:p>
    <w:p w14:paraId="42592F0B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Celem prac plan</w:t>
      </w:r>
      <w:r>
        <w:rPr>
          <w:color w:val="000000"/>
          <w:szCs w:val="20"/>
          <w:u w:color="000000"/>
        </w:rPr>
        <w:t>istycznych jest ochrona przed zabudową terenów zielonych zlokalizowanych na osiedlu Nowosolna.</w:t>
      </w:r>
    </w:p>
    <w:p w14:paraId="726E9F92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Celem prac planistycznych jest powstrzymanie zabudowy zielonych terenów na osiedlu Nowosolna, które jest realizacją zobowiązania podjętego dnia 7 października 20</w:t>
      </w:r>
      <w:r>
        <w:rPr>
          <w:color w:val="000000"/>
          <w:szCs w:val="20"/>
          <w:u w:color="000000"/>
        </w:rPr>
        <w:t>21 r. przez Prezydenta Miasta Łodzi w sprawie przystąpienia do punktowych zmian uchwały w zakresie zielonych  nieruchomości miejskich w okolicach ul. Byszewskiej (działki o numerach ewidencyjnych 847/2, 848/2, 861, 952, obręb W-46) w celu przeznaczenia ich</w:t>
      </w:r>
      <w:r>
        <w:rPr>
          <w:color w:val="000000"/>
          <w:szCs w:val="20"/>
          <w:u w:color="000000"/>
        </w:rPr>
        <w:t xml:space="preserve"> pod tereny zieleni urządzonej.</w:t>
      </w:r>
    </w:p>
    <w:p w14:paraId="18EC976E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 obszarze, dla którego sporządzono niniejszy projekt planu obowiązuje miejscowy plan zagospodarowania przestrzennego zgodnie z podjętą uchwałą Nr XLIX/1508/21 Rady Miejskiej </w:t>
      </w:r>
      <w:r>
        <w:rPr>
          <w:color w:val="000000"/>
          <w:szCs w:val="20"/>
          <w:u w:color="000000"/>
        </w:rPr>
        <w:br/>
        <w:t>w Łodzi z dnia 20 października 2021 r.  w spraw</w:t>
      </w:r>
      <w:r>
        <w:rPr>
          <w:color w:val="000000"/>
          <w:szCs w:val="20"/>
          <w:u w:color="000000"/>
        </w:rPr>
        <w:t xml:space="preserve">ie uchwalenia miejscowego planu zagospodarowania przestrzennego dla części obszaru miasta Łodzi położonej w rejonie ulic: Brzezińskiej, Pomorskiej, Jugosłowiańskiej, </w:t>
      </w:r>
      <w:proofErr w:type="spellStart"/>
      <w:r>
        <w:rPr>
          <w:color w:val="000000"/>
          <w:szCs w:val="20"/>
          <w:u w:color="000000"/>
        </w:rPr>
        <w:t>Wiączyńskiej</w:t>
      </w:r>
      <w:proofErr w:type="spellEnd"/>
      <w:r>
        <w:rPr>
          <w:color w:val="000000"/>
          <w:szCs w:val="20"/>
          <w:u w:color="000000"/>
        </w:rPr>
        <w:t>, J. Kasprowicza, Grabińskiej i Byszewskiej – obszaru centrum osiedla Nowosoln</w:t>
      </w:r>
      <w:r>
        <w:rPr>
          <w:color w:val="000000"/>
          <w:szCs w:val="20"/>
          <w:u w:color="000000"/>
        </w:rPr>
        <w:t>a (Dz. Urz. Woj. Łódzkiego poz. 5802). Tereny objęte niniejszą uchwałą przeznaczone są w obowiązującym planie pod zabudowę mieszkaniową jednorodzinną - 6.3MN, 6.5MN oraz 6.7MN.</w:t>
      </w:r>
    </w:p>
    <w:p w14:paraId="477A264F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Rysunek planu stanowiący Załącznik Nr 1 do uchwały wykonano na mapie sytuacyjno</w:t>
      </w:r>
      <w:r>
        <w:rPr>
          <w:color w:val="000000"/>
          <w:szCs w:val="20"/>
          <w:u w:color="000000"/>
        </w:rPr>
        <w:t>-wysokościowej w skali 1:1000.</w:t>
      </w:r>
    </w:p>
    <w:p w14:paraId="341C8C40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Ustalenia projektu planu miejscowego określają przeznaczenie, zasady zagospodarowania terenu, wymagania wynikające z potrzeb kształtowania przestrzeni publicznych oraz ochrony zabytków, zasady prawidłowej obsługi komunikacyjn</w:t>
      </w:r>
      <w:r>
        <w:rPr>
          <w:color w:val="000000"/>
          <w:szCs w:val="20"/>
          <w:u w:color="000000"/>
        </w:rPr>
        <w:t>ej w powiązaniu z istniejącym układem komunikacyjnym miasta oraz rozwiązania w zakresie infrastruktury technicznej.</w:t>
      </w:r>
    </w:p>
    <w:p w14:paraId="463D4E23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</w:t>
      </w:r>
      <w:r>
        <w:rPr>
          <w:color w:val="000000"/>
          <w:szCs w:val="20"/>
          <w:u w:color="000000"/>
        </w:rPr>
        <w:t xml:space="preserve"> i zagospodarowaniu przestrzennym (Dz. U. z 2022 r. poz. 503, 1846 i 2185).</w:t>
      </w:r>
    </w:p>
    <w:p w14:paraId="38EB7B38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I. Realizacja wymogów wynikających z art. 1 ust. 2-4 ustawy z dnia 27 marca 2003 r. o planowaniu i zagospodarowaniu przestrzennym.</w:t>
      </w:r>
    </w:p>
    <w:p w14:paraId="3CE2D967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 W projekcie planu uwzględniono:</w:t>
      </w:r>
    </w:p>
    <w:p w14:paraId="65BB17E3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wymagania ł</w:t>
      </w:r>
      <w:r>
        <w:rPr>
          <w:color w:val="000000"/>
          <w:szCs w:val="20"/>
          <w:u w:color="000000"/>
        </w:rPr>
        <w:t>adu przestrzennego, w tym urbanistyki i architektury oraz walory architektoniczne i krajobrazowe poprzez: określenie przeznaczenia terenów spójnego z polityką przestrzenną Miasta wyrażoną w studium uwarunkowań i kierunków zagospodarowania przestrzennego, p</w:t>
      </w:r>
      <w:r>
        <w:rPr>
          <w:color w:val="000000"/>
          <w:szCs w:val="20"/>
          <w:u w:color="000000"/>
        </w:rPr>
        <w:t>recyzując założenia urbanistyczne dla jego funkcjonowania oraz szanując warunki krajobrazowe i środowiskowe,</w:t>
      </w:r>
    </w:p>
    <w:p w14:paraId="559046A4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2) wymagania ochrony środowiska, w tym gospodarowania wodami i ochrony gruntów rolnych i leśnych poprzez ustalenie ograniczeń i nakazów w zakresie </w:t>
      </w:r>
      <w:r>
        <w:rPr>
          <w:color w:val="000000"/>
          <w:szCs w:val="20"/>
          <w:u w:color="000000"/>
        </w:rPr>
        <w:t>wykorzystywania terenów, w tym zakazu zabudowy;</w:t>
      </w:r>
    </w:p>
    <w:p w14:paraId="1AF2DFFE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wymagania ochrony dziedzictwa kulturowego i zabytków oraz dóbr kultury współczesnej poprzez:</w:t>
      </w:r>
    </w:p>
    <w:p w14:paraId="7287C1A7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wprowadzenie strefy ochrony archeologicznej,</w:t>
      </w:r>
    </w:p>
    <w:p w14:paraId="5D1D0E37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nieokreślenie zasad ochrony dóbr kultury współczesnej ze wzgl</w:t>
      </w:r>
      <w:r>
        <w:rPr>
          <w:color w:val="000000"/>
          <w:szCs w:val="20"/>
          <w:u w:color="000000"/>
        </w:rPr>
        <w:t>ędu na fakt, że nie występują one w obszarze objętym przystąpieniem do sporządzenia planu;</w:t>
      </w:r>
    </w:p>
    <w:p w14:paraId="3EB73936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wymagania ochrony zdrowia oraz bezpieczeństwa ludzi i mienia, a także potrzeby osób ze szczególnymi potrzebami, o których mowa w ustawie z dnia 19 lipca 2019 r. o</w:t>
      </w:r>
      <w:r>
        <w:rPr>
          <w:color w:val="000000"/>
          <w:szCs w:val="20"/>
          <w:u w:color="000000"/>
        </w:rPr>
        <w:t> zapewnianiu dostępności osobom ze szczególnymi potrzebami (Dz. U. z 2022 r. poz. 2240) poprzez ustalenie zasad ochrony środowiska oraz wymagań wynikających z potrzeb kształtowania przestrzeni publicznych;</w:t>
      </w:r>
    </w:p>
    <w:p w14:paraId="161A8F4E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walory ekonomiczne przestrzeni poprzez racjonal</w:t>
      </w:r>
      <w:r>
        <w:rPr>
          <w:color w:val="000000"/>
          <w:szCs w:val="20"/>
          <w:u w:color="000000"/>
        </w:rPr>
        <w:t>nie wykorzystanie istniejącego zagospodarowania terenu przy wyznaczaniu terenów zieleni;</w:t>
      </w:r>
    </w:p>
    <w:p w14:paraId="13F87024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 prawo własności, wyznaczając liniami rozgraniczającymi tereny przeznaczone pod inwestycje celu publicznego oraz w sposób nieingerujący w nieruchomości stanowiące wł</w:t>
      </w:r>
      <w:r>
        <w:rPr>
          <w:color w:val="000000"/>
          <w:szCs w:val="20"/>
          <w:u w:color="000000"/>
        </w:rPr>
        <w:t>asność prywatną;</w:t>
      </w:r>
    </w:p>
    <w:p w14:paraId="3CF2CF86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 potrzeby obronności i bezpieczeństwa państwa poprzez uzyskanie uzgodnień z właściwymi organami wojskowymi, ochrony granic oraz bezpieczeństwa państwa:</w:t>
      </w:r>
    </w:p>
    <w:p w14:paraId="4A10153B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ograniczenie wysokości obiektów budowlanych na całym obszarze planu do maksymalnie</w:t>
      </w:r>
      <w:r>
        <w:rPr>
          <w:color w:val="000000"/>
          <w:szCs w:val="20"/>
          <w:u w:color="000000"/>
        </w:rPr>
        <w:t xml:space="preserve"> 40,0 m, co uniemożliwia lokalizowanie obiektów stanowiących przeszkody lotnicze oraz obiektów przekraczających powierzchnie ograniczające lotniska,</w:t>
      </w:r>
    </w:p>
    <w:p w14:paraId="660B5232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uwzględnienie powierzchni ograniczającej zabudowę (BRA) od lotniczych urządzeń naziemnych (LUN), zgodnie</w:t>
      </w:r>
      <w:r>
        <w:rPr>
          <w:color w:val="000000"/>
          <w:szCs w:val="20"/>
          <w:u w:color="000000"/>
        </w:rPr>
        <w:t xml:space="preserve"> z przepisami odrębnymi z zakresu lotnictwa;</w:t>
      </w:r>
    </w:p>
    <w:p w14:paraId="5B5D393B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 potrzeby interesu publicznego poprzez wskazanie w projekcie planu terenów przeznaczonych pod ogólnodostępne tereny zieleni oraz ustalenia z zakresu infrastruktury technicznej;</w:t>
      </w:r>
    </w:p>
    <w:p w14:paraId="226969F2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 potrzeby w zakresie rozwoju i</w:t>
      </w:r>
      <w:r>
        <w:rPr>
          <w:color w:val="000000"/>
          <w:szCs w:val="20"/>
          <w:u w:color="000000"/>
        </w:rPr>
        <w:t>nfrastruktury technicznej, w szczególności sieci szerokopasmowych, określając możliwość wyposażenia terenów w sieci i urządzenia infrastruktury technicznej oraz precyzując zasady ich realizacji;</w:t>
      </w:r>
    </w:p>
    <w:p w14:paraId="411236C4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 zapewnienie udziału społeczeństwa w pracach nad miejscowy</w:t>
      </w:r>
      <w:r>
        <w:rPr>
          <w:color w:val="000000"/>
          <w:szCs w:val="20"/>
          <w:u w:color="000000"/>
        </w:rPr>
        <w:t>m planem zagospodarowania przestrzennego, w tym przy użyciu środków komunikacji elektronicznej, oraz zachowanie jawności i przejrzystości procedur planistycznych poprzez:</w:t>
      </w:r>
    </w:p>
    <w:p w14:paraId="72CBCC79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podanie do publicznej wiadomości informacji o przystąpieniu do sporządzenia projek</w:t>
      </w:r>
      <w:r>
        <w:rPr>
          <w:color w:val="000000"/>
          <w:szCs w:val="20"/>
          <w:u w:color="000000"/>
        </w:rPr>
        <w:t>tu planu,  zgodnie z wymogami przepisów ustawy z dnia 27 marca 2003 r. o planowaniu i zagospodarowaniu przestrzennym oraz ustawy z dnia 3 października 2008 r. o udostępnianiu informacji o środowisku</w:t>
      </w:r>
      <w:r>
        <w:rPr>
          <w:color w:val="000000"/>
          <w:szCs w:val="20"/>
          <w:u w:color="000000"/>
        </w:rPr>
        <w:br/>
        <w:t>i jego ochronie, udziale społeczeństwa w ochronie środowi</w:t>
      </w:r>
      <w:r>
        <w:rPr>
          <w:color w:val="000000"/>
          <w:szCs w:val="20"/>
          <w:u w:color="000000"/>
        </w:rPr>
        <w:t xml:space="preserve">ska oraz o ocenach oddziaływania na środowisko (Dz. U. z 2022 r. poz. 1029, 1260, 1261, 1783, 1846 i 2185), w formie ogłoszeń </w:t>
      </w:r>
      <w:r>
        <w:rPr>
          <w:color w:val="000000"/>
          <w:szCs w:val="20"/>
          <w:u w:color="000000"/>
        </w:rPr>
        <w:lastRenderedPageBreak/>
        <w:t xml:space="preserve">w prasie, </w:t>
      </w:r>
      <w:proofErr w:type="spellStart"/>
      <w:r>
        <w:rPr>
          <w:color w:val="000000"/>
          <w:szCs w:val="20"/>
          <w:u w:color="000000"/>
        </w:rPr>
        <w:t>obwieszczeń</w:t>
      </w:r>
      <w:proofErr w:type="spellEnd"/>
      <w:r>
        <w:rPr>
          <w:color w:val="000000"/>
          <w:szCs w:val="20"/>
          <w:u w:color="000000"/>
        </w:rPr>
        <w:t xml:space="preserve"> zawieszonych na tablicy ogłoszeń oraz zamieszczonych na stronie internetowej Miejskiej Pracowni Urbanistyczn</w:t>
      </w:r>
      <w:r>
        <w:rPr>
          <w:color w:val="000000"/>
          <w:szCs w:val="20"/>
          <w:u w:color="000000"/>
        </w:rPr>
        <w:t>ej w Łodzi,</w:t>
      </w:r>
    </w:p>
    <w:p w14:paraId="0F7044E8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bieżące informowanie osób zainteresowanych o prowadzonych pracach projektowych oraz możliwość zapoznania się z niezbędną dokumentacją sprawy.</w:t>
      </w:r>
    </w:p>
    <w:p w14:paraId="61103100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Plan miejscowy nie ma wpływu na uwzględnienie w nim pozostałych wymagań, walorów </w:t>
      </w:r>
      <w:r>
        <w:rPr>
          <w:color w:val="000000"/>
          <w:szCs w:val="20"/>
          <w:u w:color="000000"/>
        </w:rPr>
        <w:t>i potrzeb, które uwzględnia się w planowaniu i zagospodarowaniu przestrzennym zgodnie  z art. 1 ust. 2 ww. ustawy.</w:t>
      </w:r>
    </w:p>
    <w:p w14:paraId="4534BA18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Ustalając przeznaczenie terenu, a także określając sposób zagospodarowania i korzystania</w:t>
      </w:r>
      <w:r>
        <w:rPr>
          <w:color w:val="000000"/>
          <w:szCs w:val="20"/>
          <w:u w:color="000000"/>
        </w:rPr>
        <w:br/>
        <w:t>z terenu, organ ważył interes publiczny i interes</w:t>
      </w:r>
      <w:r>
        <w:rPr>
          <w:color w:val="000000"/>
          <w:szCs w:val="20"/>
          <w:u w:color="000000"/>
        </w:rPr>
        <w:t>y prywatne, zmierzające do ochrony istniejącego stanu zagospodarowania terenu, jak i zmian w zakresie jego zagospodarowania, a także analizy ekonomiczne, środowiskowe i społeczne.</w:t>
      </w:r>
    </w:p>
    <w:p w14:paraId="12D4168B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Projekt planu nie dopuszcza możliwości sytuowania nowej zabudowy.</w:t>
      </w:r>
    </w:p>
    <w:p w14:paraId="6D719495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Nie wpł</w:t>
      </w:r>
      <w:r>
        <w:rPr>
          <w:color w:val="000000"/>
          <w:szCs w:val="20"/>
          <w:u w:color="000000"/>
        </w:rPr>
        <w:t>ywa na transportochłonność układu przestrzennego oraz na możliwości wykorzystania transportu zbiorowego jako podstawowego środka transportu.</w:t>
      </w:r>
    </w:p>
    <w:p w14:paraId="395DF9E9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II. Zgodność z wynikami analizy dotyczącej oceny aktualności studium uwarunkowań </w:t>
      </w:r>
      <w:r>
        <w:rPr>
          <w:b/>
          <w:color w:val="000000"/>
          <w:szCs w:val="20"/>
          <w:u w:color="000000"/>
        </w:rPr>
        <w:br/>
        <w:t>i kierunków zagospodarowania prze</w:t>
      </w:r>
      <w:r>
        <w:rPr>
          <w:b/>
          <w:color w:val="000000"/>
          <w:szCs w:val="20"/>
          <w:u w:color="000000"/>
        </w:rPr>
        <w:t>strzennego oraz miejscowych planów zagospodarowania przestrzennego Łodzi.</w:t>
      </w:r>
    </w:p>
    <w:p w14:paraId="65493B21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Ocena aktualności Studium uwarunkowań i kierunków zagospodarowania przestrzennego oraz miejscowych planów zagospodarowania przestrzennego miasta Łodzi uchwalona uchwałą Nr LXXIX/2113</w:t>
      </w:r>
      <w:r>
        <w:rPr>
          <w:color w:val="000000"/>
          <w:szCs w:val="20"/>
          <w:u w:color="000000"/>
        </w:rPr>
        <w:t>/18 Rady Miejskiej w Łodzi z dnia 14 listopada 2018 r. nie przewiduje konieczności zrewidowania ustaleń Studium w odniesieniu do obszaru objętego projektem planu. W związku z powyższym projekt planu jest zgodny z wynikami analizy dotyczącej oceny aktualnoś</w:t>
      </w:r>
      <w:r>
        <w:rPr>
          <w:color w:val="000000"/>
          <w:szCs w:val="20"/>
          <w:u w:color="000000"/>
        </w:rPr>
        <w:t>ci Studium i zostają podtrzymane kierunki rozwoju ustalone w Studium.</w:t>
      </w:r>
    </w:p>
    <w:p w14:paraId="456E58E0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 Wpływ na finanse publiczne, w tym budżet gminy.</w:t>
      </w:r>
    </w:p>
    <w:p w14:paraId="355454D4" w14:textId="77777777" w:rsidR="00377E6A" w:rsidRDefault="008650CC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Sporządzona dla potrzeb projektu planu, zgodnie z wymogiem art. 17 pkt 5 ustawy z dnia 27 marca 2003 r. o planowaniu i zagospodarowan</w:t>
      </w:r>
      <w:r>
        <w:rPr>
          <w:color w:val="000000"/>
          <w:szCs w:val="20"/>
          <w:u w:color="000000"/>
        </w:rPr>
        <w:t>iu przestrzennym prognoza skutków finansowych uchwalenia planu miejscowego wykazała, iż realizacja ustaleń projektu planu nie będzie skutkować wpływami do budżetu gminy ani wydatkami związanymi z realizacją ustaleń planu.</w:t>
      </w:r>
    </w:p>
    <w:sectPr w:rsidR="00377E6A">
      <w:footerReference w:type="default" r:id="rId24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78A8E" w14:textId="77777777" w:rsidR="00000000" w:rsidRDefault="008650CC">
      <w:r>
        <w:separator/>
      </w:r>
    </w:p>
  </w:endnote>
  <w:endnote w:type="continuationSeparator" w:id="0">
    <w:p w14:paraId="3729C9F7" w14:textId="77777777" w:rsidR="00000000" w:rsidRDefault="00865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16A6C56E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3F9C470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FF1B483" w14:textId="77777777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6F0DD83" w14:textId="77777777" w:rsidR="00377E6A" w:rsidRDefault="00377E6A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0A14E54F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D36D263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B320C76" w14:textId="7A0FCBB8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EADC464" w14:textId="77777777" w:rsidR="00377E6A" w:rsidRDefault="00377E6A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35E0B3E6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2D49CC1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18E946B" w14:textId="4B073918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8624F08" w14:textId="77777777" w:rsidR="00377E6A" w:rsidRDefault="00377E6A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04C5F309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A47D0D8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023B43A" w14:textId="6F26333E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9094B34" w14:textId="77777777" w:rsidR="00377E6A" w:rsidRDefault="00377E6A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3D639E91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C21294E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F3A5F37" w14:textId="2788D673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1C6F57F" w14:textId="77777777" w:rsidR="00377E6A" w:rsidRDefault="00377E6A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377E6A" w14:paraId="08F992D2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210FBD6" w14:textId="77777777" w:rsidR="00377E6A" w:rsidRDefault="008650C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09A4299" w14:textId="4797B63F" w:rsidR="00377E6A" w:rsidRDefault="008650C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9822E58" w14:textId="77777777" w:rsidR="00377E6A" w:rsidRDefault="00377E6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30637" w14:textId="77777777" w:rsidR="00000000" w:rsidRDefault="008650CC">
      <w:r>
        <w:separator/>
      </w:r>
    </w:p>
  </w:footnote>
  <w:footnote w:type="continuationSeparator" w:id="0">
    <w:p w14:paraId="3D26B758" w14:textId="77777777" w:rsidR="00000000" w:rsidRDefault="00865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377E6A"/>
    <w:rsid w:val="008650CC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90C630"/>
  <w15:docId w15:val="{6F40FB29-C91F-4E64-A328-DE455EFF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3826169-8157-4A48-A114-4DF10AD438F9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A5FD5416-7914-4405-8419-63657B04F563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0FDBE157-5217-4219-8914-F4861E48A468.png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DA5843E5-CA17-4D55-B9BF-7FC7EFD119CF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10" Type="http://schemas.openxmlformats.org/officeDocument/2006/relationships/image" Target="ZalacznikBB68EB85-1E0D-48FC-A8BB-23949EB6B0A8.jp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F88C11C7-B7BA-4A95-AE9E-A12EAE94C794.jpg" TargetMode="External"/><Relationship Id="rId22" Type="http://schemas.openxmlformats.org/officeDocument/2006/relationships/hyperlink" Target="file:///d:\Users\gswit\AppData\Local\Temp\Legislator\0706182E-FFF7-49A4-99D0-2952B379AE61\Zalacznik4.x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3435</Words>
  <Characters>20611</Characters>
  <Application>Microsoft Office Word</Application>
  <DocSecurity>0</DocSecurity>
  <Lines>171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23999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w^rejonie^ulic: Byszewskiej, Oliwkowej, Bananowej, Kokosowej
i Pomarańczowej.</dc:subject>
  <dc:creator>gswit</dc:creator>
  <cp:lastModifiedBy>Greta Świt</cp:lastModifiedBy>
  <cp:revision>2</cp:revision>
  <dcterms:created xsi:type="dcterms:W3CDTF">2022-11-29T09:20:00Z</dcterms:created>
  <dcterms:modified xsi:type="dcterms:W3CDTF">2022-11-29T09:20:00Z</dcterms:modified>
  <cp:category>Akt prawny</cp:category>
</cp:coreProperties>
</file>