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C790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421C5C" w:rsidP="00531BDC">
            <w:pPr>
              <w:ind w:left="6236" w:hanging="282"/>
              <w:jc w:val="left"/>
            </w:pPr>
            <w:r>
              <w:t>Druk Nr</w:t>
            </w:r>
            <w:r w:rsidR="00531BDC">
              <w:t xml:space="preserve"> 289/2022</w:t>
            </w:r>
          </w:p>
          <w:p w:rsidR="00A77B3E" w:rsidRDefault="00421C5C" w:rsidP="00531BDC">
            <w:pPr>
              <w:ind w:left="6236" w:hanging="282"/>
              <w:jc w:val="left"/>
            </w:pPr>
            <w:r>
              <w:t>Projekt z dnia</w:t>
            </w:r>
            <w:r w:rsidR="00531BDC">
              <w:t xml:space="preserve"> 5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421C5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21C5C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421C5C">
      <w:pPr>
        <w:keepNext/>
        <w:spacing w:after="240"/>
      </w:pPr>
      <w:r>
        <w:rPr>
          <w:b/>
        </w:rPr>
        <w:t>w sprawie oceny sytuacji ekonomiczno-finansowej</w:t>
      </w:r>
      <w:r>
        <w:rPr>
          <w:b/>
        </w:rPr>
        <w:br/>
        <w:t xml:space="preserve">samodzielnego publicznego zakładu opieki zdrowotnej o nazwie Miejskie Centrum Medyczne </w:t>
      </w:r>
      <w:r>
        <w:rPr>
          <w:b/>
        </w:rPr>
        <w:t>„Bałuty” w Łodzi, na podstawie raportu o sytuacji</w:t>
      </w:r>
      <w:r>
        <w:rPr>
          <w:b/>
        </w:rPr>
        <w:br/>
        <w:t>ekonomiczno-finansowej za rok 2021.</w:t>
      </w:r>
    </w:p>
    <w:p w:rsidR="00A77B3E" w:rsidRDefault="00421C5C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 1079 i 1561) oraz art. 53a ust. 4 ustawy z d</w:t>
      </w:r>
      <w:r>
        <w:t>nia 15 kwietnia 2011 r. o działalności leczniczej (Dz. U. z 2022 r. poz. 633, 655, 974 i 1079), Rada Miejska w Łodzi</w:t>
      </w:r>
    </w:p>
    <w:p w:rsidR="00A77B3E" w:rsidRDefault="00421C5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21C5C">
      <w:pPr>
        <w:keepLines/>
        <w:spacing w:before="240" w:after="120"/>
        <w:ind w:firstLine="567"/>
        <w:jc w:val="both"/>
      </w:pPr>
      <w:r>
        <w:t>§ 1. </w:t>
      </w:r>
      <w:r>
        <w:t>Dokonuje się oceny sytuacji ekonomiczno-finansowej samodzielnego publicznego zakładu opieki zdrowotnej o nazwie</w:t>
      </w:r>
      <w:r>
        <w:t xml:space="preserve"> Miejskie Centrum Medyczne „Bałuty” w Łodzi,</w:t>
      </w:r>
      <w:r>
        <w:br/>
        <w:t>na podstawie raportu o sytuacji ekonomiczno-finansowej sporządzonego za rok 2021,</w:t>
      </w:r>
      <w:r>
        <w:br/>
        <w:t>w brzmieniu stanowiącym załącznik do uchwały.</w:t>
      </w:r>
    </w:p>
    <w:p w:rsidR="00A77B3E" w:rsidRDefault="00421C5C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421C5C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</w:t>
      </w:r>
      <w:r>
        <w:t xml:space="preserve">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C790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905" w:rsidRDefault="008C790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905" w:rsidRDefault="00421C5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421C5C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421C5C">
      <w:pPr>
        <w:spacing w:before="120" w:after="120"/>
        <w:ind w:left="283" w:firstLine="227"/>
        <w:jc w:val="both"/>
      </w:pPr>
      <w:r>
        <w:t>Prezydent Miasta Łodzi</w:t>
      </w:r>
    </w:p>
    <w:p w:rsidR="00A77B3E" w:rsidRDefault="00A77B3E">
      <w:pPr>
        <w:spacing w:before="120" w:after="120"/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905" w:rsidRDefault="00421C5C">
      <w:pPr>
        <w:keepNext/>
        <w:spacing w:before="240" w:after="60"/>
        <w:ind w:left="5664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</w:t>
      </w:r>
      <w:r>
        <w:rPr>
          <w:szCs w:val="20"/>
          <w:lang w:eastAsia="en-US" w:bidi="ar-SA"/>
        </w:rPr>
        <w:br/>
        <w:t xml:space="preserve">do uchwały Nr </w:t>
      </w:r>
      <w:r>
        <w:rPr>
          <w:szCs w:val="20"/>
          <w:lang w:eastAsia="en-US" w:bidi="ar-SA"/>
        </w:rPr>
        <w:br/>
      </w:r>
      <w:r>
        <w:rPr>
          <w:szCs w:val="20"/>
          <w:lang w:eastAsia="en-US" w:bidi="ar-SA"/>
        </w:rPr>
        <w:t>Rady Miejskiej w Łodzi</w:t>
      </w:r>
      <w:r>
        <w:rPr>
          <w:szCs w:val="20"/>
          <w:lang w:eastAsia="en-US" w:bidi="ar-SA"/>
        </w:rPr>
        <w:br/>
        <w:t xml:space="preserve">z dnia </w:t>
      </w:r>
    </w:p>
    <w:p w:rsidR="008C7905" w:rsidRDefault="008C7905">
      <w:pPr>
        <w:keepNext/>
        <w:spacing w:before="240" w:after="60"/>
        <w:jc w:val="left"/>
        <w:outlineLvl w:val="0"/>
        <w:rPr>
          <w:szCs w:val="20"/>
          <w:lang w:eastAsia="en-US" w:bidi="ar-SA"/>
        </w:rPr>
      </w:pPr>
    </w:p>
    <w:p w:rsidR="008C7905" w:rsidRDefault="00421C5C">
      <w:pPr>
        <w:keepNext/>
        <w:spacing w:before="240" w:after="60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Ocena sytuacji ekonomiczno-finansowej </w:t>
      </w:r>
      <w:r>
        <w:rPr>
          <w:b/>
          <w:szCs w:val="20"/>
          <w:lang w:eastAsia="en-US" w:bidi="ar-SA"/>
        </w:rPr>
        <w:br/>
        <w:t xml:space="preserve">Miejskiego Centrum Medycznego „Bałuty” w Łodzi </w:t>
      </w:r>
      <w:r>
        <w:rPr>
          <w:b/>
          <w:szCs w:val="20"/>
          <w:lang w:eastAsia="en-US" w:bidi="ar-SA"/>
        </w:rPr>
        <w:br/>
        <w:t>na podstawie raportu o sytuacji ekonomiczno-finansowej za rok 2021</w:t>
      </w:r>
      <w:r>
        <w:rPr>
          <w:b/>
          <w:szCs w:val="20"/>
        </w:rPr>
        <w:t>.</w:t>
      </w:r>
    </w:p>
    <w:p w:rsidR="008C7905" w:rsidRDefault="00421C5C">
      <w:pPr>
        <w:tabs>
          <w:tab w:val="left" w:pos="284"/>
          <w:tab w:val="left" w:pos="360"/>
        </w:tabs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Miejskie Centrum Medyczne „Bałuty” w Łodzi, zwane dalej MCM „Bałuty”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Łodzi,  przedstawiło raport prezentujący sytuację ekonomiczno-finansową jednostki w roku </w:t>
      </w:r>
      <w:r>
        <w:rPr>
          <w:color w:val="000000"/>
          <w:szCs w:val="20"/>
          <w:shd w:val="clear" w:color="auto" w:fill="FFFFFF"/>
        </w:rPr>
        <w:t xml:space="preserve">obrotowym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2021 oraz prognozę na kolejne trzy lata 2022-2024. Dokument przygotowano na podstawie rozporządzenia Ministra Zdrowia z dnia 12 kwietnia 2017 r. w sprawie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wskaźników ekonomiczno-finansowych niezbędnych do sporządzenia analizy oraz prognozy sytuacji ekonomiczno-finansowej samodzielnych publicznych zakładów opieki zdrowotnej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dnia 12</w:t>
      </w:r>
      <w:r>
        <w:rPr>
          <w:color w:val="000000"/>
          <w:szCs w:val="20"/>
          <w:shd w:val="clear" w:color="auto" w:fill="FFFFFF"/>
        </w:rPr>
        <w:t xml:space="preserve"> kwietnia </w:t>
      </w:r>
      <w:r>
        <w:rPr>
          <w:color w:val="000000"/>
          <w:szCs w:val="20"/>
          <w:shd w:val="clear" w:color="auto" w:fill="FFFFFF"/>
          <w:lang w:eastAsia="en-US" w:bidi="ar-SA"/>
        </w:rPr>
        <w:t>2017 roku (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Dz.U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 poz. 832), które określa:</w:t>
      </w:r>
    </w:p>
    <w:p w:rsidR="008C7905" w:rsidRDefault="00421C5C">
      <w:pPr>
        <w:numPr>
          <w:ilvl w:val="0"/>
          <w:numId w:val="1"/>
        </w:numPr>
        <w:tabs>
          <w:tab w:val="left" w:pos="360"/>
        </w:tabs>
        <w:spacing w:after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w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skaźniki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ekonomiczno-finansowe i sposób ich obliczania, dotyczące następujących aspektów sytuacji finansowej jednostki:</w:t>
      </w:r>
    </w:p>
    <w:p w:rsidR="008C7905" w:rsidRDefault="00421C5C">
      <w:pPr>
        <w:numPr>
          <w:ilvl w:val="0"/>
          <w:numId w:val="2"/>
        </w:numPr>
        <w:tabs>
          <w:tab w:val="left" w:pos="36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  zyskowności tj. zdolności jednostki do generowania zysków,</w:t>
      </w:r>
    </w:p>
    <w:p w:rsidR="008C7905" w:rsidRDefault="00421C5C">
      <w:pPr>
        <w:numPr>
          <w:ilvl w:val="0"/>
          <w:numId w:val="2"/>
        </w:numPr>
        <w:tabs>
          <w:tab w:val="left" w:pos="36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płynności finansowej tj. zdolności jednostki do terminowego regulowania zaciągnięty</w:t>
      </w:r>
      <w:r>
        <w:rPr>
          <w:color w:val="000000"/>
          <w:szCs w:val="20"/>
          <w:shd w:val="clear" w:color="auto" w:fill="FFFFFF"/>
          <w:lang w:eastAsia="en-US" w:bidi="ar-SA"/>
        </w:rPr>
        <w:t>ch zobowiązań krótkoterminowych,</w:t>
      </w:r>
    </w:p>
    <w:p w:rsidR="008C7905" w:rsidRDefault="00421C5C">
      <w:pPr>
        <w:numPr>
          <w:ilvl w:val="0"/>
          <w:numId w:val="2"/>
        </w:numPr>
        <w:tabs>
          <w:tab w:val="left" w:pos="36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  efektywności zarządzania przepływami finansowymi,</w:t>
      </w:r>
    </w:p>
    <w:p w:rsidR="008C7905" w:rsidRDefault="00421C5C">
      <w:pPr>
        <w:numPr>
          <w:ilvl w:val="0"/>
          <w:numId w:val="2"/>
        </w:numPr>
        <w:tabs>
          <w:tab w:val="left" w:pos="360"/>
        </w:tabs>
        <w:spacing w:line="276" w:lineRule="auto"/>
        <w:ind w:left="53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zadłużenia tj. stopnia finansowania aktywów kapitałami obcymi</w:t>
      </w:r>
      <w:r>
        <w:rPr>
          <w:color w:val="000000"/>
          <w:szCs w:val="20"/>
          <w:shd w:val="clear" w:color="auto" w:fill="FFFFFF"/>
        </w:rPr>
        <w:t>;</w:t>
      </w:r>
    </w:p>
    <w:p w:rsidR="008C7905" w:rsidRDefault="00421C5C">
      <w:pPr>
        <w:numPr>
          <w:ilvl w:val="0"/>
          <w:numId w:val="1"/>
        </w:numPr>
        <w:tabs>
          <w:tab w:val="left" w:pos="360"/>
        </w:tabs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p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unktowe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oceny dla określonych przedziałów wartości wskaźników.</w:t>
      </w:r>
    </w:p>
    <w:p w:rsidR="008C7905" w:rsidRDefault="00421C5C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Sumaryczna, maksymalna możliwa ocena punkto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wa wszystkich wskaźników ekonomiczno-finansowych dla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SPZOZ-ów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wynikająca z ww. rozporządzenia (za dany rok) wynosi 70 pkt.</w:t>
      </w:r>
    </w:p>
    <w:p w:rsidR="008C7905" w:rsidRDefault="00421C5C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Ocena formalno-merytoryczna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8C7905" w:rsidRDefault="00421C5C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Przedstawiony przez MCM „Bałuty” w Łodzi raport zawiera obowiązkowe elementy wymienione w ww. rozporządz</w:t>
      </w:r>
      <w:r>
        <w:rPr>
          <w:color w:val="000000"/>
          <w:szCs w:val="20"/>
          <w:shd w:val="clear" w:color="auto" w:fill="FFFFFF"/>
          <w:lang w:eastAsia="en-US" w:bidi="ar-SA"/>
        </w:rPr>
        <w:t>eniu. Przedstawione w nim punktowe wartości wskaźników zostały wyliczone przez jednostkę prawidłowo i mają swoje odzwierciedlenie w składowych sprawozdania finansowego tj. bilansie oraz rachunku zysków i strat za 2021 rok oraz prognozy na lata 2022-2024. P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rzyjęte w raporcie założenia oraz kierunki działań pozwalają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na dalsze funkcjonowanie jednostki, w ramach: podstawowej opieki zdrowotnej (POZ), ambulatoryjnej opieki zdrowotnej (AOS), rehabilitacji, stomatologii, Centrum Zdrowego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Aktywnego Seniora.</w:t>
      </w:r>
    </w:p>
    <w:p w:rsidR="008C7905" w:rsidRDefault="008C7905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8C7905" w:rsidRDefault="00421C5C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br w:type="column"/>
      </w:r>
    </w:p>
    <w:p w:rsidR="008C7905" w:rsidRDefault="00421C5C">
      <w:pPr>
        <w:keepNext/>
        <w:spacing w:before="240" w:after="6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Wskaźniki M</w:t>
      </w:r>
      <w:r>
        <w:rPr>
          <w:b/>
          <w:szCs w:val="20"/>
        </w:rPr>
        <w:t>C</w:t>
      </w:r>
      <w:r>
        <w:rPr>
          <w:b/>
          <w:szCs w:val="20"/>
          <w:lang w:eastAsia="en-US" w:bidi="ar-SA"/>
        </w:rPr>
        <w:t>M „Bałuty” w Łodzi za rok 2021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8"/>
        <w:gridCol w:w="4385"/>
        <w:gridCol w:w="1299"/>
        <w:gridCol w:w="1398"/>
      </w:tblGrid>
      <w:tr w:rsidR="008C7905">
        <w:trPr>
          <w:trHeight w:val="491"/>
        </w:trPr>
        <w:tc>
          <w:tcPr>
            <w:tcW w:w="11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2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8C7905">
        <w:trPr>
          <w:trHeight w:val="764"/>
        </w:trPr>
        <w:tc>
          <w:tcPr>
            <w:tcW w:w="11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ind w:left="650" w:hanging="650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8C7905">
        <w:trPr>
          <w:trHeight w:val="758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 netto  (%)                                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2,72%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8C7905">
        <w:trPr>
          <w:trHeight w:val="607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zyskowności działalności operacyjnej (%)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2,92%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C7905">
        <w:trPr>
          <w:trHeight w:val="672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2,78%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8C7905">
        <w:trPr>
          <w:trHeight w:val="691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ocena punktowa 15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11 (73%)</w:t>
            </w:r>
          </w:p>
        </w:tc>
      </w:tr>
      <w:tr w:rsidR="008C7905">
        <w:trPr>
          <w:trHeight w:val="839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bieżącej płynności                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8C7905">
        <w:trPr>
          <w:trHeight w:val="833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0,79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</w:tr>
      <w:tr w:rsidR="008C7905">
        <w:trPr>
          <w:trHeight w:val="637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              Maksymalna ocena punktowa 25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12 (48%)</w:t>
            </w:r>
          </w:p>
        </w:tc>
      </w:tr>
      <w:tr w:rsidR="008C7905">
        <w:trPr>
          <w:trHeight w:val="773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rotacji należności (w dniach) 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C7905">
        <w:trPr>
          <w:trHeight w:val="783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8C7905">
        <w:trPr>
          <w:trHeight w:val="693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               Maksymalna ocena punktowa 10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10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(100%)</w:t>
            </w:r>
          </w:p>
        </w:tc>
      </w:tr>
      <w:tr w:rsidR="008C7905">
        <w:trPr>
          <w:trHeight w:val="687"/>
        </w:trPr>
        <w:tc>
          <w:tcPr>
            <w:tcW w:w="11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zadłużenia aktywów (%)                       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29%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8C7905">
        <w:trPr>
          <w:trHeight w:val="821"/>
        </w:trPr>
        <w:tc>
          <w:tcPr>
            <w:tcW w:w="115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1,07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</w:tr>
      <w:tr w:rsidR="008C7905">
        <w:trPr>
          <w:trHeight w:val="702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                 Maksymalna ocena punktowa 20 </w:t>
            </w:r>
            <w:proofErr w:type="spellStart"/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70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16 (80%)</w:t>
            </w:r>
          </w:p>
        </w:tc>
      </w:tr>
      <w:tr w:rsidR="008C7905">
        <w:trPr>
          <w:trHeight w:val="622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49 (70%)</w:t>
            </w:r>
          </w:p>
        </w:tc>
      </w:tr>
      <w:tr w:rsidR="008C7905">
        <w:trPr>
          <w:trHeight w:val="644"/>
        </w:trPr>
        <w:tc>
          <w:tcPr>
            <w:tcW w:w="35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Maksymalna  wartość punktów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możliwych do osiągnięcia</w:t>
            </w:r>
          </w:p>
        </w:tc>
        <w:tc>
          <w:tcPr>
            <w:tcW w:w="14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905" w:rsidRDefault="00421C5C">
            <w:pP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8C7905" w:rsidRDefault="008C7905">
      <w:pPr>
        <w:spacing w:before="240" w:line="276" w:lineRule="auto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C7905" w:rsidRDefault="008C7905">
      <w:pPr>
        <w:spacing w:before="240" w:line="276" w:lineRule="auto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8C7905" w:rsidRDefault="00421C5C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2021 rok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MCM „Bałuty” w Łodzi osiągnęło wynik finansowy netto w wysokości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883.142 zł (większy o 144.772 zł niż w 2020 roku). Po dodaniu kosztów amortyzacji wzrósł on do poziomu 2.517.852 zł. Z samej działalności </w:t>
      </w:r>
      <w:r>
        <w:rPr>
          <w:color w:val="000000"/>
          <w:szCs w:val="20"/>
          <w:shd w:val="clear" w:color="auto" w:fill="FFFFFF"/>
          <w:lang w:eastAsia="en-US" w:bidi="ar-SA"/>
        </w:rPr>
        <w:t>operacyjnej jednostka osiągnęła wynik finansowy w wysokości 949.645 zł (większy o 131.572 zł od osiągniętego w 2020 roku).</w:t>
      </w:r>
    </w:p>
    <w:p w:rsidR="008C7905" w:rsidRDefault="00421C5C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Podmiot osiągnął 11 na 15 punktów w skumulowanej skali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za 2021 rok, co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pozwala stwierdzić, że w dalszym ciągu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jest on rentowny. W danym roku obrotowym przychody przewyższały ponoszone przez jednostkę koszty i w rezultacie zachowana została stabilność finansowa. Ich wysokość to 31.588.229 zł, co stanowi wzrost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stosunku do 2020 roku (28.395.716,04 zł) o 3.192.51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3 zł. W przypadków kosztów MCM „Bałuty” </w:t>
      </w:r>
      <w:r>
        <w:rPr>
          <w:color w:val="000000"/>
          <w:szCs w:val="20"/>
          <w:shd w:val="clear" w:color="auto" w:fill="FFFFFF"/>
        </w:rPr>
        <w:t xml:space="preserve">w Łodzi </w:t>
      </w:r>
      <w:r>
        <w:rPr>
          <w:color w:val="000000"/>
          <w:szCs w:val="20"/>
          <w:shd w:val="clear" w:color="auto" w:fill="FFFFFF"/>
          <w:lang w:eastAsia="en-US" w:bidi="ar-SA"/>
        </w:rPr>
        <w:t>ich wysokość w 2021 roku wyniosła 30.705.087 zł i była większa niż w 2020 roku (27.657.346 zł) o 3.047.741 zł.</w:t>
      </w:r>
    </w:p>
    <w:p w:rsidR="008C7905" w:rsidRDefault="00421C5C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zakresie wysokości osiągniętych w 2021 roku przychodów, w stosunku do poprzedniego okresu rozli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czeniowego, wzrost nastąpił w ramach umowy z NFZ z 25.826.233 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(2020 rok) do 30.130.327 zł (wzrost o 4.304.094 zł) i dotyczyły świadczeń w ramach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(w relacji 2020 do 2021 roku):</w:t>
      </w:r>
    </w:p>
    <w:p w:rsidR="008C7905" w:rsidRDefault="00421C5C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20.845.584 zł do 22.166.743 zł, czyli o 1.321.159 zł;</w:t>
      </w:r>
    </w:p>
    <w:p w:rsidR="008C7905" w:rsidRDefault="00421C5C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AOS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</w:t>
      </w:r>
      <w:r>
        <w:rPr>
          <w:color w:val="000000"/>
          <w:szCs w:val="20"/>
          <w:shd w:val="clear" w:color="auto" w:fill="FFFFFF"/>
          <w:lang w:eastAsia="en-US" w:bidi="ar-SA"/>
        </w:rPr>
        <w:t>wzrost z 2.713.630 zł do 4.896.923 zł, czyli o 2.183.293 zł;</w:t>
      </w:r>
    </w:p>
    <w:p w:rsidR="008C7905" w:rsidRDefault="00421C5C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Rehabilitacji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1.874.090 zł do 2.494.601 zł, czyli o 620 511 zł;</w:t>
      </w:r>
    </w:p>
    <w:p w:rsidR="008C7905" w:rsidRDefault="00421C5C">
      <w:pPr>
        <w:numPr>
          <w:ilvl w:val="0"/>
          <w:numId w:val="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Stomatologii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392.930 zł do 572.060 zł, czyli o 179 131 zł.</w:t>
      </w:r>
    </w:p>
    <w:p w:rsidR="008C7905" w:rsidRDefault="00421C5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Widoczna dynamika tych pozycji wynika z przywrócen</w:t>
      </w:r>
      <w:r>
        <w:rPr>
          <w:color w:val="000000"/>
          <w:szCs w:val="20"/>
          <w:shd w:val="clear" w:color="auto" w:fill="FFFFFF"/>
          <w:lang w:eastAsia="en-US" w:bidi="ar-SA"/>
        </w:rPr>
        <w:t>ia poziomu wykonania ich sprzed pandemii. W ramach ww. pozycji jednostka osiągała przychody w związku z wykonywaniem świadczeń w warunkach pandemii oraz organizacją szczepień przeciwko COVID-19. Centrum uzyskało w tym zakresie dodatkowe przychody w wysokoś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ci 1.639.906 zł, z czego: </w:t>
      </w:r>
    </w:p>
    <w:p w:rsidR="008C7905" w:rsidRDefault="00421C5C">
      <w:pPr>
        <w:numPr>
          <w:ilvl w:val="0"/>
          <w:numId w:val="4"/>
        </w:numPr>
        <w:spacing w:line="288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633.407 </w:t>
      </w:r>
      <w:proofErr w:type="spellStart"/>
      <w:r>
        <w:rPr>
          <w:szCs w:val="20"/>
          <w:lang w:val="en-US" w:eastAsia="en-US" w:bidi="en-US"/>
        </w:rPr>
        <w:t>zł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zawartą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umową</w:t>
      </w:r>
      <w:proofErr w:type="spellEnd"/>
      <w:r>
        <w:rPr>
          <w:szCs w:val="20"/>
          <w:lang w:val="en-US" w:eastAsia="en-US" w:bidi="en-US"/>
        </w:rPr>
        <w:t xml:space="preserve"> z NFZ </w:t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zapobieganie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przeciwdziałanie</w:t>
      </w:r>
      <w:proofErr w:type="spellEnd"/>
      <w:r>
        <w:rPr>
          <w:szCs w:val="20"/>
          <w:lang w:val="en-US" w:eastAsia="en-US" w:bidi="en-US"/>
        </w:rPr>
        <w:t xml:space="preserve"> </w:t>
      </w:r>
      <w:r>
        <w:rPr>
          <w:szCs w:val="20"/>
          <w:lang w:val="en-US" w:eastAsia="en-US" w:bidi="en-US"/>
        </w:rPr>
        <w:br/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zwalczanie</w:t>
      </w:r>
      <w:proofErr w:type="spellEnd"/>
      <w:r>
        <w:rPr>
          <w:szCs w:val="20"/>
          <w:lang w:val="en-US" w:eastAsia="en-US" w:bidi="en-US"/>
        </w:rPr>
        <w:t xml:space="preserve"> COVID-19 (w </w:t>
      </w:r>
      <w:proofErr w:type="spellStart"/>
      <w:r>
        <w:rPr>
          <w:szCs w:val="20"/>
          <w:lang w:val="en-US" w:eastAsia="en-US" w:bidi="en-US"/>
        </w:rPr>
        <w:t>tym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szczepienia</w:t>
      </w:r>
      <w:proofErr w:type="spellEnd"/>
      <w:r>
        <w:rPr>
          <w:szCs w:val="20"/>
          <w:lang w:val="en-US" w:eastAsia="en-US" w:bidi="en-US"/>
        </w:rPr>
        <w:t>)</w:t>
      </w:r>
      <w:r>
        <w:rPr>
          <w:szCs w:val="20"/>
        </w:rPr>
        <w:t>;</w:t>
      </w:r>
    </w:p>
    <w:p w:rsidR="008C7905" w:rsidRDefault="00421C5C">
      <w:pPr>
        <w:numPr>
          <w:ilvl w:val="0"/>
          <w:numId w:val="4"/>
        </w:numPr>
        <w:spacing w:line="288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211.892 </w:t>
      </w:r>
      <w:proofErr w:type="spellStart"/>
      <w:r>
        <w:rPr>
          <w:szCs w:val="20"/>
          <w:lang w:val="en-US" w:eastAsia="en-US" w:bidi="en-US"/>
        </w:rPr>
        <w:t>zł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premia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motywacyjna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związana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szczepieniami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przeciw</w:t>
      </w:r>
      <w:proofErr w:type="spellEnd"/>
      <w:r>
        <w:rPr>
          <w:szCs w:val="20"/>
          <w:lang w:val="en-US" w:eastAsia="en-US" w:bidi="en-US"/>
        </w:rPr>
        <w:t xml:space="preserve"> COVID-19, </w:t>
      </w: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z </w:t>
      </w:r>
      <w:proofErr w:type="spellStart"/>
      <w:r>
        <w:rPr>
          <w:szCs w:val="20"/>
          <w:lang w:val="en-US" w:eastAsia="en-US" w:bidi="en-US"/>
        </w:rPr>
        <w:t>zarządzeniem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Prezesa</w:t>
      </w:r>
      <w:proofErr w:type="spellEnd"/>
      <w:r>
        <w:rPr>
          <w:szCs w:val="20"/>
          <w:lang w:val="en-US" w:eastAsia="en-US" w:bidi="en-US"/>
        </w:rPr>
        <w:t xml:space="preserve"> N</w:t>
      </w:r>
      <w:r>
        <w:rPr>
          <w:szCs w:val="20"/>
          <w:lang w:val="en-US" w:eastAsia="en-US" w:bidi="en-US"/>
        </w:rPr>
        <w:t xml:space="preserve">FZ Nr 135/2021/DSOZ z </w:t>
      </w:r>
      <w:proofErr w:type="spellStart"/>
      <w:r>
        <w:rPr>
          <w:szCs w:val="20"/>
          <w:lang w:val="en-US" w:eastAsia="en-US" w:bidi="en-US"/>
        </w:rPr>
        <w:t>dnia</w:t>
      </w:r>
      <w:proofErr w:type="spellEnd"/>
      <w:r>
        <w:rPr>
          <w:szCs w:val="20"/>
          <w:lang w:val="en-US" w:eastAsia="en-US" w:bidi="en-US"/>
        </w:rPr>
        <w:t xml:space="preserve"> 26.07.2021 </w:t>
      </w:r>
      <w:proofErr w:type="spellStart"/>
      <w:r>
        <w:rPr>
          <w:szCs w:val="20"/>
          <w:lang w:val="en-US" w:eastAsia="en-US" w:bidi="en-US"/>
        </w:rPr>
        <w:t>roku</w:t>
      </w:r>
      <w:proofErr w:type="spellEnd"/>
      <w:r>
        <w:rPr>
          <w:szCs w:val="20"/>
        </w:rPr>
        <w:t>;</w:t>
      </w:r>
    </w:p>
    <w:p w:rsidR="008C7905" w:rsidRDefault="00421C5C">
      <w:pPr>
        <w:numPr>
          <w:ilvl w:val="0"/>
          <w:numId w:val="4"/>
        </w:numPr>
        <w:spacing w:line="288" w:lineRule="auto"/>
        <w:contextualSpacing/>
        <w:jc w:val="both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794.607 </w:t>
      </w:r>
      <w:proofErr w:type="spellStart"/>
      <w:r>
        <w:rPr>
          <w:szCs w:val="20"/>
          <w:lang w:val="en-US" w:eastAsia="en-US" w:bidi="en-US"/>
        </w:rPr>
        <w:t>zł</w:t>
      </w:r>
      <w:proofErr w:type="spellEnd"/>
      <w:r>
        <w:rPr>
          <w:szCs w:val="20"/>
          <w:lang w:val="en-US" w:eastAsia="en-US" w:bidi="en-US"/>
        </w:rPr>
        <w:t xml:space="preserve"> – </w:t>
      </w:r>
      <w:proofErr w:type="spellStart"/>
      <w:r>
        <w:rPr>
          <w:szCs w:val="20"/>
          <w:lang w:val="en-US" w:eastAsia="en-US" w:bidi="en-US"/>
        </w:rPr>
        <w:t>dodatkowe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środki</w:t>
      </w:r>
      <w:proofErr w:type="spellEnd"/>
      <w:r>
        <w:rPr>
          <w:szCs w:val="20"/>
          <w:lang w:val="en-US" w:eastAsia="en-US" w:bidi="en-US"/>
        </w:rPr>
        <w:t xml:space="preserve"> 3%, </w:t>
      </w:r>
      <w:proofErr w:type="spellStart"/>
      <w:r>
        <w:rPr>
          <w:szCs w:val="20"/>
          <w:lang w:val="en-US" w:eastAsia="en-US" w:bidi="en-US"/>
        </w:rPr>
        <w:t>zgodnie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podpisaną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umową</w:t>
      </w:r>
      <w:proofErr w:type="spellEnd"/>
      <w:r>
        <w:rPr>
          <w:szCs w:val="20"/>
          <w:lang w:val="en-US" w:eastAsia="en-US" w:bidi="en-US"/>
        </w:rPr>
        <w:t xml:space="preserve"> z NFZ </w:t>
      </w:r>
      <w:r>
        <w:rPr>
          <w:szCs w:val="20"/>
          <w:lang w:val="en-US" w:eastAsia="en-US" w:bidi="en-US"/>
        </w:rPr>
        <w:br/>
      </w:r>
      <w:proofErr w:type="spellStart"/>
      <w:r>
        <w:rPr>
          <w:szCs w:val="20"/>
          <w:lang w:val="en-US" w:eastAsia="en-US" w:bidi="en-US"/>
        </w:rPr>
        <w:t>na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utrzymanie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stanu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gotowości</w:t>
      </w:r>
      <w:proofErr w:type="spellEnd"/>
      <w:r>
        <w:rPr>
          <w:szCs w:val="20"/>
          <w:lang w:val="en-US" w:eastAsia="en-US" w:bidi="en-US"/>
        </w:rPr>
        <w:t xml:space="preserve"> do </w:t>
      </w:r>
      <w:proofErr w:type="spellStart"/>
      <w:r>
        <w:rPr>
          <w:szCs w:val="20"/>
          <w:lang w:val="en-US" w:eastAsia="en-US" w:bidi="en-US"/>
        </w:rPr>
        <w:t>udzielania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świadczeń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reżimie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sanitarnym</w:t>
      </w:r>
      <w:proofErr w:type="spellEnd"/>
      <w:r>
        <w:rPr>
          <w:szCs w:val="20"/>
          <w:lang w:val="en-US" w:eastAsia="en-US" w:bidi="en-US"/>
        </w:rPr>
        <w:t xml:space="preserve">. </w:t>
      </w:r>
    </w:p>
    <w:p w:rsidR="008C7905" w:rsidRDefault="00421C5C">
      <w:pPr>
        <w:shd w:val="clear" w:color="auto" w:fill="FFFFFF"/>
        <w:spacing w:line="288" w:lineRule="auto"/>
        <w:jc w:val="both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Otrzymano także wsparcie w formie darowizny środków ochrony indywidualnej </w:t>
      </w:r>
      <w:r>
        <w:rPr>
          <w:szCs w:val="20"/>
        </w:rPr>
        <w:br/>
      </w:r>
      <w:r>
        <w:rPr>
          <w:szCs w:val="20"/>
          <w:lang w:eastAsia="en-US" w:bidi="ar-SA"/>
        </w:rPr>
        <w:t>oraz środków do dezynfekcji o łącznej wartości: 91.315 zł od Miasta Łodzi oraz Okręgowej Izby Pielęgniarek i Położnych.</w:t>
      </w:r>
    </w:p>
    <w:p w:rsidR="008C7905" w:rsidRDefault="00421C5C">
      <w:p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ramach pozostałych pozycji odnotowano następujące wyniki (w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relacji 2020 do 2021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roku):</w:t>
      </w:r>
    </w:p>
    <w:p w:rsidR="008C7905" w:rsidRDefault="00421C5C">
      <w:pPr>
        <w:numPr>
          <w:ilvl w:val="0"/>
          <w:numId w:val="5"/>
        </w:num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wzrost przychodów w relacji rocznej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usług medycznych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 281.120 zł do 323.403 zł, czyli o 42.283 zł;</w:t>
      </w:r>
    </w:p>
    <w:p w:rsidR="008C7905" w:rsidRDefault="00421C5C">
      <w:pPr>
        <w:numPr>
          <w:ilvl w:val="0"/>
          <w:numId w:val="5"/>
        </w:num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spadek przychodów w relacji rocznej:</w:t>
      </w:r>
    </w:p>
    <w:p w:rsidR="008C7905" w:rsidRDefault="00421C5C">
      <w:pPr>
        <w:numPr>
          <w:ilvl w:val="0"/>
          <w:numId w:val="6"/>
        </w:numPr>
        <w:tabs>
          <w:tab w:val="left" w:pos="855"/>
          <w:tab w:val="left" w:pos="1005"/>
        </w:tabs>
        <w:spacing w:line="276" w:lineRule="auto"/>
        <w:ind w:left="100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dotacje (Miejski Program Profilaktyki i Rozwiązywania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Problemów Alkoholowych – specjalistyczna pomoc psychospołeczna i prawna)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 297.199 zł do 62.592 zł, czyli o 234.608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0"/>
          <w:numId w:val="6"/>
        </w:numPr>
        <w:tabs>
          <w:tab w:val="left" w:pos="570"/>
          <w:tab w:val="left" w:pos="855"/>
          <w:tab w:val="left" w:pos="1005"/>
        </w:tabs>
        <w:spacing w:line="276" w:lineRule="auto"/>
        <w:ind w:left="100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programy profilaktyczne Miasto Łódź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304.550 zł do 103.400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czyli o 201.150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0"/>
          <w:numId w:val="6"/>
        </w:numPr>
        <w:tabs>
          <w:tab w:val="left" w:pos="720"/>
          <w:tab w:val="left" w:pos="1005"/>
        </w:tabs>
        <w:spacing w:line="276" w:lineRule="auto"/>
        <w:ind w:left="1005" w:hanging="285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pozostała sprzedaż NFZ (podwyżki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nagrodzenia pielęgniarek)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 188.460 zł do 139.144 zł, czyli o 49 316 zł.</w:t>
      </w:r>
    </w:p>
    <w:p w:rsidR="008C7905" w:rsidRDefault="00421C5C">
      <w:pPr>
        <w:spacing w:before="240"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zakresie wysokości ponoszonych w 2021 roku kosztów, w stosunku do poprzedniego okresu rozliczeniowego odnotowano następujące wyniki (w relacji 2020 do 2021 roku):</w:t>
      </w:r>
    </w:p>
    <w:p w:rsidR="008C7905" w:rsidRDefault="00421C5C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zużycie m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ateriałów i energii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1.307.767 zł do 1.366.510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czyli o 58.742 zł, w tym:</w:t>
      </w:r>
    </w:p>
    <w:p w:rsidR="008C7905" w:rsidRDefault="00421C5C">
      <w:pPr>
        <w:numPr>
          <w:ilvl w:val="1"/>
          <w:numId w:val="8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materiały niemedyczne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599.396 zł do 312.128 zł, czyli o 287.268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8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materiały medyczne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176.478 zł do 430.709 zł, czyli o 254.232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8"/>
        </w:num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energii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</w:t>
      </w:r>
      <w:r>
        <w:rPr>
          <w:color w:val="000000"/>
          <w:szCs w:val="20"/>
          <w:shd w:val="clear" w:color="auto" w:fill="FFFFFF"/>
          <w:lang w:eastAsia="en-US" w:bidi="ar-SA"/>
        </w:rPr>
        <w:t>ost z 531.894 zł do 623.672 zł, czyli o 91.778 zł;</w:t>
      </w:r>
    </w:p>
    <w:p w:rsidR="008C7905" w:rsidRDefault="00421C5C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usługi obce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4.340.080 zł do 5.288.700 zł, czyli o 948.620 zł, w tym</w:t>
      </w:r>
      <w:r>
        <w:rPr>
          <w:color w:val="000000"/>
          <w:szCs w:val="20"/>
          <w:shd w:val="clear" w:color="auto" w:fill="FFFFFF"/>
        </w:rPr>
        <w:t>:</w:t>
      </w:r>
    </w:p>
    <w:p w:rsidR="008C7905" w:rsidRDefault="00421C5C">
      <w:pPr>
        <w:numPr>
          <w:ilvl w:val="1"/>
          <w:numId w:val="9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usługi niemedyczne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1.490.680 zł do 1.322.433 zł, czyli o 168.247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9"/>
        </w:num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usługi medyczne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wzrost z 2.849.401 zł do </w:t>
      </w:r>
      <w:r>
        <w:rPr>
          <w:color w:val="000000"/>
          <w:szCs w:val="20"/>
          <w:shd w:val="clear" w:color="auto" w:fill="FFFFFF"/>
          <w:lang w:eastAsia="en-US" w:bidi="ar-SA"/>
        </w:rPr>
        <w:t>3.966.267 zł, czyli o 1.116.867 zł</w:t>
      </w:r>
      <w:r>
        <w:rPr>
          <w:color w:val="000000"/>
          <w:szCs w:val="20"/>
          <w:shd w:val="clear" w:color="auto" w:fill="FFFFFF"/>
        </w:rPr>
        <w:t>;</w:t>
      </w:r>
    </w:p>
    <w:p w:rsidR="008C7905" w:rsidRDefault="00421C5C">
      <w:pPr>
        <w:numPr>
          <w:ilvl w:val="0"/>
          <w:numId w:val="7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wynagrodzenia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17.066.922 zł do 18.516.361 zł, czyli o 1.449.439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tym:</w:t>
      </w:r>
    </w:p>
    <w:p w:rsidR="008C7905" w:rsidRDefault="00421C5C">
      <w:pPr>
        <w:numPr>
          <w:ilvl w:val="1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wynagrodzenia wynikające ze stosunku pracy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15.517.972 zł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17.159.224 zł, czyli o 1.641.252 zł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10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wynagrodzenia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z umów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zleceń i o dzieło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745.676 zł do 919.680 zł,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czyli o 174.004 zł.</w:t>
      </w:r>
    </w:p>
    <w:p w:rsidR="008C7905" w:rsidRDefault="00421C5C">
      <w:pPr>
        <w:shd w:val="clear" w:color="auto" w:fill="FFFFFF"/>
        <w:spacing w:before="240" w:line="288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Analogicznie do czynników determinujących wysokość osiągniętych przychodów, czynności realizowane w ramach przeciwdziałania COVID-19 wygenerowały koszty, które wyniosły 627.587 zł.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tę kwotę złożyły się: zakup środków ochrony indywidualnej: 62.612 zł, wypłacone wynagrodzenia wraz ze składkami ZUS z tytułu umowy o pracę dotyczące szczepień: 521.421 zł, podwykonawstwo medyczne dotyczące szczepień: 43.555 zł.</w:t>
      </w:r>
    </w:p>
    <w:p w:rsidR="008C7905" w:rsidRDefault="00421C5C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Osiągnięte przez podmiot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wartości w zakresie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wskaźników płynności </w:t>
      </w:r>
      <w:r>
        <w:rPr>
          <w:color w:val="000000"/>
          <w:szCs w:val="20"/>
          <w:shd w:val="clear" w:color="auto" w:fill="FFFFFF"/>
          <w:lang w:eastAsia="en-US" w:bidi="ar-SA"/>
        </w:rPr>
        <w:t>wskazują, że pomimo uzyskania niskich wartości, nie ma on trudności z terminową spłatą zobowiązań. Na taki stan rzeczy wpływ mają pożyczki nr 1/2007 oraz 5/2007 udzielone w 2007 roku z budżetu Miasta Łodzi, których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wysokość pozostałej spłaty wynosi obecnie 4.732.951,52 zł. Ich wartość wpływa na kształtowanie się wskaźników zadłużenia MCM „Bałuty” w Łodzi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oraz ocenę struktury pasywów, zwiększając udział kapitału obcego w finansowaniu aktywów. W rezultacie, MCM „Bałut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y” w Łodzi w ramach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bieżącej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osiągnął wartość 0,84 (optymalny zakres wartości: 1,5-2,0), a w przypadku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płynności szybkiej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0,79 (optymalnie: 1 lub więcej). W przypadku nieuwzględnienia ww. pożyczek pierwszy wskaźnik wyniósłby 2,44 oraz drugi 2,3. </w:t>
      </w:r>
      <w:r>
        <w:rPr>
          <w:color w:val="000000"/>
          <w:szCs w:val="20"/>
          <w:shd w:val="clear" w:color="auto" w:fill="FFFFFF"/>
          <w:lang w:eastAsia="en-US" w:bidi="ar-SA"/>
        </w:rPr>
        <w:t>Oznacza to, że podmiot ma zdolność do prowadzenia inwestycji z własnych środków, a także nie występują problemy z bieżącą spłatą zobowiązań.</w:t>
      </w:r>
    </w:p>
    <w:p w:rsidR="008C7905" w:rsidRDefault="00421C5C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W ramach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podmiot w 2021 roku średnio potrzebował 8 dni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 uregulowanie zobowiązań z tytuł</w:t>
      </w:r>
      <w:r>
        <w:rPr>
          <w:color w:val="000000"/>
          <w:szCs w:val="20"/>
          <w:shd w:val="clear" w:color="auto" w:fill="FFFFFF"/>
          <w:lang w:eastAsia="en-US" w:bidi="ar-SA"/>
        </w:rPr>
        <w:t>u dostaw towarów i usług (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 rotacji zobowiązań</w:t>
      </w:r>
      <w:r>
        <w:rPr>
          <w:color w:val="000000"/>
          <w:szCs w:val="20"/>
          <w:shd w:val="clear" w:color="auto" w:fill="FFFFFF"/>
          <w:lang w:eastAsia="en-US" w:bidi="ar-SA"/>
        </w:rPr>
        <w:t>) oraz 31 dni na otrzymanie swoich należności (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 rotacji należności</w:t>
      </w:r>
      <w:r>
        <w:rPr>
          <w:color w:val="000000"/>
          <w:szCs w:val="20"/>
          <w:shd w:val="clear" w:color="auto" w:fill="FFFFFF"/>
          <w:lang w:eastAsia="en-US" w:bidi="ar-SA"/>
        </w:rPr>
        <w:t>) – uzyskano maksymalna liczbę punktów (10).</w:t>
      </w:r>
    </w:p>
    <w:p w:rsidR="008C7905" w:rsidRDefault="00421C5C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2021 roku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aktywów jednostki wyniósł 29%, a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współczynnik wypłac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alności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1,07 co sprawia, że jednostka uzyskała 16 na 20 punktów w danej kategorii. Na taki wynik miała również wpływ ww. pożyczki ze strony Miasta Łodzi. Jednostka nie wykazuje problemów z terminowym regulowaniem swoich zobowiązań.</w:t>
      </w:r>
    </w:p>
    <w:p w:rsidR="008C7905" w:rsidRDefault="00421C5C">
      <w:pPr>
        <w:spacing w:after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podstawie wyliczonych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wskaźników za 2021 rok MCM „Bałuty” w Łodzi uzyskało łącznie 49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( 70% możliwych do uzyskania) - wynik identyczny, jak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za 2020 rok. </w:t>
      </w:r>
    </w:p>
    <w:p w:rsidR="008C7905" w:rsidRDefault="00421C5C">
      <w:pPr>
        <w:keepNext/>
        <w:spacing w:after="6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Wskaźniki MCM „Bałuty” w Łodzi – prognoza na lata 2022-2024</w:t>
      </w:r>
    </w:p>
    <w:tbl>
      <w:tblPr>
        <w:tblW w:w="1038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5"/>
        <w:gridCol w:w="1425"/>
        <w:gridCol w:w="1170"/>
        <w:gridCol w:w="1050"/>
        <w:gridCol w:w="1185"/>
        <w:gridCol w:w="1125"/>
        <w:gridCol w:w="1140"/>
        <w:gridCol w:w="1170"/>
      </w:tblGrid>
      <w:tr w:rsidR="008C7905">
        <w:trPr>
          <w:trHeight w:val="182"/>
          <w:jc w:val="center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</w:tr>
      <w:tr w:rsidR="008C7905">
        <w:trPr>
          <w:trHeight w:val="200"/>
          <w:jc w:val="center"/>
        </w:trPr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8C7905">
        <w:trPr>
          <w:trHeight w:val="310"/>
          <w:jc w:val="center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zyskowności  netto  (%)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0,01%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0,24%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1,90%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C7905">
        <w:trPr>
          <w:trHeight w:val="434"/>
          <w:jc w:val="center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zyskowności działalności operacyjnej (%)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0,61%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0,68%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2,31%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C7905">
        <w:trPr>
          <w:trHeight w:val="597"/>
          <w:jc w:val="center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0,01%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0,29%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2,40%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8C7905">
        <w:trPr>
          <w:trHeight w:val="67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15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8C7905">
        <w:trPr>
          <w:trHeight w:val="67"/>
          <w:jc w:val="center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bieżącej płynności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8C7905">
        <w:trPr>
          <w:trHeight w:val="107"/>
          <w:jc w:val="center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</w:tr>
      <w:tr w:rsidR="008C7905">
        <w:trPr>
          <w:trHeight w:val="67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25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8C7905">
        <w:trPr>
          <w:trHeight w:val="276"/>
          <w:jc w:val="center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rotacji należności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 xml:space="preserve">(w dniach)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8C7905">
        <w:trPr>
          <w:trHeight w:val="74"/>
          <w:jc w:val="center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rotacji zobowiązań </w:t>
            </w: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br/>
              <w:t>(w dniach)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8C7905">
        <w:trPr>
          <w:trHeight w:val="290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10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8C7905">
        <w:trPr>
          <w:trHeight w:val="67"/>
          <w:jc w:val="center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zadłużenia aktywów (%)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30%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31%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8C7905">
        <w:trPr>
          <w:trHeight w:val="266"/>
          <w:jc w:val="center"/>
        </w:trPr>
        <w:tc>
          <w:tcPr>
            <w:tcW w:w="21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0,92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</w:tr>
      <w:tr w:rsidR="008C7905">
        <w:trPr>
          <w:trHeight w:val="67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20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8C7905" w:rsidRDefault="008C790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</w:tr>
      <w:tr w:rsidR="008C7905">
        <w:trPr>
          <w:trHeight w:val="67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47 (67,14%)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47 (67,14%)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50 (71,43%)</w:t>
            </w:r>
          </w:p>
        </w:tc>
      </w:tr>
      <w:tr w:rsidR="008C7905">
        <w:trPr>
          <w:trHeight w:val="67"/>
          <w:jc w:val="center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Maksymalna wartość punktów możliwych do osiągnięcia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8C7905" w:rsidRDefault="00421C5C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8C7905" w:rsidRDefault="008C7905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8C7905" w:rsidRDefault="00421C5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Prognozowane </w:t>
      </w:r>
      <w:r>
        <w:rPr>
          <w:color w:val="000000"/>
          <w:szCs w:val="20"/>
          <w:shd w:val="clear" w:color="auto" w:fill="FFFFFF"/>
          <w:lang w:eastAsia="en-US" w:bidi="ar-SA"/>
        </w:rPr>
        <w:t>przez MCM „Bałuty” w Łodzi wskaźniki na lata 2022-2024:</w:t>
      </w:r>
    </w:p>
    <w:p w:rsidR="008C7905" w:rsidRDefault="00421C5C">
      <w:pPr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jednostka prognozuje spadek wskaźników w 2022 roku oraz ich sukcesywny wzrost w latach 2023-2024. Ma to swoje odzwierciedlenie w wysokości prognozowanych wyników finansowych netto. Należy zaznaczyć, że jest to ostrożna prognoza wynikająca m.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in. z reali</w:t>
      </w:r>
      <w:r>
        <w:rPr>
          <w:color w:val="000000"/>
          <w:szCs w:val="20"/>
          <w:shd w:val="clear" w:color="auto" w:fill="FFFFFF"/>
          <w:lang w:eastAsia="en-US" w:bidi="ar-SA"/>
        </w:rPr>
        <w:t>zacji kontraktów z NFZ w 2021 roku, ciągłego wzrostu kosztów pracy, wykonania przychodów i kosztów za I kwartał 2022 roku, a także aktualnego planu finansowego na 2022 rok.</w:t>
      </w:r>
    </w:p>
    <w:p w:rsidR="008C7905" w:rsidRDefault="00421C5C">
      <w:pPr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zgodnie z przyjętymi założeniami jednostka prognozuje wyższy </w:t>
      </w:r>
      <w:r>
        <w:rPr>
          <w:color w:val="000000"/>
          <w:szCs w:val="20"/>
          <w:shd w:val="clear" w:color="auto" w:fill="FFFFFF"/>
          <w:lang w:eastAsia="en-US" w:bidi="ar-SA"/>
        </w:rPr>
        <w:t>od uzyskanego w 2021 roku poziom płynności finansowej w przedziale 0,82-0,93. Oznacza to utrzymanie poziomu wypłacalności na dotychczasowym poziomie przy jednoczesnym braku znacznej kumulacji środków finansowych.</w:t>
      </w:r>
    </w:p>
    <w:p w:rsidR="008C7905" w:rsidRDefault="00421C5C">
      <w:pPr>
        <w:numPr>
          <w:ilvl w:val="0"/>
          <w:numId w:val="11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prognoza przewiduj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 wzrost w zakresie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rotacji należności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(34 dni) oraz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rotacji zobowiązań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(10-11 dni). Wartości te nie wpływają na zmianę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w wysokości uzyskanych przez jednostkę punktów w prognozowanym okresie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(łącznie 10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). MCM „Bałuty” w Łodzi nie przewiduje pojawieni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 się problemów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terminowym uzyskiwaniem należności oraz pokrywaniem zobowiązań.</w:t>
      </w:r>
    </w:p>
    <w:p w:rsidR="008C7905" w:rsidRDefault="00421C5C">
      <w:pPr>
        <w:numPr>
          <w:ilvl w:val="0"/>
          <w:numId w:val="11"/>
        </w:numPr>
        <w:tabs>
          <w:tab w:val="left" w:pos="360"/>
        </w:tabs>
        <w:spacing w:after="200" w:line="276" w:lineRule="auto"/>
        <w:ind w:left="360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jednostka prognozuje kilkuprocentowy wzrost zadłużenia aktywów oraz niewielki spadek wypłacalności. Obie te wartości w kolejnych latach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uzyskują łącz</w:t>
      </w:r>
      <w:r>
        <w:rPr>
          <w:color w:val="000000"/>
          <w:szCs w:val="20"/>
          <w:shd w:val="clear" w:color="auto" w:fill="FFFFFF"/>
          <w:lang w:eastAsia="en-US" w:bidi="ar-SA"/>
        </w:rPr>
        <w:t>ną pulę punktów na poziomie roku 2021 (16) i potwierdzają stabilną sytuację finansową jednostki.</w:t>
      </w:r>
    </w:p>
    <w:p w:rsidR="008C7905" w:rsidRDefault="00421C5C">
      <w:pPr>
        <w:spacing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Prognoza MCM „Bałuty”</w:t>
      </w:r>
      <w:r>
        <w:rPr>
          <w:b/>
          <w:color w:val="000000"/>
          <w:szCs w:val="20"/>
          <w:shd w:val="clear" w:color="auto" w:fill="FFFFFF"/>
        </w:rPr>
        <w:t xml:space="preserve"> w Łodzi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na lata 2022-2024 (zł)</w:t>
      </w:r>
    </w:p>
    <w:tbl>
      <w:tblPr>
        <w:tblW w:w="901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1"/>
        <w:gridCol w:w="713"/>
        <w:gridCol w:w="6"/>
        <w:gridCol w:w="900"/>
        <w:gridCol w:w="1079"/>
        <w:gridCol w:w="720"/>
        <w:gridCol w:w="1264"/>
        <w:gridCol w:w="900"/>
        <w:gridCol w:w="1441"/>
      </w:tblGrid>
      <w:tr w:rsidR="008C7905">
        <w:trPr>
          <w:trHeight w:val="257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Dane bilansowe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</w:tr>
      <w:tr w:rsidR="008C7905">
        <w:trPr>
          <w:trHeight w:val="636"/>
        </w:trPr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Wynik finansowy netto trend: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1.998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85.307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690.891</w:t>
            </w:r>
          </w:p>
        </w:tc>
      </w:tr>
      <w:tr w:rsidR="008C7905">
        <w:trPr>
          <w:trHeight w:val="81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wnioski: założenie o wzroście rentowności działalności oraz akumulacji środków finansowych</w:t>
            </w:r>
          </w:p>
        </w:tc>
      </w:tr>
      <w:tr w:rsidR="008C7905">
        <w:trPr>
          <w:trHeight w:val="527"/>
        </w:trPr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Majątek trwały trend: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  <w:t xml:space="preserve">rosnący /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malejący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/stały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24.263.014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22 967.245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21.671.475</w:t>
            </w:r>
          </w:p>
        </w:tc>
      </w:tr>
      <w:tr w:rsidR="008C7905">
        <w:trPr>
          <w:trHeight w:val="398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wnioski: majątek trwały jednostki będzie stopniowo tracił na wartości ze względu na odpisy amortyzacyjne </w:t>
            </w:r>
          </w:p>
        </w:tc>
      </w:tr>
      <w:tr w:rsidR="008C7905">
        <w:trPr>
          <w:trHeight w:val="705"/>
        </w:trPr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Kapitał własny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  <w:t xml:space="preserve">trend: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 malejący / stały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8.524.339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8.609.646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9.300.536</w:t>
            </w:r>
          </w:p>
        </w:tc>
      </w:tr>
      <w:tr w:rsidR="008C7905">
        <w:trPr>
          <w:trHeight w:val="376"/>
        </w:trPr>
        <w:tc>
          <w:tcPr>
            <w:tcW w:w="9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wnioski: trend rosnący w wyniku planowanego dodatniego wyniku </w:t>
            </w: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finansowego w kolejnych latach prognozy (akumulacja środków finansowych)</w:t>
            </w:r>
          </w:p>
        </w:tc>
      </w:tr>
      <w:tr w:rsidR="008C7905">
        <w:trPr>
          <w:trHeight w:val="263"/>
        </w:trPr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Wynik finansowy ze sprzedaży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- 1.019.402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- 874.693 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- 259.109 </w:t>
            </w:r>
          </w:p>
        </w:tc>
      </w:tr>
      <w:tr w:rsidR="008C7905">
        <w:trPr>
          <w:trHeight w:val="400"/>
        </w:trPr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Wynik finansowy z działalności operacyjnej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197.098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235.307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840.891</w:t>
            </w:r>
          </w:p>
        </w:tc>
      </w:tr>
      <w:tr w:rsidR="008C7905">
        <w:trPr>
          <w:trHeight w:val="312"/>
        </w:trPr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Koszty amortyzacji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1.592.806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1.400.000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1.400.000</w:t>
            </w:r>
          </w:p>
        </w:tc>
      </w:tr>
      <w:tr w:rsidR="008C7905">
        <w:trPr>
          <w:trHeight w:val="401"/>
        </w:trPr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905" w:rsidRDefault="00421C5C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Wynik finansowy netto po dodaniu kosztów amortyzacji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1.594.804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1.485.307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C7905" w:rsidRDefault="00421C5C">
            <w:pPr>
              <w:jc w:val="righ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2.090.891</w:t>
            </w:r>
          </w:p>
        </w:tc>
      </w:tr>
    </w:tbl>
    <w:p w:rsidR="008C7905" w:rsidRDefault="00421C5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Według MCM „Bałuty” w Łodzi podstawą do stworzenia prognozy na lata 2022-2024 było: rzeczywiste wykonanie przychodów i kosztów MCM „Bałuty” w Łodzi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2021 roku, </w:t>
      </w:r>
      <w:r>
        <w:rPr>
          <w:color w:val="000000"/>
          <w:szCs w:val="20"/>
          <w:shd w:val="clear" w:color="auto" w:fill="FFFFFF"/>
          <w:lang w:eastAsia="en-US" w:bidi="ar-SA"/>
        </w:rPr>
        <w:t>aktualna wersja planu finansowego i rzeczowo-inwestycyjnego z dnia 24 czerwca 2022 roku oraz analiza wykonania przychodów i kosztów za I kwartał 2022 roku. Przyjęto w nim założenie kontynuacji realizacji świadczeń w dotychczasowym zakresie, zgodnie z obowi</w:t>
      </w:r>
      <w:r>
        <w:rPr>
          <w:color w:val="000000"/>
          <w:szCs w:val="20"/>
          <w:shd w:val="clear" w:color="auto" w:fill="FFFFFF"/>
          <w:lang w:eastAsia="en-US" w:bidi="ar-SA"/>
        </w:rPr>
        <w:t>ązującymi umowa</w:t>
      </w:r>
      <w:r>
        <w:rPr>
          <w:color w:val="000000"/>
          <w:szCs w:val="20"/>
          <w:shd w:val="clear" w:color="auto" w:fill="FFFFFF"/>
        </w:rPr>
        <w:t>mi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NFZ. </w:t>
      </w:r>
    </w:p>
    <w:p w:rsidR="008C7905" w:rsidRDefault="00421C5C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zakresie prognozy kosztów jednostka wskazała, że podstawą do oszacowania tych wartości była: wysokość amortyzacji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kolejnych latach wynikająca z tabel amortyzacyjnych,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wzrost kosztów i pochodnych, w wyniku zakładanego wzrostu </w:t>
      </w:r>
      <w:r>
        <w:rPr>
          <w:color w:val="000000"/>
          <w:szCs w:val="20"/>
          <w:shd w:val="clear" w:color="auto" w:fill="FFFFFF"/>
          <w:lang w:eastAsia="en-US" w:bidi="ar-SA"/>
        </w:rPr>
        <w:t>przeciętnego wynagrodzenia oraz średniorocznej inflacji, która będzie miała swoje odzwierciedlenie w wysokości kosztów działalności operacyjnej. Pozostałe koszty operacyjne ustalono na podstawie wartości historycznych z roku ubiegłego (2021) i bieżącego (2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022). Koszty finansowe ustalono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na podstawie harmonogramu spłat pożyczek.</w:t>
      </w:r>
    </w:p>
    <w:p w:rsidR="008C7905" w:rsidRDefault="00421C5C">
      <w:p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latach 2022-2024 jednostka dokonała założeń w zakresie osiągniętych przychodów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kosztów, spośród których warto zwrócić uwagę na:</w:t>
      </w:r>
    </w:p>
    <w:p w:rsidR="008C7905" w:rsidRDefault="00421C5C">
      <w:pPr>
        <w:numPr>
          <w:ilvl w:val="0"/>
          <w:numId w:val="12"/>
        </w:numPr>
        <w:tabs>
          <w:tab w:val="left" w:pos="360"/>
        </w:tabs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rzychody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netto ze sprzedaży produktów: 31.227.6</w:t>
      </w:r>
      <w:r>
        <w:rPr>
          <w:color w:val="000000"/>
          <w:szCs w:val="20"/>
          <w:shd w:val="clear" w:color="auto" w:fill="FFFFFF"/>
          <w:lang w:eastAsia="en-US" w:bidi="ar-SA"/>
        </w:rPr>
        <w:t>02 zł (2022); 33.631.359 zł (2023); 35.258.299 zł (2024)</w:t>
      </w:r>
      <w:r>
        <w:rPr>
          <w:color w:val="000000"/>
          <w:szCs w:val="20"/>
          <w:shd w:val="clear" w:color="auto" w:fill="FFFFFF"/>
        </w:rPr>
        <w:t>, w tym: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umowy z NFZ ogółem: 30.495.892 zł (2022); 32.769.359 zł (2023); 34.396.299 zł (2024)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programy profilaktyczne Miast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Ł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eastAsia="en-US" w:bidi="ar-SA"/>
        </w:rPr>
        <w:t>d</w:t>
      </w:r>
      <w:r>
        <w:rPr>
          <w:color w:val="000000"/>
          <w:szCs w:val="20"/>
          <w:shd w:val="clear" w:color="auto" w:fill="FFFFFF"/>
        </w:rPr>
        <w:t>zi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brak zaplanowanych środków na ten cel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latach 2022-2024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pozostała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sprzedaż usług medycznych: 400.000 zł (2022); 500.000 zł (2023);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500.000 zł (2024)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wynajem pomieszczeń: 312.000 zł (2022); 350.000 zł (2023); 350.000 zł (2024);</w:t>
      </w:r>
    </w:p>
    <w:p w:rsidR="008C7905" w:rsidRDefault="00421C5C">
      <w:pPr>
        <w:numPr>
          <w:ilvl w:val="0"/>
          <w:numId w:val="12"/>
        </w:numPr>
        <w:tabs>
          <w:tab w:val="left" w:pos="360"/>
        </w:tabs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k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oszty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działalności operacyjnej: 32.247.004 zł (2022); 34.506.053 zł (2023); 35.517.408 zł (</w:t>
      </w:r>
      <w:r>
        <w:rPr>
          <w:color w:val="000000"/>
          <w:szCs w:val="20"/>
          <w:shd w:val="clear" w:color="auto" w:fill="FFFFFF"/>
          <w:lang w:eastAsia="en-US" w:bidi="ar-SA"/>
        </w:rPr>
        <w:t>2024)</w:t>
      </w:r>
      <w:r>
        <w:rPr>
          <w:color w:val="000000"/>
          <w:szCs w:val="20"/>
          <w:shd w:val="clear" w:color="auto" w:fill="FFFFFF"/>
        </w:rPr>
        <w:t>, w tym: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>sługi obce: 5.783.975 zł (2022); 6.039.100 zł (2023); 6.190.273 zł (2024)</w:t>
      </w:r>
      <w:r>
        <w:rPr>
          <w:color w:val="000000"/>
          <w:szCs w:val="20"/>
          <w:shd w:val="clear" w:color="auto" w:fill="FFFFFF"/>
        </w:rPr>
        <w:t>,</w:t>
      </w:r>
    </w:p>
    <w:p w:rsidR="008C7905" w:rsidRDefault="00421C5C">
      <w:pPr>
        <w:numPr>
          <w:ilvl w:val="1"/>
          <w:numId w:val="12"/>
        </w:numPr>
        <w:tabs>
          <w:tab w:val="left" w:pos="785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w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ynagrodzenia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: 19.617.660 zł (2022); 21.487.426 zł (2023); 22.118.477 zł (2024)</w:t>
      </w:r>
      <w:r>
        <w:rPr>
          <w:color w:val="000000"/>
          <w:szCs w:val="20"/>
          <w:shd w:val="clear" w:color="auto" w:fill="FFFFFF"/>
        </w:rPr>
        <w:t>.</w:t>
      </w:r>
    </w:p>
    <w:p w:rsidR="008C7905" w:rsidRDefault="00421C5C">
      <w:pPr>
        <w:spacing w:before="240" w:after="12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Pozostałe założenia przyjęte przez MCM „Bałuty” w Łodzi na lata 2022-2024</w:t>
      </w:r>
    </w:p>
    <w:p w:rsidR="008C7905" w:rsidRDefault="00421C5C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przedstawionej prognozie jednostka poczyniła założenie o kontynuacji dotychczasowych działań mających na celu wzmocnienie sfery IT, zarówno w zakresie zasobów kadrowych jak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i rozwiązań technologicznych. Oprócz tego przedstawiono plany dotyczące wdrożeni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łączności światłowodowej, modernizacji komunikacji cyfrowej między placówkami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oraz modernizacji central telefonicznych i łączności telefonicznej w obrębie placówek.</w:t>
      </w:r>
    </w:p>
    <w:p w:rsidR="008C7905" w:rsidRDefault="00421C5C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poprawą jakości świadczonych usług, MCM „Bałuty” w Łodzi planuje zwiększenie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efektywności zadań realizowanych przez rejestracje medyczne. W ramach tego planuje się audyt, którego efektem ma być wdrożenie zmian organizacyjnych w oparciu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o sformułowane wnioski. Na obecnym etapie analiz jednostka wskazuje na konieczność doposażenia </w:t>
      </w:r>
      <w:r>
        <w:rPr>
          <w:color w:val="000000"/>
          <w:szCs w:val="20"/>
          <w:shd w:val="clear" w:color="auto" w:fill="FFFFFF"/>
          <w:lang w:eastAsia="en-US" w:bidi="ar-SA"/>
        </w:rPr>
        <w:t>rejestracji w sprzęt komputerowy i łączności, a także na przeprowadzenie szkoleń wśród pracowników.  Tak jak miało to miejsce w roku ubiegłym, jednostka ponownie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wskazuje, że prowadzi prace w zakresie zasadności uruchomienia zdalnej, centralnej rejestracji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dla wszystkich swoich placówek. </w:t>
      </w:r>
    </w:p>
    <w:p w:rsidR="008C7905" w:rsidRDefault="00421C5C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Oprócz tego jednostka planuje: </w:t>
      </w:r>
    </w:p>
    <w:p w:rsidR="008C7905" w:rsidRDefault="00421C5C">
      <w:pPr>
        <w:numPr>
          <w:ilvl w:val="0"/>
          <w:numId w:val="1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przeprowadzenie prac modernizacyjnych przychodni przy ulicy Nastrojowej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Traktorowej</w:t>
      </w:r>
      <w:r>
        <w:rPr>
          <w:color w:val="000000"/>
          <w:szCs w:val="20"/>
          <w:shd w:val="clear" w:color="auto" w:fill="FFFFFF"/>
        </w:rPr>
        <w:t>;</w:t>
      </w:r>
    </w:p>
    <w:p w:rsidR="008C7905" w:rsidRDefault="00421C5C">
      <w:pPr>
        <w:numPr>
          <w:ilvl w:val="0"/>
          <w:numId w:val="1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ramach funkcjonowania Centrum Aktywnego Seniora przy ulicy Libelta 16, kontynuować składanie wnioskó</w:t>
      </w:r>
      <w:r>
        <w:rPr>
          <w:color w:val="000000"/>
          <w:szCs w:val="20"/>
          <w:shd w:val="clear" w:color="auto" w:fill="FFFFFF"/>
          <w:lang w:eastAsia="en-US" w:bidi="ar-SA"/>
        </w:rPr>
        <w:t>w do Łódzkiego Budżetu Obywatelskiego, w celu pozyskania nowych funduszy na zwiększenia atrakcyjności Centrum wśród seniorów;</w:t>
      </w:r>
    </w:p>
    <w:p w:rsidR="008C7905" w:rsidRDefault="00421C5C">
      <w:pPr>
        <w:numPr>
          <w:ilvl w:val="0"/>
          <w:numId w:val="13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rozszerzyć swoją działalność o kolejne jednostki świadczące usługi w zakresie Medycyny Pracy. </w:t>
      </w:r>
    </w:p>
    <w:p w:rsidR="008C7905" w:rsidRDefault="00421C5C">
      <w:pPr>
        <w:spacing w:before="240" w:after="200" w:line="276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Informacja o istotnych zdarzeniach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dla MCM „Bałuty” w Łodzi – prognoza na lata 2022-2024</w:t>
      </w:r>
    </w:p>
    <w:p w:rsidR="008C7905" w:rsidRDefault="00421C5C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Prognoza na lata 2022-2024 MCM „Bałuty” w Łodzi zakłada utrzymanie działalności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zakresie roku 2021. Wśród zagrożeń mogących wpłynąć na realizację założeń są:</w:t>
      </w:r>
    </w:p>
    <w:p w:rsidR="008C7905" w:rsidRDefault="00421C5C">
      <w:pPr>
        <w:numPr>
          <w:ilvl w:val="0"/>
          <w:numId w:val="14"/>
        </w:num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niepewność co do dalszego kontraktowania </w:t>
      </w:r>
      <w:r>
        <w:rPr>
          <w:color w:val="000000"/>
          <w:szCs w:val="20"/>
          <w:shd w:val="clear" w:color="auto" w:fill="FFFFFF"/>
          <w:lang w:eastAsia="en-US" w:bidi="ar-SA"/>
        </w:rPr>
        <w:t>świadczeń przez NFZ;</w:t>
      </w:r>
    </w:p>
    <w:p w:rsidR="008C7905" w:rsidRDefault="00421C5C">
      <w:pPr>
        <w:numPr>
          <w:ilvl w:val="0"/>
          <w:numId w:val="14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wzrost kosztów funkcjonowania jednostki w zakresie oczekiwań płacowych w ramach usług obcych (kontrakty z personelem medycznym) oraz potencjalny</w:t>
      </w:r>
      <w:r>
        <w:rPr>
          <w:color w:val="000000"/>
          <w:szCs w:val="20"/>
          <w:shd w:val="clear" w:color="auto" w:fill="FFFFFF"/>
        </w:rPr>
        <w:t>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dalszych wzrostów wynagrodzeń dla pracowników w placówkach służby zdrowia.</w:t>
      </w:r>
    </w:p>
    <w:p w:rsidR="008C7905" w:rsidRDefault="00421C5C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Podsumowanie</w:t>
      </w:r>
    </w:p>
    <w:p w:rsidR="008C7905" w:rsidRDefault="00421C5C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podstawie raportu o sytuacji ekonomiczno-finansowej MCM „Bałuty” w Łodzi, funkcjonującego jako Samodzielny Publiczny Zakład Opieki Zdrowotnej należy stwierdzić, że:</w:t>
      </w:r>
    </w:p>
    <w:p w:rsidR="008C7905" w:rsidRDefault="00421C5C">
      <w:pPr>
        <w:numPr>
          <w:ilvl w:val="0"/>
          <w:numId w:val="1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ocena dokonana na podstawie wskaźników ekonomiczno-finansowych 2021 roku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oraz prognozy </w:t>
      </w:r>
      <w:r>
        <w:rPr>
          <w:color w:val="000000"/>
          <w:szCs w:val="20"/>
          <w:shd w:val="clear" w:color="auto" w:fill="FFFFFF"/>
          <w:lang w:eastAsia="en-US" w:bidi="ar-SA"/>
        </w:rPr>
        <w:t>na lata 2022-2024 jest pozytywna;</w:t>
      </w:r>
    </w:p>
    <w:p w:rsidR="008C7905" w:rsidRDefault="00421C5C">
      <w:pPr>
        <w:numPr>
          <w:ilvl w:val="0"/>
          <w:numId w:val="15"/>
        </w:num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przedstawiona w raporcie ostrożna analiza wskaźników dla prognozowanego okresu jest rezultatem niepewność w zakresie wielkości umów na świadczenia medyczne;</w:t>
      </w:r>
    </w:p>
    <w:p w:rsidR="008C7905" w:rsidRDefault="00421C5C">
      <w:pPr>
        <w:numPr>
          <w:ilvl w:val="0"/>
          <w:numId w:val="15"/>
        </w:numPr>
        <w:spacing w:line="276" w:lineRule="auto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MCM „Bałuty”</w:t>
      </w:r>
      <w:r>
        <w:rPr>
          <w:color w:val="000000"/>
          <w:szCs w:val="20"/>
          <w:shd w:val="clear" w:color="auto" w:fill="FFFFFF"/>
        </w:rPr>
        <w:t xml:space="preserve"> w Łodzi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planuje dalszy rozwój swoich placówek pod względem infrastrukturalnym oraz podnoszenie jakości realizowanych w nich świadczeń.  </w:t>
      </w:r>
    </w:p>
    <w:p w:rsidR="008C7905" w:rsidRDefault="00421C5C">
      <w:pPr>
        <w:spacing w:before="240" w:line="276" w:lineRule="auto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powyższym dokonuje się pozytywnej oceny sytuacji ekonomiczno-finansowej MCM „Bałuty” w Łodzi na podstawie przedstaw</w:t>
      </w:r>
      <w:r>
        <w:rPr>
          <w:color w:val="000000"/>
          <w:szCs w:val="20"/>
          <w:shd w:val="clear" w:color="auto" w:fill="FFFFFF"/>
          <w:lang w:eastAsia="en-US" w:bidi="ar-SA"/>
        </w:rPr>
        <w:t>ionego przez jednostkę raportu o sytuacji ekonomiczno-finansowej.</w:t>
      </w:r>
    </w:p>
    <w:p w:rsidR="008C7905" w:rsidRDefault="008C7905">
      <w:pPr>
        <w:jc w:val="both"/>
        <w:rPr>
          <w:color w:val="000000"/>
          <w:szCs w:val="20"/>
          <w:shd w:val="clear" w:color="auto" w:fill="FFFFFF"/>
          <w:lang w:eastAsia="en-US" w:bidi="ar-SA"/>
        </w:rPr>
        <w:sectPr w:rsidR="008C7905">
          <w:footerReference w:type="default" r:id="rId8"/>
          <w:pgSz w:w="11906" w:h="16838"/>
          <w:pgMar w:top="1283" w:right="1418" w:bottom="1418" w:left="1418" w:header="709" w:footer="709" w:gutter="0"/>
          <w:pgNumType w:start="1"/>
          <w:cols w:space="708"/>
          <w:titlePg/>
        </w:sect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p w:rsidR="008C7905" w:rsidRDefault="008C7905">
      <w:pPr>
        <w:rPr>
          <w:szCs w:val="20"/>
        </w:rPr>
      </w:pPr>
    </w:p>
    <w:p w:rsidR="008C7905" w:rsidRDefault="00421C5C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8C7905" w:rsidRDefault="008C7905">
      <w:pPr>
        <w:rPr>
          <w:szCs w:val="20"/>
        </w:rPr>
      </w:pPr>
    </w:p>
    <w:p w:rsidR="008C7905" w:rsidRDefault="00421C5C">
      <w:pPr>
        <w:ind w:firstLine="567"/>
        <w:jc w:val="both"/>
        <w:rPr>
          <w:szCs w:val="20"/>
        </w:rPr>
      </w:pPr>
      <w:r>
        <w:rPr>
          <w:szCs w:val="20"/>
        </w:rPr>
        <w:t xml:space="preserve">Zgodnie z wymogami art. 53a ustawy </w:t>
      </w:r>
      <w:r>
        <w:rPr>
          <w:color w:val="000000"/>
          <w:szCs w:val="20"/>
          <w:u w:color="000000"/>
        </w:rPr>
        <w:t>z dnia 15 kwietnia 2011 r.</w:t>
      </w:r>
      <w:r>
        <w:rPr>
          <w:szCs w:val="20"/>
        </w:rPr>
        <w:t xml:space="preserve"> o działalności leczniczej samodzielny publiczny zakład opieki zdrowotnej o nazwie Miejskie Centrum Medyczne Miejskie Centrum Medyczne „Bałuty” w Łodzi przedstawiło w wymaganym terminie raport o sytuacji ekonomiczno-finansowej przygotowany na podstawie spr</w:t>
      </w:r>
      <w:r>
        <w:rPr>
          <w:szCs w:val="20"/>
        </w:rPr>
        <w:t>awozdania finansowego za poprzedni rok obrotowy zawierający w szczególności analizę sytuacji ekonomiczno-finansowej za poprzedni rok obrotowy, tj. 2021, a także prognozę sytuacji ekonomiczno-finansowej na kolejne trzy lata obrotowe wraz z opisem przyjętych</w:t>
      </w:r>
      <w:r>
        <w:rPr>
          <w:szCs w:val="20"/>
        </w:rPr>
        <w:t xml:space="preserve"> założeń oraz informację o istotnych zdarzeniach mających wpływ na sytuację ekonomiczno-finansową samodzielnego publicznego zakładu opieki zdrowotnej.</w:t>
      </w:r>
    </w:p>
    <w:p w:rsidR="008C7905" w:rsidRDefault="00421C5C">
      <w:pPr>
        <w:spacing w:before="120" w:after="120"/>
        <w:ind w:firstLine="57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Przedmiotowa ocena raportu </w:t>
      </w:r>
      <w:r>
        <w:rPr>
          <w:szCs w:val="20"/>
        </w:rPr>
        <w:t>o sytuacji ekonomiczno-finansowej</w:t>
      </w:r>
      <w:r>
        <w:rPr>
          <w:color w:val="000000"/>
          <w:szCs w:val="20"/>
          <w:u w:color="000000"/>
        </w:rPr>
        <w:t xml:space="preserve"> została przygotowana zgodnie z wymogami  ustawy z dnia 15 kwietnia 2011 r. o działalności leczniczej  przez komórkę organizacyjną sprawującą bezpośredni nadzór nad samodzielnymi publicznymi zakładami opieki zdrowotnej dla których podmiotem tworzącym jest </w:t>
      </w:r>
      <w:r>
        <w:rPr>
          <w:color w:val="000000"/>
          <w:szCs w:val="20"/>
          <w:u w:color="000000"/>
        </w:rPr>
        <w:t>Miasto Łódź, tj. Wydział Zdrowia i Spraw Społecznych w Departamencie Zdrowia i Spraw Społecznych Urzędu Miasta Łodzi.</w:t>
      </w:r>
    </w:p>
    <w:p w:rsidR="008C7905" w:rsidRDefault="00421C5C">
      <w:pPr>
        <w:ind w:firstLine="567"/>
        <w:jc w:val="both"/>
        <w:rPr>
          <w:szCs w:val="20"/>
        </w:rPr>
      </w:pPr>
      <w:r>
        <w:rPr>
          <w:szCs w:val="20"/>
        </w:rPr>
        <w:t xml:space="preserve">Ocena sytuacji ekonomiczno-finansowej jednostki należy do kompetencji Rady Miejskiej w Łodzi, tj. podmiotu tworzącego dla </w:t>
      </w:r>
      <w:r>
        <w:rPr>
          <w:color w:val="000000"/>
          <w:szCs w:val="20"/>
          <w:u w:color="000000"/>
        </w:rPr>
        <w:t>Miejskiego Centr</w:t>
      </w:r>
      <w:r>
        <w:rPr>
          <w:color w:val="000000"/>
          <w:szCs w:val="20"/>
          <w:u w:color="000000"/>
        </w:rPr>
        <w:t xml:space="preserve">um Medycznego </w:t>
      </w:r>
      <w:r>
        <w:rPr>
          <w:szCs w:val="20"/>
        </w:rPr>
        <w:t>„Bałuty” w Łodzi, co stanowi przedmiot niniejszego projektu uchwały.</w:t>
      </w:r>
    </w:p>
    <w:p w:rsidR="008C7905" w:rsidRDefault="008C7905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8C7905" w:rsidRDefault="008C7905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</w:p>
    <w:sectPr w:rsidR="008C7905" w:rsidSect="008C7905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5C" w:rsidRDefault="00421C5C" w:rsidP="008C7905">
      <w:r>
        <w:separator/>
      </w:r>
    </w:p>
  </w:endnote>
  <w:endnote w:type="continuationSeparator" w:id="0">
    <w:p w:rsidR="00421C5C" w:rsidRDefault="00421C5C" w:rsidP="008C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C790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C79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1BDC">
            <w:rPr>
              <w:sz w:val="18"/>
            </w:rPr>
            <w:fldChar w:fldCharType="separate"/>
          </w:r>
          <w:r w:rsidR="00531BDC">
            <w:rPr>
              <w:noProof/>
              <w:sz w:val="18"/>
            </w:rPr>
            <w:t>1</w:t>
          </w:r>
          <w:r w:rsidR="008C7905">
            <w:rPr>
              <w:sz w:val="18"/>
            </w:rPr>
            <w:fldChar w:fldCharType="end"/>
          </w:r>
        </w:p>
      </w:tc>
    </w:tr>
  </w:tbl>
  <w:p w:rsidR="008C7905" w:rsidRDefault="008C790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7"/>
      <w:gridCol w:w="3023"/>
    </w:tblGrid>
    <w:tr w:rsidR="008C7905">
      <w:tc>
        <w:tcPr>
          <w:tcW w:w="604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C79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1BDC">
            <w:rPr>
              <w:sz w:val="18"/>
            </w:rPr>
            <w:fldChar w:fldCharType="separate"/>
          </w:r>
          <w:r w:rsidR="00531BDC">
            <w:rPr>
              <w:noProof/>
              <w:sz w:val="18"/>
            </w:rPr>
            <w:t>8</w:t>
          </w:r>
          <w:r w:rsidR="008C7905">
            <w:rPr>
              <w:sz w:val="18"/>
            </w:rPr>
            <w:fldChar w:fldCharType="end"/>
          </w:r>
        </w:p>
      </w:tc>
    </w:tr>
  </w:tbl>
  <w:p w:rsidR="008C7905" w:rsidRDefault="008C790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C790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7905" w:rsidRDefault="00421C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C79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1BDC">
            <w:rPr>
              <w:sz w:val="18"/>
            </w:rPr>
            <w:fldChar w:fldCharType="separate"/>
          </w:r>
          <w:r w:rsidR="00531BDC">
            <w:rPr>
              <w:noProof/>
              <w:sz w:val="18"/>
            </w:rPr>
            <w:t>9</w:t>
          </w:r>
          <w:r w:rsidR="008C7905">
            <w:rPr>
              <w:sz w:val="18"/>
            </w:rPr>
            <w:fldChar w:fldCharType="end"/>
          </w:r>
        </w:p>
      </w:tc>
    </w:tr>
  </w:tbl>
  <w:p w:rsidR="008C7905" w:rsidRDefault="008C790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5C" w:rsidRDefault="00421C5C" w:rsidP="008C7905">
      <w:r>
        <w:separator/>
      </w:r>
    </w:p>
  </w:footnote>
  <w:footnote w:type="continuationSeparator" w:id="0">
    <w:p w:rsidR="00421C5C" w:rsidRDefault="00421C5C" w:rsidP="008C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B2C"/>
    <w:multiLevelType w:val="hybridMultilevel"/>
    <w:tmpl w:val="00000000"/>
    <w:lvl w:ilvl="0" w:tplc="BA8AE270">
      <w:start w:val="1"/>
      <w:numFmt w:val="decimal"/>
      <w:lvlText w:val="%1)"/>
      <w:lvlJc w:val="left"/>
      <w:pPr>
        <w:ind w:left="360" w:hanging="360"/>
      </w:pPr>
    </w:lvl>
    <w:lvl w:ilvl="1" w:tplc="6F4E86A6">
      <w:start w:val="1"/>
      <w:numFmt w:val="lowerLetter"/>
      <w:lvlText w:val="%2)"/>
      <w:lvlJc w:val="left"/>
      <w:pPr>
        <w:ind w:left="785" w:hanging="360"/>
      </w:pPr>
    </w:lvl>
    <w:lvl w:ilvl="2" w:tplc="FA6A54F2">
      <w:start w:val="1"/>
      <w:numFmt w:val="lowerRoman"/>
      <w:lvlText w:val="%3."/>
      <w:lvlJc w:val="right"/>
      <w:pPr>
        <w:ind w:left="1800" w:hanging="180"/>
      </w:pPr>
    </w:lvl>
    <w:lvl w:ilvl="3" w:tplc="4DCE5E2E">
      <w:start w:val="1"/>
      <w:numFmt w:val="decimal"/>
      <w:lvlText w:val="%4."/>
      <w:lvlJc w:val="left"/>
      <w:pPr>
        <w:ind w:left="2520" w:hanging="360"/>
      </w:pPr>
    </w:lvl>
    <w:lvl w:ilvl="4" w:tplc="64AEE8B8">
      <w:start w:val="1"/>
      <w:numFmt w:val="lowerLetter"/>
      <w:lvlText w:val="%5."/>
      <w:lvlJc w:val="left"/>
      <w:pPr>
        <w:ind w:left="3240" w:hanging="360"/>
      </w:pPr>
    </w:lvl>
    <w:lvl w:ilvl="5" w:tplc="A08ED36C">
      <w:start w:val="1"/>
      <w:numFmt w:val="lowerRoman"/>
      <w:lvlText w:val="%6."/>
      <w:lvlJc w:val="right"/>
      <w:pPr>
        <w:ind w:left="3960" w:hanging="180"/>
      </w:pPr>
    </w:lvl>
    <w:lvl w:ilvl="6" w:tplc="52062B46">
      <w:start w:val="1"/>
      <w:numFmt w:val="decimal"/>
      <w:lvlText w:val="%7."/>
      <w:lvlJc w:val="left"/>
      <w:pPr>
        <w:ind w:left="4680" w:hanging="360"/>
      </w:pPr>
    </w:lvl>
    <w:lvl w:ilvl="7" w:tplc="A3A80EFC">
      <w:start w:val="1"/>
      <w:numFmt w:val="lowerLetter"/>
      <w:lvlText w:val="%8."/>
      <w:lvlJc w:val="left"/>
      <w:pPr>
        <w:ind w:left="5400" w:hanging="360"/>
      </w:pPr>
    </w:lvl>
    <w:lvl w:ilvl="8" w:tplc="52AE6AF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C9F9D"/>
    <w:multiLevelType w:val="hybridMultilevel"/>
    <w:tmpl w:val="00000000"/>
    <w:lvl w:ilvl="0" w:tplc="5282DBD2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860C0D4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D9CC2A0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F6F6E004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915E25A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9FA2B14E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7D3AAF0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1AE6A7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3AC0544E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2">
    <w:nsid w:val="11C7D638"/>
    <w:multiLevelType w:val="hybridMultilevel"/>
    <w:tmpl w:val="00000000"/>
    <w:lvl w:ilvl="0" w:tplc="126C16A2">
      <w:start w:val="1"/>
      <w:numFmt w:val="lowerLetter"/>
      <w:lvlText w:val="%1)"/>
      <w:lvlJc w:val="left"/>
      <w:pPr>
        <w:ind w:left="360" w:hanging="360"/>
      </w:pPr>
    </w:lvl>
    <w:lvl w:ilvl="1" w:tplc="A7BEC50A">
      <w:start w:val="1"/>
      <w:numFmt w:val="lowerLetter"/>
      <w:lvlText w:val="%2)"/>
      <w:lvlJc w:val="left"/>
      <w:pPr>
        <w:ind w:left="1080" w:hanging="360"/>
      </w:pPr>
    </w:lvl>
    <w:lvl w:ilvl="2" w:tplc="BAE2F808">
      <w:start w:val="1"/>
      <w:numFmt w:val="lowerRoman"/>
      <w:lvlText w:val="%3."/>
      <w:lvlJc w:val="right"/>
      <w:pPr>
        <w:ind w:left="1800" w:hanging="180"/>
      </w:pPr>
    </w:lvl>
    <w:lvl w:ilvl="3" w:tplc="F5F8B9EE">
      <w:start w:val="1"/>
      <w:numFmt w:val="decimal"/>
      <w:lvlText w:val="%4."/>
      <w:lvlJc w:val="left"/>
      <w:pPr>
        <w:ind w:left="2520" w:hanging="360"/>
      </w:pPr>
    </w:lvl>
    <w:lvl w:ilvl="4" w:tplc="9184F574">
      <w:start w:val="1"/>
      <w:numFmt w:val="lowerLetter"/>
      <w:lvlText w:val="%5."/>
      <w:lvlJc w:val="left"/>
      <w:pPr>
        <w:ind w:left="3240" w:hanging="360"/>
      </w:pPr>
    </w:lvl>
    <w:lvl w:ilvl="5" w:tplc="232250D4">
      <w:start w:val="1"/>
      <w:numFmt w:val="lowerRoman"/>
      <w:lvlText w:val="%6."/>
      <w:lvlJc w:val="right"/>
      <w:pPr>
        <w:ind w:left="3960" w:hanging="180"/>
      </w:pPr>
    </w:lvl>
    <w:lvl w:ilvl="6" w:tplc="25FC85EE">
      <w:start w:val="1"/>
      <w:numFmt w:val="decimal"/>
      <w:lvlText w:val="%7."/>
      <w:lvlJc w:val="left"/>
      <w:pPr>
        <w:ind w:left="4680" w:hanging="360"/>
      </w:pPr>
    </w:lvl>
    <w:lvl w:ilvl="7" w:tplc="6570EADE">
      <w:start w:val="1"/>
      <w:numFmt w:val="lowerLetter"/>
      <w:lvlText w:val="%8."/>
      <w:lvlJc w:val="left"/>
      <w:pPr>
        <w:ind w:left="5400" w:hanging="360"/>
      </w:pPr>
    </w:lvl>
    <w:lvl w:ilvl="8" w:tplc="06D464F6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AC3FE"/>
    <w:multiLevelType w:val="hybridMultilevel"/>
    <w:tmpl w:val="00000000"/>
    <w:lvl w:ilvl="0" w:tplc="C61EE27E">
      <w:start w:val="1"/>
      <w:numFmt w:val="lowerLetter"/>
      <w:lvlText w:val="%1)"/>
      <w:lvlJc w:val="left"/>
      <w:pPr>
        <w:ind w:left="360" w:hanging="360"/>
      </w:pPr>
    </w:lvl>
    <w:lvl w:ilvl="1" w:tplc="BCBCEDB2">
      <w:start w:val="1"/>
      <w:numFmt w:val="lowerLetter"/>
      <w:lvlText w:val="%2)"/>
      <w:lvlJc w:val="left"/>
      <w:pPr>
        <w:ind w:left="1080" w:hanging="360"/>
      </w:pPr>
    </w:lvl>
    <w:lvl w:ilvl="2" w:tplc="6CD23B5E">
      <w:start w:val="1"/>
      <w:numFmt w:val="lowerRoman"/>
      <w:lvlText w:val="%3."/>
      <w:lvlJc w:val="right"/>
      <w:pPr>
        <w:ind w:left="1800" w:hanging="180"/>
      </w:pPr>
    </w:lvl>
    <w:lvl w:ilvl="3" w:tplc="E490FDB0">
      <w:start w:val="1"/>
      <w:numFmt w:val="decimal"/>
      <w:lvlText w:val="%4."/>
      <w:lvlJc w:val="left"/>
      <w:pPr>
        <w:ind w:left="2520" w:hanging="360"/>
      </w:pPr>
    </w:lvl>
    <w:lvl w:ilvl="4" w:tplc="F482D854">
      <w:start w:val="1"/>
      <w:numFmt w:val="lowerLetter"/>
      <w:lvlText w:val="%5."/>
      <w:lvlJc w:val="left"/>
      <w:pPr>
        <w:ind w:left="3240" w:hanging="360"/>
      </w:pPr>
    </w:lvl>
    <w:lvl w:ilvl="5" w:tplc="AC3AB32C">
      <w:start w:val="1"/>
      <w:numFmt w:val="lowerRoman"/>
      <w:lvlText w:val="%6."/>
      <w:lvlJc w:val="right"/>
      <w:pPr>
        <w:ind w:left="3960" w:hanging="180"/>
      </w:pPr>
    </w:lvl>
    <w:lvl w:ilvl="6" w:tplc="41864640">
      <w:start w:val="1"/>
      <w:numFmt w:val="decimal"/>
      <w:lvlText w:val="%7."/>
      <w:lvlJc w:val="left"/>
      <w:pPr>
        <w:ind w:left="4680" w:hanging="360"/>
      </w:pPr>
    </w:lvl>
    <w:lvl w:ilvl="7" w:tplc="655E44C4">
      <w:start w:val="1"/>
      <w:numFmt w:val="lowerLetter"/>
      <w:lvlText w:val="%8."/>
      <w:lvlJc w:val="left"/>
      <w:pPr>
        <w:ind w:left="5400" w:hanging="360"/>
      </w:pPr>
    </w:lvl>
    <w:lvl w:ilvl="8" w:tplc="A75E693A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8AA0C"/>
    <w:multiLevelType w:val="hybridMultilevel"/>
    <w:tmpl w:val="00000000"/>
    <w:lvl w:ilvl="0" w:tplc="D93A3CC6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CAC6AC2E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D6BA24B8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107E294C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CD442B70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D982E8CE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C784A2C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A5CB6B4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A1D8738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5">
    <w:nsid w:val="21E604F0"/>
    <w:multiLevelType w:val="hybridMultilevel"/>
    <w:tmpl w:val="00000000"/>
    <w:lvl w:ilvl="0" w:tplc="BC3CFFAC">
      <w:start w:val="1"/>
      <w:numFmt w:val="lowerLetter"/>
      <w:lvlText w:val="%1)"/>
      <w:lvlJc w:val="left"/>
      <w:pPr>
        <w:ind w:left="360" w:hanging="360"/>
      </w:pPr>
    </w:lvl>
    <w:lvl w:ilvl="1" w:tplc="1CA44406">
      <w:start w:val="1"/>
      <w:numFmt w:val="lowerLetter"/>
      <w:lvlText w:val="%2)"/>
      <w:lvlJc w:val="left"/>
      <w:pPr>
        <w:ind w:left="1080" w:hanging="360"/>
      </w:pPr>
    </w:lvl>
    <w:lvl w:ilvl="2" w:tplc="1102CCA6">
      <w:start w:val="1"/>
      <w:numFmt w:val="lowerRoman"/>
      <w:lvlText w:val="%3."/>
      <w:lvlJc w:val="right"/>
      <w:pPr>
        <w:ind w:left="1800" w:hanging="180"/>
      </w:pPr>
    </w:lvl>
    <w:lvl w:ilvl="3" w:tplc="8FDE98FC">
      <w:start w:val="1"/>
      <w:numFmt w:val="decimal"/>
      <w:lvlText w:val="%4."/>
      <w:lvlJc w:val="left"/>
      <w:pPr>
        <w:ind w:left="2520" w:hanging="360"/>
      </w:pPr>
    </w:lvl>
    <w:lvl w:ilvl="4" w:tplc="9F9831F8">
      <w:start w:val="1"/>
      <w:numFmt w:val="lowerLetter"/>
      <w:lvlText w:val="%5."/>
      <w:lvlJc w:val="left"/>
      <w:pPr>
        <w:ind w:left="3240" w:hanging="360"/>
      </w:pPr>
    </w:lvl>
    <w:lvl w:ilvl="5" w:tplc="66AA0BD0">
      <w:start w:val="1"/>
      <w:numFmt w:val="lowerRoman"/>
      <w:lvlText w:val="%6."/>
      <w:lvlJc w:val="right"/>
      <w:pPr>
        <w:ind w:left="3960" w:hanging="180"/>
      </w:pPr>
    </w:lvl>
    <w:lvl w:ilvl="6" w:tplc="9F027DC2">
      <w:start w:val="1"/>
      <w:numFmt w:val="decimal"/>
      <w:lvlText w:val="%7."/>
      <w:lvlJc w:val="left"/>
      <w:pPr>
        <w:ind w:left="4680" w:hanging="360"/>
      </w:pPr>
    </w:lvl>
    <w:lvl w:ilvl="7" w:tplc="0122DF0E">
      <w:start w:val="1"/>
      <w:numFmt w:val="lowerLetter"/>
      <w:lvlText w:val="%8."/>
      <w:lvlJc w:val="left"/>
      <w:pPr>
        <w:ind w:left="5400" w:hanging="360"/>
      </w:pPr>
    </w:lvl>
    <w:lvl w:ilvl="8" w:tplc="C68A0F54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E7472"/>
    <w:multiLevelType w:val="hybridMultilevel"/>
    <w:tmpl w:val="00000000"/>
    <w:lvl w:ilvl="0" w:tplc="BDD05086">
      <w:start w:val="1"/>
      <w:numFmt w:val="lowerLetter"/>
      <w:lvlText w:val="%1)"/>
      <w:lvlJc w:val="left"/>
      <w:pPr>
        <w:ind w:left="360" w:hanging="360"/>
      </w:pPr>
    </w:lvl>
    <w:lvl w:ilvl="1" w:tplc="8312C156">
      <w:start w:val="1"/>
      <w:numFmt w:val="lowerLetter"/>
      <w:lvlText w:val="%2)"/>
      <w:lvlJc w:val="left"/>
      <w:pPr>
        <w:ind w:left="1080" w:hanging="360"/>
      </w:pPr>
    </w:lvl>
    <w:lvl w:ilvl="2" w:tplc="73E0E1A2">
      <w:start w:val="1"/>
      <w:numFmt w:val="lowerRoman"/>
      <w:lvlText w:val="%3."/>
      <w:lvlJc w:val="right"/>
      <w:pPr>
        <w:ind w:left="1800" w:hanging="180"/>
      </w:pPr>
    </w:lvl>
    <w:lvl w:ilvl="3" w:tplc="9454BD8A">
      <w:start w:val="1"/>
      <w:numFmt w:val="decimal"/>
      <w:lvlText w:val="%4."/>
      <w:lvlJc w:val="left"/>
      <w:pPr>
        <w:ind w:left="2520" w:hanging="360"/>
      </w:pPr>
    </w:lvl>
    <w:lvl w:ilvl="4" w:tplc="F9B426E2">
      <w:start w:val="1"/>
      <w:numFmt w:val="lowerLetter"/>
      <w:lvlText w:val="%5."/>
      <w:lvlJc w:val="left"/>
      <w:pPr>
        <w:ind w:left="3240" w:hanging="360"/>
      </w:pPr>
    </w:lvl>
    <w:lvl w:ilvl="5" w:tplc="0F22E714">
      <w:start w:val="1"/>
      <w:numFmt w:val="lowerRoman"/>
      <w:lvlText w:val="%6."/>
      <w:lvlJc w:val="right"/>
      <w:pPr>
        <w:ind w:left="3960" w:hanging="180"/>
      </w:pPr>
    </w:lvl>
    <w:lvl w:ilvl="6" w:tplc="ABC89742">
      <w:start w:val="1"/>
      <w:numFmt w:val="decimal"/>
      <w:lvlText w:val="%7."/>
      <w:lvlJc w:val="left"/>
      <w:pPr>
        <w:ind w:left="4680" w:hanging="360"/>
      </w:pPr>
    </w:lvl>
    <w:lvl w:ilvl="7" w:tplc="6DC48CF6">
      <w:start w:val="1"/>
      <w:numFmt w:val="lowerLetter"/>
      <w:lvlText w:val="%8."/>
      <w:lvlJc w:val="left"/>
      <w:pPr>
        <w:ind w:left="5400" w:hanging="360"/>
      </w:pPr>
    </w:lvl>
    <w:lvl w:ilvl="8" w:tplc="5D620D2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116C3C"/>
    <w:multiLevelType w:val="hybridMultilevel"/>
    <w:tmpl w:val="00000000"/>
    <w:lvl w:ilvl="0" w:tplc="15827F4E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3C6C50DA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4C142A04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3264A98C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EDC64E7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E8AFE7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B1686D00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F8CAEA6E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306A990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8">
    <w:nsid w:val="42D40F2D"/>
    <w:multiLevelType w:val="hybridMultilevel"/>
    <w:tmpl w:val="00000000"/>
    <w:lvl w:ilvl="0" w:tplc="6F522C64">
      <w:start w:val="1"/>
      <w:numFmt w:val="lowerLetter"/>
      <w:lvlText w:val="%1)"/>
      <w:lvlJc w:val="left"/>
      <w:pPr>
        <w:ind w:left="360" w:hanging="360"/>
      </w:pPr>
    </w:lvl>
    <w:lvl w:ilvl="1" w:tplc="7F4AD30E">
      <w:start w:val="1"/>
      <w:numFmt w:val="lowerLetter"/>
      <w:lvlText w:val="%2)"/>
      <w:lvlJc w:val="left"/>
      <w:pPr>
        <w:ind w:left="1080" w:hanging="360"/>
      </w:pPr>
    </w:lvl>
    <w:lvl w:ilvl="2" w:tplc="6602DD98">
      <w:start w:val="1"/>
      <w:numFmt w:val="lowerRoman"/>
      <w:lvlText w:val="%3."/>
      <w:lvlJc w:val="right"/>
      <w:pPr>
        <w:ind w:left="1800" w:hanging="180"/>
      </w:pPr>
    </w:lvl>
    <w:lvl w:ilvl="3" w:tplc="C04A6C0A">
      <w:start w:val="1"/>
      <w:numFmt w:val="decimal"/>
      <w:lvlText w:val="%4."/>
      <w:lvlJc w:val="left"/>
      <w:pPr>
        <w:ind w:left="2520" w:hanging="360"/>
      </w:pPr>
    </w:lvl>
    <w:lvl w:ilvl="4" w:tplc="33CEBDCE">
      <w:start w:val="1"/>
      <w:numFmt w:val="lowerLetter"/>
      <w:lvlText w:val="%5."/>
      <w:lvlJc w:val="left"/>
      <w:pPr>
        <w:ind w:left="3240" w:hanging="360"/>
      </w:pPr>
    </w:lvl>
    <w:lvl w:ilvl="5" w:tplc="1C926CE6">
      <w:start w:val="1"/>
      <w:numFmt w:val="lowerRoman"/>
      <w:lvlText w:val="%6."/>
      <w:lvlJc w:val="right"/>
      <w:pPr>
        <w:ind w:left="3960" w:hanging="180"/>
      </w:pPr>
    </w:lvl>
    <w:lvl w:ilvl="6" w:tplc="152C7D94">
      <w:start w:val="1"/>
      <w:numFmt w:val="decimal"/>
      <w:lvlText w:val="%7."/>
      <w:lvlJc w:val="left"/>
      <w:pPr>
        <w:ind w:left="4680" w:hanging="360"/>
      </w:pPr>
    </w:lvl>
    <w:lvl w:ilvl="7" w:tplc="22A0C0DE">
      <w:start w:val="1"/>
      <w:numFmt w:val="lowerLetter"/>
      <w:lvlText w:val="%8."/>
      <w:lvlJc w:val="left"/>
      <w:pPr>
        <w:ind w:left="5400" w:hanging="360"/>
      </w:pPr>
    </w:lvl>
    <w:lvl w:ilvl="8" w:tplc="AE7079C4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B907A"/>
    <w:multiLevelType w:val="hybridMultilevel"/>
    <w:tmpl w:val="00000000"/>
    <w:lvl w:ilvl="0" w:tplc="42226E82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E7541F2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61FECE2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5270E67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F8D46BBC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9446ED3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BC4F622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8906548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9AA0F5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0">
    <w:nsid w:val="4F6D46C8"/>
    <w:multiLevelType w:val="hybridMultilevel"/>
    <w:tmpl w:val="00000000"/>
    <w:lvl w:ilvl="0" w:tplc="93604A0C">
      <w:start w:val="1"/>
      <w:numFmt w:val="decimal"/>
      <w:lvlText w:val="%1."/>
      <w:lvlJc w:val="left"/>
      <w:pPr>
        <w:ind w:left="720" w:hanging="360"/>
      </w:pPr>
    </w:lvl>
    <w:lvl w:ilvl="1" w:tplc="2DAEF32C">
      <w:start w:val="1"/>
      <w:numFmt w:val="lowerLetter"/>
      <w:lvlText w:val="%2."/>
      <w:lvlJc w:val="left"/>
      <w:pPr>
        <w:ind w:left="1440" w:hanging="360"/>
      </w:pPr>
    </w:lvl>
    <w:lvl w:ilvl="2" w:tplc="92F408BC">
      <w:start w:val="1"/>
      <w:numFmt w:val="lowerRoman"/>
      <w:lvlText w:val="%3."/>
      <w:lvlJc w:val="right"/>
      <w:pPr>
        <w:ind w:left="2160" w:hanging="180"/>
      </w:pPr>
    </w:lvl>
    <w:lvl w:ilvl="3" w:tplc="6E52C9FC">
      <w:start w:val="1"/>
      <w:numFmt w:val="decimal"/>
      <w:lvlText w:val="%4."/>
      <w:lvlJc w:val="left"/>
      <w:pPr>
        <w:ind w:left="2880" w:hanging="360"/>
      </w:pPr>
    </w:lvl>
    <w:lvl w:ilvl="4" w:tplc="829066BE">
      <w:start w:val="1"/>
      <w:numFmt w:val="lowerLetter"/>
      <w:lvlText w:val="%5."/>
      <w:lvlJc w:val="left"/>
      <w:pPr>
        <w:ind w:left="3600" w:hanging="360"/>
      </w:pPr>
    </w:lvl>
    <w:lvl w:ilvl="5" w:tplc="FDF09EAA">
      <w:start w:val="1"/>
      <w:numFmt w:val="lowerRoman"/>
      <w:lvlText w:val="%6."/>
      <w:lvlJc w:val="right"/>
      <w:pPr>
        <w:ind w:left="4320" w:hanging="180"/>
      </w:pPr>
    </w:lvl>
    <w:lvl w:ilvl="6" w:tplc="7A92BF50">
      <w:start w:val="1"/>
      <w:numFmt w:val="decimal"/>
      <w:lvlText w:val="%7."/>
      <w:lvlJc w:val="left"/>
      <w:pPr>
        <w:ind w:left="5040" w:hanging="360"/>
      </w:pPr>
    </w:lvl>
    <w:lvl w:ilvl="7" w:tplc="EBFA983C">
      <w:start w:val="1"/>
      <w:numFmt w:val="lowerLetter"/>
      <w:lvlText w:val="%8."/>
      <w:lvlJc w:val="left"/>
      <w:pPr>
        <w:ind w:left="5760" w:hanging="360"/>
      </w:pPr>
    </w:lvl>
    <w:lvl w:ilvl="8" w:tplc="C21C4F7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B7BD"/>
    <w:multiLevelType w:val="hybridMultilevel"/>
    <w:tmpl w:val="00000000"/>
    <w:lvl w:ilvl="0" w:tplc="16A86D68">
      <w:start w:val="1"/>
      <w:numFmt w:val="decimal"/>
      <w:lvlText w:val="%1)"/>
      <w:lvlJc w:val="left"/>
      <w:pPr>
        <w:ind w:left="360" w:hanging="360"/>
      </w:pPr>
    </w:lvl>
    <w:lvl w:ilvl="1" w:tplc="BA8AB17A">
      <w:start w:val="1"/>
      <w:numFmt w:val="lowerLetter"/>
      <w:lvlText w:val="%2)"/>
      <w:lvlJc w:val="left"/>
      <w:pPr>
        <w:ind w:left="1080" w:hanging="360"/>
      </w:pPr>
    </w:lvl>
    <w:lvl w:ilvl="2" w:tplc="28D2695A">
      <w:start w:val="1"/>
      <w:numFmt w:val="lowerRoman"/>
      <w:lvlText w:val="%3."/>
      <w:lvlJc w:val="right"/>
      <w:pPr>
        <w:ind w:left="1800" w:hanging="180"/>
      </w:pPr>
    </w:lvl>
    <w:lvl w:ilvl="3" w:tplc="0CEAE644">
      <w:start w:val="1"/>
      <w:numFmt w:val="decimal"/>
      <w:lvlText w:val="%4."/>
      <w:lvlJc w:val="left"/>
      <w:pPr>
        <w:ind w:left="2520" w:hanging="360"/>
      </w:pPr>
    </w:lvl>
    <w:lvl w:ilvl="4" w:tplc="594C1A8E">
      <w:start w:val="1"/>
      <w:numFmt w:val="lowerLetter"/>
      <w:lvlText w:val="%5."/>
      <w:lvlJc w:val="left"/>
      <w:pPr>
        <w:ind w:left="3240" w:hanging="360"/>
      </w:pPr>
    </w:lvl>
    <w:lvl w:ilvl="5" w:tplc="FB1E5C70">
      <w:start w:val="1"/>
      <w:numFmt w:val="lowerRoman"/>
      <w:lvlText w:val="%6."/>
      <w:lvlJc w:val="right"/>
      <w:pPr>
        <w:ind w:left="3960" w:hanging="180"/>
      </w:pPr>
    </w:lvl>
    <w:lvl w:ilvl="6" w:tplc="AFA02C64">
      <w:start w:val="1"/>
      <w:numFmt w:val="decimal"/>
      <w:lvlText w:val="%7."/>
      <w:lvlJc w:val="left"/>
      <w:pPr>
        <w:ind w:left="4680" w:hanging="360"/>
      </w:pPr>
    </w:lvl>
    <w:lvl w:ilvl="7" w:tplc="41CA5FC8">
      <w:start w:val="1"/>
      <w:numFmt w:val="lowerLetter"/>
      <w:lvlText w:val="%8."/>
      <w:lvlJc w:val="left"/>
      <w:pPr>
        <w:ind w:left="5400" w:hanging="360"/>
      </w:pPr>
    </w:lvl>
    <w:lvl w:ilvl="8" w:tplc="D78A6ED4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F1750"/>
    <w:multiLevelType w:val="hybridMultilevel"/>
    <w:tmpl w:val="00000000"/>
    <w:lvl w:ilvl="0" w:tplc="915048BA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82380C06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C36EEE10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712E5BC6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2376B9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A2F8A784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6845E86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BF107F30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C1B269A0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3">
    <w:nsid w:val="613859CD"/>
    <w:multiLevelType w:val="hybridMultilevel"/>
    <w:tmpl w:val="00000000"/>
    <w:lvl w:ilvl="0" w:tplc="9E7EC6D0">
      <w:start w:val="1"/>
      <w:numFmt w:val="decimal"/>
      <w:lvlText w:val="%1)"/>
      <w:lvlJc w:val="left"/>
      <w:pPr>
        <w:ind w:left="360" w:hanging="360"/>
      </w:pPr>
    </w:lvl>
    <w:lvl w:ilvl="1" w:tplc="A7643382">
      <w:start w:val="1"/>
      <w:numFmt w:val="lowerLetter"/>
      <w:lvlText w:val="%2)"/>
      <w:lvlJc w:val="left"/>
      <w:pPr>
        <w:ind w:left="1080" w:hanging="360"/>
      </w:pPr>
    </w:lvl>
    <w:lvl w:ilvl="2" w:tplc="8320E86A">
      <w:start w:val="1"/>
      <w:numFmt w:val="lowerRoman"/>
      <w:lvlText w:val="%3."/>
      <w:lvlJc w:val="right"/>
      <w:pPr>
        <w:ind w:left="1800" w:hanging="180"/>
      </w:pPr>
    </w:lvl>
    <w:lvl w:ilvl="3" w:tplc="CB5286A0">
      <w:start w:val="1"/>
      <w:numFmt w:val="decimal"/>
      <w:lvlText w:val="%4."/>
      <w:lvlJc w:val="left"/>
      <w:pPr>
        <w:ind w:left="2520" w:hanging="360"/>
      </w:pPr>
    </w:lvl>
    <w:lvl w:ilvl="4" w:tplc="0E820F44">
      <w:start w:val="1"/>
      <w:numFmt w:val="lowerLetter"/>
      <w:lvlText w:val="%5."/>
      <w:lvlJc w:val="left"/>
      <w:pPr>
        <w:ind w:left="3240" w:hanging="360"/>
      </w:pPr>
    </w:lvl>
    <w:lvl w:ilvl="5" w:tplc="FDBEEBB4">
      <w:start w:val="1"/>
      <w:numFmt w:val="lowerRoman"/>
      <w:lvlText w:val="%6."/>
      <w:lvlJc w:val="right"/>
      <w:pPr>
        <w:ind w:left="3960" w:hanging="180"/>
      </w:pPr>
    </w:lvl>
    <w:lvl w:ilvl="6" w:tplc="DD72EBE6">
      <w:start w:val="1"/>
      <w:numFmt w:val="decimal"/>
      <w:lvlText w:val="%7."/>
      <w:lvlJc w:val="left"/>
      <w:pPr>
        <w:ind w:left="4680" w:hanging="360"/>
      </w:pPr>
    </w:lvl>
    <w:lvl w:ilvl="7" w:tplc="6BAE85BE">
      <w:start w:val="1"/>
      <w:numFmt w:val="lowerLetter"/>
      <w:lvlText w:val="%8."/>
      <w:lvlJc w:val="left"/>
      <w:pPr>
        <w:ind w:left="5400" w:hanging="360"/>
      </w:pPr>
    </w:lvl>
    <w:lvl w:ilvl="8" w:tplc="38269A02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DFD17"/>
    <w:multiLevelType w:val="hybridMultilevel"/>
    <w:tmpl w:val="00000000"/>
    <w:lvl w:ilvl="0" w:tplc="242E7174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F7DE96B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A176D6C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278A3B5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40D472F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EFFAD60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1E60897A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AB1E10C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9702A644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1C5C"/>
    <w:rsid w:val="00531BDC"/>
    <w:rsid w:val="008C790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905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rsid w:val="008C7905"/>
    <w:pPr>
      <w:keepNext/>
      <w:spacing w:before="240" w:after="60"/>
      <w:jc w:val="left"/>
      <w:outlineLvl w:val="0"/>
    </w:pPr>
    <w:rPr>
      <w:b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C7905"/>
    <w:pPr>
      <w:tabs>
        <w:tab w:val="center" w:pos="4536"/>
        <w:tab w:val="right" w:pos="9072"/>
      </w:tabs>
      <w:jc w:val="left"/>
    </w:pPr>
    <w:rPr>
      <w:szCs w:val="20"/>
      <w:lang w:eastAsia="en-US" w:bidi="ar-SA"/>
    </w:rPr>
  </w:style>
  <w:style w:type="character" w:styleId="Numerstrony">
    <w:name w:val="page number"/>
    <w:basedOn w:val="Domylnaczcionkaakapitu"/>
    <w:rsid w:val="008C7905"/>
    <w:rPr>
      <w:rFonts w:ascii="Times New Roman" w:hAnsi="Times New Roman"/>
      <w:color w:val="auto"/>
      <w:sz w:val="24"/>
      <w:shd w:val="clear" w:color="auto" w:fill="auto"/>
      <w:lang/>
    </w:rPr>
  </w:style>
  <w:style w:type="paragraph" w:styleId="Akapitzlist">
    <w:name w:val="List Paragraph"/>
    <w:basedOn w:val="Normalny"/>
    <w:rsid w:val="008C7905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0"/>
      <w:lang w:val="en-US" w:eastAsia="en-US" w:bidi="en-US"/>
    </w:rPr>
  </w:style>
  <w:style w:type="paragraph" w:styleId="NormalnyWeb">
    <w:name w:val="Normal (Web)"/>
    <w:basedOn w:val="Normalny"/>
    <w:rsid w:val="008C7905"/>
    <w:pPr>
      <w:spacing w:beforeAutospacing="1" w:afterAutospacing="1"/>
      <w:jc w:val="left"/>
    </w:pPr>
    <w:rPr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2886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oceny sytuacji ekonomiczno-finansowej
samodzielnego publicznego zakładu opieki zdrowotnej o^nazwie Miejskie Centrum Medyczne „Bałuty” w^Łodzi, na podstawie raportu o^sytuacji 
ekonomiczno-finansowej za rok 2021.</dc:subject>
  <dc:creator>elukowicz</dc:creator>
  <cp:lastModifiedBy>sstanczyk</cp:lastModifiedBy>
  <cp:revision>2</cp:revision>
  <dcterms:created xsi:type="dcterms:W3CDTF">2022-12-05T12:28:00Z</dcterms:created>
  <dcterms:modified xsi:type="dcterms:W3CDTF">2022-12-05T12:19:00Z</dcterms:modified>
  <cp:category>Akt prawny</cp:category>
</cp:coreProperties>
</file>