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47413B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A77B3E" w:rsidRDefault="00260BC8" w:rsidP="00BF19AE">
            <w:pPr>
              <w:ind w:left="6236" w:hanging="282"/>
              <w:jc w:val="left"/>
            </w:pPr>
            <w:r>
              <w:t>Druk Nr</w:t>
            </w:r>
            <w:r w:rsidR="00BF19AE">
              <w:t xml:space="preserve"> 290/2022</w:t>
            </w:r>
          </w:p>
          <w:p w:rsidR="00A77B3E" w:rsidRDefault="00260BC8" w:rsidP="00BF19AE">
            <w:pPr>
              <w:ind w:left="6236" w:hanging="282"/>
              <w:jc w:val="left"/>
            </w:pPr>
            <w:r>
              <w:t>Projekt z dnia</w:t>
            </w:r>
            <w:r w:rsidR="00BF19AE">
              <w:t xml:space="preserve"> 5 grudnia 2022 r.</w:t>
            </w:r>
          </w:p>
          <w:p w:rsidR="00A77B3E" w:rsidRDefault="00A77B3E">
            <w:pPr>
              <w:ind w:left="6236"/>
              <w:jc w:val="left"/>
            </w:pPr>
          </w:p>
        </w:tc>
      </w:tr>
    </w:tbl>
    <w:p w:rsidR="00A77B3E" w:rsidRDefault="00A77B3E"/>
    <w:p w:rsidR="00A77B3E" w:rsidRDefault="00260BC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260BC8">
      <w:pPr>
        <w:spacing w:after="240"/>
        <w:rPr>
          <w:b/>
          <w:caps/>
        </w:rPr>
      </w:pPr>
      <w:r>
        <w:rPr>
          <w:b/>
        </w:rPr>
        <w:t>z dnia                      2022 r.</w:t>
      </w:r>
    </w:p>
    <w:p w:rsidR="00A77B3E" w:rsidRDefault="00260BC8">
      <w:pPr>
        <w:keepNext/>
        <w:spacing w:after="240"/>
      </w:pPr>
      <w:r>
        <w:rPr>
          <w:b/>
        </w:rPr>
        <w:t>w sprawie oceny sytuacji ekonomiczno-finansowej</w:t>
      </w:r>
      <w:r>
        <w:rPr>
          <w:b/>
        </w:rPr>
        <w:br/>
        <w:t xml:space="preserve">samodzielnego publicznego zakładu opieki zdrowotnej o nazwie Miejskie Centrum Medyczne </w:t>
      </w:r>
      <w:r>
        <w:rPr>
          <w:b/>
        </w:rPr>
        <w:t>„Górna” w Łodzi, na podstawie raportu o sytuacji</w:t>
      </w:r>
      <w:r>
        <w:rPr>
          <w:b/>
        </w:rPr>
        <w:br/>
        <w:t>ekonomiczno-finansowej za rok 2021.</w:t>
      </w:r>
    </w:p>
    <w:p w:rsidR="00A77B3E" w:rsidRDefault="00260BC8">
      <w:pPr>
        <w:keepLines/>
        <w:spacing w:before="120" w:after="120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samorządzie gminnym (Dz. U. z 2022 r. poz. 559, 583, 1005, 1079 i 1561) oraz art. 53a ust. 4 ustawy z dn</w:t>
      </w:r>
      <w:r>
        <w:t>ia 15 kwietnia 2011 r. o działalności leczniczej (Dz. U. z 2022 r. poz. 633, 655, 974 i 1079), Rada Miejska w Łodzi</w:t>
      </w:r>
    </w:p>
    <w:p w:rsidR="00A77B3E" w:rsidRDefault="00260BC8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260BC8">
      <w:pPr>
        <w:keepLines/>
        <w:spacing w:before="240" w:after="120"/>
        <w:ind w:firstLine="567"/>
        <w:jc w:val="both"/>
      </w:pPr>
      <w:r>
        <w:t>§ 1. </w:t>
      </w:r>
      <w:r>
        <w:t xml:space="preserve">Dokonuje się oceny sytuacji ekonomiczno-finansowej samodzielnego publicznego zakładu opieki zdrowotnej o nazwie </w:t>
      </w:r>
      <w:r>
        <w:t>Miejskie Centrum Medyczne „Górna” w Łodzi,</w:t>
      </w:r>
      <w:r>
        <w:br/>
        <w:t>na podstawie raportu o sytuacji ekonomiczno-finansowej sporządzonego za rok 2021,</w:t>
      </w:r>
      <w:r>
        <w:br/>
        <w:t>w brzmieniu stanowiącym załącznik do uchwały.</w:t>
      </w:r>
    </w:p>
    <w:p w:rsidR="00A77B3E" w:rsidRDefault="00260BC8">
      <w:pPr>
        <w:keepLines/>
        <w:spacing w:before="240" w:after="120"/>
        <w:ind w:firstLine="567"/>
        <w:jc w:val="both"/>
      </w:pPr>
      <w:r>
        <w:t>§ 2. </w:t>
      </w:r>
      <w:r>
        <w:t>Wykonanie uchwały powierza się Prezydentowi Miasta Łodzi.</w:t>
      </w:r>
    </w:p>
    <w:p w:rsidR="00A77B3E" w:rsidRDefault="00260BC8">
      <w:pPr>
        <w:keepNext/>
        <w:keepLines/>
        <w:spacing w:before="240" w:after="120"/>
        <w:ind w:firstLine="567"/>
        <w:jc w:val="both"/>
      </w:pPr>
      <w:r>
        <w:t>§ 3. </w:t>
      </w:r>
      <w:r>
        <w:t xml:space="preserve">Uchwała wchodzi </w:t>
      </w:r>
      <w:r>
        <w:t>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47413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3B" w:rsidRDefault="0047413B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3B" w:rsidRDefault="00260BC8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 Miejskiej 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>
              <w:rPr>
                <w:b/>
              </w:rPr>
              <w:t>Marcin^GOŁASZEWSKI</w:t>
            </w:r>
            <w:proofErr w:type="spellEnd"/>
          </w:p>
        </w:tc>
      </w:tr>
    </w:tbl>
    <w:p w:rsidR="00A77B3E" w:rsidRDefault="00260BC8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260BC8">
      <w:pPr>
        <w:spacing w:before="120" w:after="120"/>
        <w:ind w:left="283" w:firstLine="227"/>
        <w:jc w:val="both"/>
      </w:pPr>
      <w:r>
        <w:t>Prezydent Miasta Łodzi</w:t>
      </w:r>
    </w:p>
    <w:p w:rsidR="00A77B3E" w:rsidRDefault="00A77B3E">
      <w:pPr>
        <w:spacing w:before="120" w:after="120"/>
        <w:ind w:left="283" w:firstLine="227"/>
        <w:jc w:val="both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413B" w:rsidRDefault="00260BC8">
      <w:pPr>
        <w:keepNext/>
        <w:ind w:left="5415" w:firstLine="285"/>
        <w:jc w:val="left"/>
        <w:outlineLvl w:val="0"/>
        <w:rPr>
          <w:szCs w:val="20"/>
          <w:lang w:eastAsia="en-US" w:bidi="ar-SA"/>
        </w:rPr>
      </w:pPr>
      <w:r>
        <w:rPr>
          <w:szCs w:val="20"/>
          <w:lang w:eastAsia="en-US" w:bidi="ar-SA"/>
        </w:rPr>
        <w:lastRenderedPageBreak/>
        <w:t>Załącznik</w:t>
      </w:r>
    </w:p>
    <w:p w:rsidR="0047413B" w:rsidRDefault="00260BC8">
      <w:pPr>
        <w:keepNext/>
        <w:ind w:left="5415" w:firstLine="285"/>
        <w:jc w:val="left"/>
        <w:outlineLvl w:val="0"/>
        <w:rPr>
          <w:szCs w:val="20"/>
          <w:lang w:eastAsia="en-US" w:bidi="ar-SA"/>
        </w:rPr>
      </w:pPr>
      <w:r>
        <w:rPr>
          <w:szCs w:val="20"/>
          <w:lang w:eastAsia="en-US" w:bidi="ar-SA"/>
        </w:rPr>
        <w:t xml:space="preserve">do uchwały Nr </w:t>
      </w:r>
    </w:p>
    <w:p w:rsidR="0047413B" w:rsidRDefault="00260BC8">
      <w:pPr>
        <w:keepNext/>
        <w:ind w:left="5415" w:firstLine="285"/>
        <w:jc w:val="left"/>
        <w:outlineLvl w:val="0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Rady Miejskiej w Łodzi</w:t>
      </w:r>
    </w:p>
    <w:p w:rsidR="0047413B" w:rsidRDefault="00260BC8">
      <w:pPr>
        <w:keepNext/>
        <w:ind w:left="5415" w:firstLine="285"/>
        <w:jc w:val="left"/>
        <w:outlineLvl w:val="0"/>
        <w:rPr>
          <w:szCs w:val="20"/>
          <w:lang w:eastAsia="en-US" w:bidi="ar-SA"/>
        </w:rPr>
      </w:pPr>
      <w:r>
        <w:rPr>
          <w:szCs w:val="20"/>
          <w:lang w:eastAsia="en-US" w:bidi="ar-SA"/>
        </w:rPr>
        <w:t xml:space="preserve">z dnia </w:t>
      </w:r>
    </w:p>
    <w:p w:rsidR="0047413B" w:rsidRDefault="0047413B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47413B" w:rsidRDefault="00260BC8">
      <w:pPr>
        <w:keepNext/>
        <w:spacing w:before="240" w:after="60"/>
        <w:outlineLvl w:val="0"/>
        <w:rPr>
          <w:b/>
          <w:szCs w:val="20"/>
          <w:lang w:eastAsia="en-US" w:bidi="ar-SA"/>
        </w:rPr>
      </w:pPr>
      <w:r>
        <w:rPr>
          <w:b/>
          <w:szCs w:val="20"/>
          <w:lang w:eastAsia="en-US" w:bidi="ar-SA"/>
        </w:rPr>
        <w:t xml:space="preserve">Ocena sytuacji ekonomiczno-finansowej </w:t>
      </w:r>
      <w:r>
        <w:rPr>
          <w:b/>
          <w:szCs w:val="20"/>
          <w:lang w:eastAsia="en-US" w:bidi="ar-SA"/>
        </w:rPr>
        <w:br/>
        <w:t xml:space="preserve">Miejskiego Centrum Medycznego „Górna” w Łodzi </w:t>
      </w:r>
      <w:r>
        <w:rPr>
          <w:b/>
          <w:szCs w:val="20"/>
          <w:lang w:eastAsia="en-US" w:bidi="ar-SA"/>
        </w:rPr>
        <w:br/>
        <w:t>na podstawie raportu o sytuacji ekonomiczno-finansowej za rok 2021</w:t>
      </w:r>
      <w:r>
        <w:rPr>
          <w:b/>
          <w:szCs w:val="20"/>
        </w:rPr>
        <w:t>.</w:t>
      </w:r>
    </w:p>
    <w:p w:rsidR="0047413B" w:rsidRDefault="00260BC8">
      <w:pPr>
        <w:tabs>
          <w:tab w:val="left" w:pos="284"/>
          <w:tab w:val="left" w:pos="360"/>
        </w:tabs>
        <w:spacing w:before="24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Miejskie Centrum Medyczne „Górna” w Łodzi, zwane dalej MCM „Górna” w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Łodzi, przedstawiło raport prezentujący sytuację ekonomiczno-finansową jednostki w roku obrotowym 2021 roku oraz prognozę ekonomiczno-finansową na lata 2022-2024. Przedłożony dokument został sporządzony zgodnie z rozporządzeniem Ministra Zdrowia z dnia 12 </w:t>
      </w:r>
      <w:r>
        <w:rPr>
          <w:color w:val="000000"/>
          <w:szCs w:val="20"/>
          <w:shd w:val="clear" w:color="auto" w:fill="FFFFFF"/>
          <w:lang w:eastAsia="en-US" w:bidi="ar-SA"/>
        </w:rPr>
        <w:t>kwietnia 2017 r. w sprawie wskaźników ekonomiczno-finansowych niezbędnych do sporządzenia analizy oraz prognozy sytuacji ekonomiczno-finansowej samodzielnych publicznych zakładów opieki zdrowotnej (Dz. U. poz. 832), które określa:</w:t>
      </w:r>
    </w:p>
    <w:p w:rsidR="0047413B" w:rsidRDefault="00260BC8">
      <w:pPr>
        <w:numPr>
          <w:ilvl w:val="0"/>
          <w:numId w:val="1"/>
        </w:numPr>
        <w:tabs>
          <w:tab w:val="left" w:pos="284"/>
        </w:tabs>
        <w:spacing w:before="120" w:line="276" w:lineRule="auto"/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</w:rPr>
        <w:t>w</w:t>
      </w:r>
      <w:proofErr w:type="spellStart"/>
      <w:r>
        <w:rPr>
          <w:b/>
          <w:color w:val="000000"/>
          <w:szCs w:val="20"/>
          <w:shd w:val="clear" w:color="auto" w:fill="FFFFFF"/>
          <w:lang w:eastAsia="en-US" w:bidi="ar-SA"/>
        </w:rPr>
        <w:t>skaźniki</w:t>
      </w:r>
      <w:proofErr w:type="spellEnd"/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ekonomiczno-finansowe i sposób ich obliczania, prezentujące poszczególne aspekty sytuacji finansowej jednostki:</w:t>
      </w:r>
    </w:p>
    <w:p w:rsidR="0047413B" w:rsidRDefault="00260BC8">
      <w:pPr>
        <w:numPr>
          <w:ilvl w:val="0"/>
          <w:numId w:val="2"/>
        </w:numPr>
        <w:tabs>
          <w:tab w:val="left" w:pos="360"/>
          <w:tab w:val="left" w:pos="900"/>
        </w:tabs>
        <w:spacing w:before="120" w:line="276" w:lineRule="auto"/>
        <w:ind w:left="53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zyskowności tj. zdolności jednostki do generowania zysków,</w:t>
      </w:r>
    </w:p>
    <w:p w:rsidR="0047413B" w:rsidRDefault="00260BC8">
      <w:pPr>
        <w:numPr>
          <w:ilvl w:val="0"/>
          <w:numId w:val="2"/>
        </w:numPr>
        <w:tabs>
          <w:tab w:val="left" w:pos="360"/>
          <w:tab w:val="left" w:pos="900"/>
        </w:tabs>
        <w:spacing w:line="276" w:lineRule="auto"/>
        <w:ind w:left="53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płynności finansowej tj. zdolności jednostki do terminowego regulowania zaciągniętych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zobowiązań krótkoterminowych,</w:t>
      </w:r>
    </w:p>
    <w:p w:rsidR="0047413B" w:rsidRDefault="00260BC8">
      <w:pPr>
        <w:numPr>
          <w:ilvl w:val="0"/>
          <w:numId w:val="2"/>
        </w:numPr>
        <w:tabs>
          <w:tab w:val="left" w:pos="360"/>
          <w:tab w:val="left" w:pos="900"/>
        </w:tabs>
        <w:spacing w:line="276" w:lineRule="auto"/>
        <w:ind w:left="53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efektywności zarządzania przepływami finansowymi,</w:t>
      </w:r>
    </w:p>
    <w:p w:rsidR="0047413B" w:rsidRDefault="00260BC8">
      <w:pPr>
        <w:numPr>
          <w:ilvl w:val="0"/>
          <w:numId w:val="2"/>
        </w:numPr>
        <w:tabs>
          <w:tab w:val="left" w:pos="360"/>
          <w:tab w:val="left" w:pos="900"/>
        </w:tabs>
        <w:spacing w:line="276" w:lineRule="auto"/>
        <w:ind w:left="53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zadłużenia tj. stopnia finansowania aktywów kapitałami obcymi</w:t>
      </w:r>
      <w:r>
        <w:rPr>
          <w:color w:val="000000"/>
          <w:szCs w:val="20"/>
          <w:shd w:val="clear" w:color="auto" w:fill="FFFFFF"/>
        </w:rPr>
        <w:t>;</w:t>
      </w:r>
    </w:p>
    <w:p w:rsidR="0047413B" w:rsidRDefault="00260BC8">
      <w:pPr>
        <w:numPr>
          <w:ilvl w:val="0"/>
          <w:numId w:val="1"/>
        </w:numPr>
        <w:tabs>
          <w:tab w:val="left" w:pos="360"/>
        </w:tabs>
        <w:spacing w:before="120" w:line="276" w:lineRule="auto"/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</w:rPr>
        <w:t>p</w:t>
      </w:r>
      <w:proofErr w:type="spellStart"/>
      <w:r>
        <w:rPr>
          <w:b/>
          <w:color w:val="000000"/>
          <w:szCs w:val="20"/>
          <w:shd w:val="clear" w:color="auto" w:fill="FFFFFF"/>
          <w:lang w:eastAsia="en-US" w:bidi="ar-SA"/>
        </w:rPr>
        <w:t>unktowe</w:t>
      </w:r>
      <w:proofErr w:type="spellEnd"/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 oceny dla określonych przedziałów wartości wskaźników</w:t>
      </w:r>
      <w:r>
        <w:rPr>
          <w:b/>
          <w:color w:val="000000"/>
          <w:szCs w:val="20"/>
          <w:shd w:val="clear" w:color="auto" w:fill="FFFFFF"/>
        </w:rPr>
        <w:t>.</w:t>
      </w:r>
    </w:p>
    <w:p w:rsidR="0047413B" w:rsidRDefault="00260BC8">
      <w:pPr>
        <w:tabs>
          <w:tab w:val="left" w:pos="360"/>
        </w:tabs>
        <w:spacing w:before="120" w:after="20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Sumaryczna, maksymalna możliwa ocena punktowa ws</w:t>
      </w:r>
      <w:r>
        <w:rPr>
          <w:color w:val="000000"/>
          <w:szCs w:val="20"/>
          <w:shd w:val="clear" w:color="auto" w:fill="FFFFFF"/>
          <w:lang w:eastAsia="en-US" w:bidi="ar-SA"/>
        </w:rPr>
        <w:t>zystkich wskaźników ekonomiczno-finansowych dla SPZOZ wynikająca z ww. rozporządzenia (za dany rok) wynosi 70 pkt.</w:t>
      </w:r>
    </w:p>
    <w:p w:rsidR="0047413B" w:rsidRDefault="00260BC8">
      <w:pPr>
        <w:tabs>
          <w:tab w:val="left" w:pos="360"/>
        </w:tabs>
        <w:spacing w:after="20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Ocena formalno-merytoryczna</w:t>
      </w:r>
    </w:p>
    <w:p w:rsidR="0047413B" w:rsidRDefault="00260BC8">
      <w:pPr>
        <w:tabs>
          <w:tab w:val="left" w:pos="360"/>
        </w:tabs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ab/>
        <w:t>MCM „Górna” w Łodzi przedstawiło raport, który zawiera obowiązkowe elementy wymienione w ww. rozporządzeniu. Prz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edstawione w nim punktowe wartości wskaźników zostały wyliczone przez jednostkę prawidłowo i mają swoje odzwierciedlenie w składowych sprawozdania finansowego MCM „Górna” w Łodzi, tj. bilansie oraz rachunku zysków i strat za 2021 rok oraz prognozy na lata </w:t>
      </w:r>
      <w:r>
        <w:rPr>
          <w:color w:val="000000"/>
          <w:szCs w:val="20"/>
          <w:shd w:val="clear" w:color="auto" w:fill="FFFFFF"/>
          <w:lang w:eastAsia="en-US" w:bidi="ar-SA"/>
        </w:rPr>
        <w:t>2022-2024. Przyjęte w raporcie założenia oraz kierunki działań pozwalają na dalsze funkcjonowanie jednostki, która działalność leczniczą realizuje w zakresie: podstawowej (POZ) i ambulatoryjnej opieki zdrowotnej (AOS), w tym świadczeń neurologicznych, gine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kologicznych i położniczych, okulistycznych i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otolaryngologicznych,a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także rehabilitacji, stomatologii i protetyki.</w:t>
      </w:r>
    </w:p>
    <w:p w:rsidR="0047413B" w:rsidRDefault="0047413B">
      <w:pPr>
        <w:tabs>
          <w:tab w:val="left" w:pos="360"/>
        </w:tabs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47413B" w:rsidRDefault="0047413B">
      <w:pPr>
        <w:tabs>
          <w:tab w:val="left" w:pos="360"/>
        </w:tabs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47413B" w:rsidRDefault="0047413B">
      <w:pPr>
        <w:tabs>
          <w:tab w:val="left" w:pos="360"/>
        </w:tabs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47413B" w:rsidRDefault="0047413B">
      <w:pPr>
        <w:tabs>
          <w:tab w:val="left" w:pos="360"/>
        </w:tabs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47413B" w:rsidRDefault="0047413B">
      <w:pPr>
        <w:tabs>
          <w:tab w:val="left" w:pos="360"/>
        </w:tabs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47413B" w:rsidRDefault="0047413B">
      <w:pPr>
        <w:tabs>
          <w:tab w:val="left" w:pos="360"/>
        </w:tabs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47413B" w:rsidRDefault="00260BC8">
      <w:pPr>
        <w:keepNext/>
        <w:spacing w:before="240" w:after="60"/>
        <w:jc w:val="left"/>
        <w:outlineLvl w:val="0"/>
        <w:rPr>
          <w:b/>
          <w:szCs w:val="20"/>
          <w:lang w:eastAsia="en-US" w:bidi="ar-SA"/>
        </w:rPr>
      </w:pPr>
      <w:r>
        <w:rPr>
          <w:b/>
          <w:szCs w:val="20"/>
          <w:lang w:eastAsia="en-US" w:bidi="ar-SA"/>
        </w:rPr>
        <w:lastRenderedPageBreak/>
        <w:t>Wskaźniki MCM „Górna” w Łodzi za rok 2021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259"/>
        <w:gridCol w:w="4657"/>
        <w:gridCol w:w="1379"/>
        <w:gridCol w:w="1485"/>
      </w:tblGrid>
      <w:tr w:rsidR="0047413B">
        <w:trPr>
          <w:trHeight w:val="66"/>
        </w:trPr>
        <w:tc>
          <w:tcPr>
            <w:tcW w:w="11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Grupa</w:t>
            </w:r>
          </w:p>
        </w:tc>
        <w:tc>
          <w:tcPr>
            <w:tcW w:w="23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Wskaźniki</w:t>
            </w:r>
          </w:p>
        </w:tc>
        <w:tc>
          <w:tcPr>
            <w:tcW w:w="1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2021</w:t>
            </w:r>
          </w:p>
        </w:tc>
      </w:tr>
      <w:tr w:rsidR="0047413B">
        <w:trPr>
          <w:trHeight w:val="764"/>
        </w:trPr>
        <w:tc>
          <w:tcPr>
            <w:tcW w:w="11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3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47413B" w:rsidRDefault="00260BC8">
            <w:pPr>
              <w:ind w:left="650" w:hanging="650"/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Wskaźnik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Ilość punktów</w:t>
            </w:r>
          </w:p>
        </w:tc>
      </w:tr>
      <w:tr w:rsidR="0047413B">
        <w:trPr>
          <w:trHeight w:val="548"/>
        </w:trPr>
        <w:tc>
          <w:tcPr>
            <w:tcW w:w="1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WSKAŹNIKI ZYSKOWNOŚCI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zyskowności  netto  (%)                                                         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3,21%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4</w:t>
            </w:r>
          </w:p>
        </w:tc>
      </w:tr>
      <w:tr w:rsidR="0047413B">
        <w:trPr>
          <w:trHeight w:val="616"/>
        </w:trPr>
        <w:tc>
          <w:tcPr>
            <w:tcW w:w="1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zyskowności działalności operacyjnej (%)          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3,23%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4</w:t>
            </w:r>
          </w:p>
        </w:tc>
      </w:tr>
      <w:tr w:rsidR="0047413B">
        <w:trPr>
          <w:trHeight w:val="554"/>
        </w:trPr>
        <w:tc>
          <w:tcPr>
            <w:tcW w:w="1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381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zyskowność aktywów (%)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4,19%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5</w:t>
            </w:r>
          </w:p>
        </w:tc>
      </w:tr>
      <w:tr w:rsidR="0047413B">
        <w:trPr>
          <w:trHeight w:val="524"/>
        </w:trPr>
        <w:tc>
          <w:tcPr>
            <w:tcW w:w="35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 xml:space="preserve">Maksymalna ocena punktowa 15 </w:t>
            </w:r>
            <w:proofErr w:type="spellStart"/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pkt</w:t>
            </w:r>
            <w:proofErr w:type="spellEnd"/>
          </w:p>
        </w:tc>
        <w:tc>
          <w:tcPr>
            <w:tcW w:w="70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47413B" w:rsidRDefault="00260BC8">
            <w:pPr>
              <w:jc w:val="left"/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Razem</w:t>
            </w:r>
          </w:p>
        </w:tc>
        <w:tc>
          <w:tcPr>
            <w:tcW w:w="7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13 (86,67%)</w:t>
            </w:r>
          </w:p>
        </w:tc>
      </w:tr>
      <w:tr w:rsidR="0047413B">
        <w:trPr>
          <w:trHeight w:val="496"/>
        </w:trPr>
        <w:tc>
          <w:tcPr>
            <w:tcW w:w="1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 xml:space="preserve">WSKAŹNIKI </w:t>
            </w: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PŁYNNOŚCI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bieżącej płynności                                         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2,36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12</w:t>
            </w:r>
          </w:p>
        </w:tc>
      </w:tr>
      <w:tr w:rsidR="0047413B">
        <w:trPr>
          <w:trHeight w:val="550"/>
        </w:trPr>
        <w:tc>
          <w:tcPr>
            <w:tcW w:w="1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szybkiej płynności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2,30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13</w:t>
            </w:r>
          </w:p>
        </w:tc>
      </w:tr>
      <w:tr w:rsidR="0047413B">
        <w:trPr>
          <w:trHeight w:val="567"/>
        </w:trPr>
        <w:tc>
          <w:tcPr>
            <w:tcW w:w="35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7413B" w:rsidRDefault="00260BC8">
            <w:pPr>
              <w:jc w:val="left"/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 xml:space="preserve">               Maksymalna ocena punktowa 25 </w:t>
            </w:r>
            <w:proofErr w:type="spellStart"/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pkt</w:t>
            </w:r>
            <w:proofErr w:type="spellEnd"/>
          </w:p>
        </w:tc>
        <w:tc>
          <w:tcPr>
            <w:tcW w:w="70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47413B" w:rsidRDefault="00260BC8">
            <w:pPr>
              <w:jc w:val="left"/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Razem</w:t>
            </w:r>
          </w:p>
        </w:tc>
        <w:tc>
          <w:tcPr>
            <w:tcW w:w="7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25 (100%)</w:t>
            </w:r>
          </w:p>
        </w:tc>
      </w:tr>
      <w:tr w:rsidR="0047413B">
        <w:trPr>
          <w:trHeight w:val="590"/>
        </w:trPr>
        <w:tc>
          <w:tcPr>
            <w:tcW w:w="1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WSKAŹNIKI EFEKTYWNOŚCI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rotacji należności (w dniach)                         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3</w:t>
            </w:r>
          </w:p>
        </w:tc>
      </w:tr>
      <w:tr w:rsidR="0047413B">
        <w:trPr>
          <w:trHeight w:val="579"/>
        </w:trPr>
        <w:tc>
          <w:tcPr>
            <w:tcW w:w="1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rotacji zobowiązań (w dniach)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7</w:t>
            </w:r>
          </w:p>
        </w:tc>
      </w:tr>
      <w:tr w:rsidR="0047413B">
        <w:trPr>
          <w:trHeight w:val="568"/>
        </w:trPr>
        <w:tc>
          <w:tcPr>
            <w:tcW w:w="35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7413B" w:rsidRDefault="00260BC8">
            <w:pPr>
              <w:jc w:val="left"/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 xml:space="preserve">                Maksymalna ocena punktowa 10 </w:t>
            </w:r>
            <w:proofErr w:type="spellStart"/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pkt</w:t>
            </w:r>
            <w:proofErr w:type="spellEnd"/>
          </w:p>
        </w:tc>
        <w:tc>
          <w:tcPr>
            <w:tcW w:w="70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47413B" w:rsidRDefault="00260BC8">
            <w:pPr>
              <w:jc w:val="left"/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Razem</w:t>
            </w:r>
          </w:p>
        </w:tc>
        <w:tc>
          <w:tcPr>
            <w:tcW w:w="7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10 (100%)</w:t>
            </w:r>
          </w:p>
        </w:tc>
      </w:tr>
      <w:tr w:rsidR="0047413B">
        <w:trPr>
          <w:trHeight w:val="574"/>
        </w:trPr>
        <w:tc>
          <w:tcPr>
            <w:tcW w:w="1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WSKAŹNIKI ZADŁUŻENIA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zadłużenia aktywów (%)                        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17%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10</w:t>
            </w:r>
          </w:p>
        </w:tc>
      </w:tr>
      <w:tr w:rsidR="0047413B">
        <w:trPr>
          <w:trHeight w:val="593"/>
        </w:trPr>
        <w:tc>
          <w:tcPr>
            <w:tcW w:w="1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wypłacalności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0,35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10</w:t>
            </w:r>
          </w:p>
        </w:tc>
      </w:tr>
      <w:tr w:rsidR="0047413B">
        <w:trPr>
          <w:trHeight w:val="413"/>
        </w:trPr>
        <w:tc>
          <w:tcPr>
            <w:tcW w:w="35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7413B" w:rsidRDefault="00260BC8">
            <w:pPr>
              <w:jc w:val="left"/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 xml:space="preserve">                 Maksymalna ocena punktowa 20 </w:t>
            </w:r>
            <w:proofErr w:type="spellStart"/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pkt</w:t>
            </w:r>
            <w:proofErr w:type="spellEnd"/>
          </w:p>
        </w:tc>
        <w:tc>
          <w:tcPr>
            <w:tcW w:w="70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47413B" w:rsidRDefault="00260BC8">
            <w:pPr>
              <w:jc w:val="left"/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Razem</w:t>
            </w:r>
          </w:p>
        </w:tc>
        <w:tc>
          <w:tcPr>
            <w:tcW w:w="7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20 (100%)</w:t>
            </w:r>
          </w:p>
        </w:tc>
      </w:tr>
      <w:tr w:rsidR="0047413B">
        <w:trPr>
          <w:trHeight w:val="538"/>
        </w:trPr>
        <w:tc>
          <w:tcPr>
            <w:tcW w:w="35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Łączna wartość punktów osiągniętych</w:t>
            </w:r>
          </w:p>
        </w:tc>
        <w:tc>
          <w:tcPr>
            <w:tcW w:w="146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68 (97,14%)</w:t>
            </w:r>
          </w:p>
        </w:tc>
      </w:tr>
      <w:tr w:rsidR="0047413B">
        <w:trPr>
          <w:trHeight w:val="506"/>
        </w:trPr>
        <w:tc>
          <w:tcPr>
            <w:tcW w:w="35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Maksymalna  wartość punktów możliwych do osiągnięcia</w:t>
            </w:r>
          </w:p>
        </w:tc>
        <w:tc>
          <w:tcPr>
            <w:tcW w:w="146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7413B" w:rsidRDefault="00260BC8">
            <w:pP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70 (100%)</w:t>
            </w:r>
          </w:p>
        </w:tc>
      </w:tr>
    </w:tbl>
    <w:p w:rsidR="0047413B" w:rsidRDefault="00260BC8">
      <w:pPr>
        <w:spacing w:before="240" w:after="12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W 2021 rok MCM „Górna” w Łodzi osiągnęło wynik finansowy netto w wysokości </w:t>
      </w:r>
      <w:r>
        <w:rPr>
          <w:color w:val="000000"/>
          <w:szCs w:val="20"/>
          <w:shd w:val="clear" w:color="auto" w:fill="FFFFFF"/>
          <w:lang w:eastAsia="en-US" w:bidi="ar-SA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 xml:space="preserve">830.508 zł (większy o 370.339 zł niż w 2020 roku). Po dodaniu kosztów amortyzacji wzrósł on do poziomu 1.929.023 zł. Z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działalności operacyjnej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jednostka osiągnęła wynik finansowy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 xml:space="preserve">w wysokości 836.691 zł (w 2020 roku 460.461 zł), a ze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sprzedaży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126.217 zł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(w 2020 roku (-) 438 049 zł).</w:t>
      </w:r>
    </w:p>
    <w:p w:rsidR="0047413B" w:rsidRDefault="00260BC8">
      <w:pPr>
        <w:spacing w:after="12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Podmiot osiągnął 13 na 15 punktów w skumulowanej skali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wskaźników zyskowności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,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co</w:t>
      </w: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pozwala stwierdzić, że w dalszym ciągu przynosi on zyski i posiada stabilną sytuację finansową. Ogółem, przychody wyniosły 25.683.787 zł (w </w:t>
      </w:r>
      <w:r>
        <w:rPr>
          <w:color w:val="000000"/>
          <w:szCs w:val="20"/>
          <w:shd w:val="clear" w:color="auto" w:fill="FFFFFF"/>
          <w:lang w:eastAsia="en-US" w:bidi="ar-SA"/>
        </w:rPr>
        <w:t>2020 roku było to 23.986.703 zł). Wysokość kosztów wyniosła 24.853.279 zł  (w 2020 roku było to 23.526.535 zł).</w:t>
      </w:r>
    </w:p>
    <w:p w:rsidR="0047413B" w:rsidRDefault="00260BC8">
      <w:pPr>
        <w:spacing w:after="20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W ramach przychodów osiągniętych przez jednostkę, należy wskazać na kluczowe pozycje,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w postaci:</w:t>
      </w:r>
    </w:p>
    <w:p w:rsidR="0047413B" w:rsidRDefault="00260BC8">
      <w:pPr>
        <w:numPr>
          <w:ilvl w:val="0"/>
          <w:numId w:val="3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lastRenderedPageBreak/>
        <w:t xml:space="preserve">umowy z NFZ </w:t>
      </w:r>
      <w:r>
        <w:rPr>
          <w:color w:val="000000"/>
          <w:szCs w:val="20"/>
          <w:shd w:val="clear" w:color="auto" w:fill="FFFFFF"/>
          <w:lang w:eastAsia="en-US" w:bidi="ar-SA"/>
        </w:rPr>
        <w:t>– wzrost z 20.825.102 zł do 23.309</w:t>
      </w:r>
      <w:r>
        <w:rPr>
          <w:color w:val="000000"/>
          <w:szCs w:val="20"/>
          <w:shd w:val="clear" w:color="auto" w:fill="FFFFFF"/>
          <w:lang w:eastAsia="en-US" w:bidi="ar-SA"/>
        </w:rPr>
        <w:t>.793 zł, o 2.484.691 zł, w tym:</w:t>
      </w:r>
    </w:p>
    <w:p w:rsidR="0047413B" w:rsidRDefault="00260BC8">
      <w:pPr>
        <w:numPr>
          <w:ilvl w:val="1"/>
          <w:numId w:val="4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POZ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wzrost z 18.040.221 zł do 19.306.353 zł, czyli o 1.266.132 zł</w:t>
      </w:r>
      <w:r>
        <w:rPr>
          <w:color w:val="000000"/>
          <w:szCs w:val="20"/>
          <w:shd w:val="clear" w:color="auto" w:fill="FFFFFF"/>
        </w:rPr>
        <w:t>,</w:t>
      </w:r>
    </w:p>
    <w:p w:rsidR="0047413B" w:rsidRDefault="00260BC8">
      <w:pPr>
        <w:numPr>
          <w:ilvl w:val="1"/>
          <w:numId w:val="4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ambulatoryjna opieki specjalistyczna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wzrost z 1.771.442 zł do 2.444.097 zł, czyli o 672.655 zł</w:t>
      </w:r>
      <w:r>
        <w:rPr>
          <w:color w:val="000000"/>
          <w:szCs w:val="20"/>
          <w:shd w:val="clear" w:color="auto" w:fill="FFFFFF"/>
        </w:rPr>
        <w:t>,</w:t>
      </w:r>
    </w:p>
    <w:p w:rsidR="0047413B" w:rsidRDefault="00260BC8">
      <w:pPr>
        <w:numPr>
          <w:ilvl w:val="1"/>
          <w:numId w:val="4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stomatologia i ortodoncja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wzrost z 458.511 zł do 778.78</w:t>
      </w:r>
      <w:r>
        <w:rPr>
          <w:color w:val="000000"/>
          <w:szCs w:val="20"/>
          <w:shd w:val="clear" w:color="auto" w:fill="FFFFFF"/>
          <w:lang w:eastAsia="en-US" w:bidi="ar-SA"/>
        </w:rPr>
        <w:t>4 zł, o 320.273 zł</w:t>
      </w:r>
      <w:r>
        <w:rPr>
          <w:color w:val="000000"/>
          <w:szCs w:val="20"/>
          <w:shd w:val="clear" w:color="auto" w:fill="FFFFFF"/>
        </w:rPr>
        <w:t>,</w:t>
      </w:r>
    </w:p>
    <w:p w:rsidR="0047413B" w:rsidRDefault="00260BC8">
      <w:pPr>
        <w:numPr>
          <w:ilvl w:val="1"/>
          <w:numId w:val="4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rehabilitacja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wzrost z 554.928 zł do 780.559 zł, czyli o 225.631 zł;</w:t>
      </w:r>
    </w:p>
    <w:p w:rsidR="0047413B" w:rsidRDefault="00260BC8">
      <w:pPr>
        <w:numPr>
          <w:ilvl w:val="0"/>
          <w:numId w:val="3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pozostała sprzedaż NFZ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wzrost z 5.645 zł do 276.740 zł, czyli o 271.095 zł;</w:t>
      </w:r>
    </w:p>
    <w:p w:rsidR="0047413B" w:rsidRDefault="00260BC8">
      <w:pPr>
        <w:numPr>
          <w:ilvl w:val="0"/>
          <w:numId w:val="3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programy profilaktyczne Miast</w:t>
      </w:r>
      <w:r>
        <w:rPr>
          <w:b/>
          <w:color w:val="000000"/>
          <w:szCs w:val="20"/>
          <w:shd w:val="clear" w:color="auto" w:fill="FFFFFF"/>
        </w:rPr>
        <w:t>a</w:t>
      </w: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 Ł</w:t>
      </w:r>
      <w:r>
        <w:rPr>
          <w:b/>
          <w:color w:val="000000"/>
          <w:szCs w:val="20"/>
          <w:shd w:val="clear" w:color="auto" w:fill="FFFFFF"/>
        </w:rPr>
        <w:t>odzi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spadek z 594.530 zł do 201.496 zł,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czyli o 393.</w:t>
      </w:r>
      <w:r>
        <w:rPr>
          <w:color w:val="000000"/>
          <w:szCs w:val="20"/>
          <w:shd w:val="clear" w:color="auto" w:fill="FFFFFF"/>
          <w:lang w:eastAsia="en-US" w:bidi="ar-SA"/>
        </w:rPr>
        <w:t>034 zł;</w:t>
      </w:r>
    </w:p>
    <w:p w:rsidR="0047413B" w:rsidRDefault="00260BC8">
      <w:pPr>
        <w:numPr>
          <w:ilvl w:val="0"/>
          <w:numId w:val="3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pozostała sprzedaż usług medycznych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spadek z 295.172 zł do 276.763 zł,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czyli o 18.409 zł;</w:t>
      </w:r>
    </w:p>
    <w:p w:rsidR="0047413B" w:rsidRDefault="00260BC8">
      <w:pPr>
        <w:numPr>
          <w:ilvl w:val="0"/>
          <w:numId w:val="3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wynajem (ogółem) </w:t>
      </w:r>
      <w:r>
        <w:rPr>
          <w:color w:val="000000"/>
          <w:szCs w:val="20"/>
          <w:shd w:val="clear" w:color="auto" w:fill="FFFFFF"/>
          <w:lang w:eastAsia="en-US" w:bidi="ar-SA"/>
        </w:rPr>
        <w:t>– spadek z 1.124.962 zł do 1.071.298 zł, czyli o 53.664 zł;</w:t>
      </w:r>
    </w:p>
    <w:p w:rsidR="0047413B" w:rsidRDefault="00260BC8">
      <w:pPr>
        <w:numPr>
          <w:ilvl w:val="0"/>
          <w:numId w:val="3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dotacje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spadek z 120.979 zł do 110.464 zł, czyli o 10.515 zł;</w:t>
      </w:r>
    </w:p>
    <w:p w:rsidR="0047413B" w:rsidRDefault="00260BC8">
      <w:pPr>
        <w:numPr>
          <w:ilvl w:val="0"/>
          <w:numId w:val="3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przychody z ty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t. odpisów amortyzacyjnych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spadek z 608.040 zł do 521.388 zł, czyli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o 86.652 zł.</w:t>
      </w:r>
    </w:p>
    <w:p w:rsidR="0047413B" w:rsidRDefault="00260BC8">
      <w:pPr>
        <w:spacing w:before="120" w:after="12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 ramach kosztów poniesionych przez jednostkę, należy wskazać na następujące pozycje:</w:t>
      </w:r>
    </w:p>
    <w:p w:rsidR="0047413B" w:rsidRDefault="00260BC8">
      <w:pPr>
        <w:numPr>
          <w:ilvl w:val="0"/>
          <w:numId w:val="5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wynagrodzenia </w:t>
      </w:r>
      <w:r>
        <w:rPr>
          <w:color w:val="000000"/>
          <w:szCs w:val="20"/>
          <w:shd w:val="clear" w:color="auto" w:fill="FFFFFF"/>
          <w:lang w:eastAsia="en-US" w:bidi="ar-SA"/>
        </w:rPr>
        <w:t>– wzrost z 13.899.216 zł do 14.723.831 zł, o 824.615 zł, w tym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wynagrodz</w:t>
      </w: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enia wynikające ze stosunku pracy </w:t>
      </w:r>
      <w:r>
        <w:rPr>
          <w:color w:val="000000"/>
          <w:szCs w:val="20"/>
          <w:shd w:val="clear" w:color="auto" w:fill="FFFFFF"/>
          <w:lang w:eastAsia="en-US" w:bidi="ar-SA"/>
        </w:rPr>
        <w:t>– wzrost z 13.094.578 zł do 14.208.205 zł, czyli o 1.113.627 zł;</w:t>
      </w:r>
    </w:p>
    <w:p w:rsidR="0047413B" w:rsidRDefault="00260BC8">
      <w:pPr>
        <w:numPr>
          <w:ilvl w:val="0"/>
          <w:numId w:val="5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ubezpieczenia społeczne i inne świadczenia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– wzrost z 2.571.546 zł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do 2.689.647 zł, czyli o 118.101 zł;</w:t>
      </w:r>
    </w:p>
    <w:p w:rsidR="0047413B" w:rsidRDefault="00260BC8">
      <w:pPr>
        <w:numPr>
          <w:ilvl w:val="0"/>
          <w:numId w:val="5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usługi obce </w:t>
      </w:r>
      <w:r>
        <w:rPr>
          <w:color w:val="000000"/>
          <w:szCs w:val="20"/>
          <w:shd w:val="clear" w:color="auto" w:fill="FFFFFF"/>
          <w:lang w:eastAsia="en-US" w:bidi="ar-SA"/>
        </w:rPr>
        <w:t>– wzrost z 4.169.300 zł do 4.575.366 zł,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czyli o 406.066 zł, w tym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usługi medyczne </w:t>
      </w:r>
      <w:r>
        <w:rPr>
          <w:color w:val="000000"/>
          <w:szCs w:val="20"/>
          <w:shd w:val="clear" w:color="auto" w:fill="FFFFFF"/>
          <w:lang w:eastAsia="en-US" w:bidi="ar-SA"/>
        </w:rPr>
        <w:t>– wzrost z 1.796.595 zł do 2.155.177 zł, o 358.582 zł;</w:t>
      </w:r>
    </w:p>
    <w:p w:rsidR="0047413B" w:rsidRDefault="00260BC8">
      <w:pPr>
        <w:numPr>
          <w:ilvl w:val="0"/>
          <w:numId w:val="5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amortyzacja </w:t>
      </w:r>
      <w:r>
        <w:rPr>
          <w:color w:val="000000"/>
          <w:szCs w:val="20"/>
          <w:shd w:val="clear" w:color="auto" w:fill="FFFFFF"/>
          <w:lang w:eastAsia="en-US" w:bidi="ar-SA"/>
        </w:rPr>
        <w:t>– wzrost z 1.055.546 zł do 1.098.515 zł, czyli o 42.969 zł;</w:t>
      </w:r>
    </w:p>
    <w:p w:rsidR="0047413B" w:rsidRDefault="00260BC8">
      <w:pPr>
        <w:numPr>
          <w:ilvl w:val="0"/>
          <w:numId w:val="5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zużycie materiałów i energii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– spadek z 1.520.094 zł do 1.489.697 zł,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czyli o 30.397 </w:t>
      </w:r>
      <w:r>
        <w:rPr>
          <w:color w:val="000000"/>
          <w:szCs w:val="20"/>
          <w:shd w:val="clear" w:color="auto" w:fill="FFFFFF"/>
          <w:lang w:eastAsia="en-US" w:bidi="ar-SA"/>
        </w:rPr>
        <w:t>zł</w:t>
      </w:r>
      <w:r>
        <w:rPr>
          <w:color w:val="000000"/>
          <w:szCs w:val="20"/>
          <w:shd w:val="clear" w:color="auto" w:fill="FFFFFF"/>
        </w:rPr>
        <w:t xml:space="preserve">, w tym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energii </w:t>
      </w:r>
      <w:r>
        <w:rPr>
          <w:color w:val="000000"/>
          <w:szCs w:val="20"/>
          <w:shd w:val="clear" w:color="auto" w:fill="FFFFFF"/>
          <w:lang w:eastAsia="en-US" w:bidi="ar-SA"/>
        </w:rPr>
        <w:t>– wzrost z 681.527 zł do 766.109 zł, czyli o 84.582 zł.</w:t>
      </w:r>
    </w:p>
    <w:p w:rsidR="0047413B" w:rsidRDefault="00260BC8">
      <w:pPr>
        <w:spacing w:before="120" w:after="12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Osiągnięte przez jednostkę wartości w zakresie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wskaźników płynności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wskazują, że nie ma ona trudności z terminową spłatą zobowiązań i uzyskiwania należności. Wartość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bieżącej płynnoś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ci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wyniosła 2,36 (optymalny zakres wartości: 1,5-2,0), a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szybkiej płynności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2,3 (optymalnie: 1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lub więcej) – nadpłynność środków finansowych i możliwości prowadzenia inwestycji – uzyskano maksymalna liczbę punktów (25).</w:t>
      </w:r>
    </w:p>
    <w:p w:rsidR="0047413B" w:rsidRDefault="00260BC8">
      <w:pPr>
        <w:spacing w:after="12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 2021 roku jednostka podjęła szere</w:t>
      </w:r>
      <w:r>
        <w:rPr>
          <w:color w:val="000000"/>
          <w:szCs w:val="20"/>
          <w:shd w:val="clear" w:color="auto" w:fill="FFFFFF"/>
          <w:lang w:eastAsia="en-US" w:bidi="ar-SA"/>
        </w:rPr>
        <w:t>g działań modernizacyjnych i inwestycyjnych, w postaci:</w:t>
      </w:r>
    </w:p>
    <w:p w:rsidR="0047413B" w:rsidRDefault="00260BC8">
      <w:pPr>
        <w:numPr>
          <w:ilvl w:val="0"/>
          <w:numId w:val="6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„Inwestycja w zdrowie pacjenta” – nowe miejsce świadczenia usług medycznych           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 xml:space="preserve">w zakresie POZ przy ul. Paderewskiego 6 (dotacja </w:t>
      </w:r>
      <w:r>
        <w:rPr>
          <w:color w:val="000000"/>
          <w:szCs w:val="20"/>
          <w:shd w:val="clear" w:color="auto" w:fill="FFFFFF"/>
        </w:rPr>
        <w:t xml:space="preserve">z </w:t>
      </w:r>
      <w:r>
        <w:rPr>
          <w:color w:val="000000"/>
          <w:szCs w:val="20"/>
          <w:shd w:val="clear" w:color="auto" w:fill="FFFFFF"/>
          <w:lang w:eastAsia="en-US" w:bidi="ar-SA"/>
        </w:rPr>
        <w:t>U</w:t>
      </w:r>
      <w:r>
        <w:rPr>
          <w:color w:val="000000"/>
          <w:szCs w:val="20"/>
          <w:shd w:val="clear" w:color="auto" w:fill="FFFFFF"/>
        </w:rPr>
        <w:t xml:space="preserve">rzędu </w:t>
      </w:r>
      <w:r>
        <w:rPr>
          <w:color w:val="000000"/>
          <w:szCs w:val="20"/>
          <w:shd w:val="clear" w:color="auto" w:fill="FFFFFF"/>
          <w:lang w:eastAsia="en-US" w:bidi="ar-SA"/>
        </w:rPr>
        <w:t>M</w:t>
      </w:r>
      <w:r>
        <w:rPr>
          <w:color w:val="000000"/>
          <w:szCs w:val="20"/>
          <w:shd w:val="clear" w:color="auto" w:fill="FFFFFF"/>
        </w:rPr>
        <w:t xml:space="preserve">iasta </w:t>
      </w:r>
      <w:r>
        <w:rPr>
          <w:color w:val="000000"/>
          <w:szCs w:val="20"/>
          <w:shd w:val="clear" w:color="auto" w:fill="FFFFFF"/>
          <w:lang w:eastAsia="en-US" w:bidi="ar-SA"/>
        </w:rPr>
        <w:t>Ł</w:t>
      </w:r>
      <w:r>
        <w:rPr>
          <w:color w:val="000000"/>
          <w:szCs w:val="20"/>
          <w:shd w:val="clear" w:color="auto" w:fill="FFFFFF"/>
        </w:rPr>
        <w:t>odzi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600.000 zł oraz środki własne 291.710,25 zł)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p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lacówka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rozpoczęła działalności w styczniu 2022</w:t>
      </w:r>
      <w:r>
        <w:rPr>
          <w:color w:val="000000"/>
          <w:szCs w:val="20"/>
          <w:shd w:val="clear" w:color="auto" w:fill="FFFFFF"/>
        </w:rPr>
        <w:t xml:space="preserve"> r.</w:t>
      </w:r>
      <w:r>
        <w:rPr>
          <w:color w:val="000000"/>
          <w:szCs w:val="20"/>
          <w:shd w:val="clear" w:color="auto" w:fill="FFFFFF"/>
          <w:lang w:eastAsia="en-US" w:bidi="ar-SA"/>
        </w:rPr>
        <w:t>;</w:t>
      </w:r>
    </w:p>
    <w:p w:rsidR="0047413B" w:rsidRDefault="00260BC8">
      <w:pPr>
        <w:numPr>
          <w:ilvl w:val="0"/>
          <w:numId w:val="6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modernizacja przychodni przy ul. Odrzańskiej 29 - IV etap prac inwestycyjnych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eastAsia="en-US" w:bidi="ar-SA"/>
        </w:rPr>
        <w:br/>
      </w:r>
      <w:r>
        <w:rPr>
          <w:color w:val="000000"/>
          <w:szCs w:val="20"/>
          <w:shd w:val="clear" w:color="auto" w:fill="FFFFFF"/>
        </w:rPr>
        <w:t>w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artość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inwestycji w latach 2021-2022 to 616.128,82 zł;</w:t>
      </w:r>
    </w:p>
    <w:p w:rsidR="0047413B" w:rsidRDefault="00260BC8">
      <w:pPr>
        <w:numPr>
          <w:ilvl w:val="0"/>
          <w:numId w:val="6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instalacja systemu te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lewizji dozorowej przychodni przy ul. Rzgowskiej 170 – koszt zadania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to 17.055,34 zł;</w:t>
      </w:r>
    </w:p>
    <w:p w:rsidR="0047413B" w:rsidRDefault="00260BC8">
      <w:pPr>
        <w:numPr>
          <w:ilvl w:val="0"/>
          <w:numId w:val="6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postawienie wiaty gospodarczej w przychodni przy ul. Tatrzańskiej 109 – koszt zadania 14.012,75 zł;</w:t>
      </w:r>
    </w:p>
    <w:p w:rsidR="0047413B" w:rsidRDefault="00260BC8">
      <w:pPr>
        <w:numPr>
          <w:ilvl w:val="0"/>
          <w:numId w:val="6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lastRenderedPageBreak/>
        <w:t>zakup sprzętu komputerowego z urządzeniami peryferyjnymi oraz licencj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ami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i oprogramowaniem – koszt 304.934,86 zł;</w:t>
      </w:r>
    </w:p>
    <w:p w:rsidR="0047413B" w:rsidRDefault="00260BC8">
      <w:pPr>
        <w:numPr>
          <w:ilvl w:val="0"/>
          <w:numId w:val="6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zakup sprzętu, wyposażenia medycznego i niemedycznego do poszczególnych lokalizacji – koszt 156.019,81 zł.</w:t>
      </w:r>
    </w:p>
    <w:p w:rsidR="0047413B" w:rsidRDefault="00260BC8">
      <w:pPr>
        <w:spacing w:before="120" w:after="12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W ramach wskaźników efektywności, podmiot w 2021 roku średnio potrzebował 6 dni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 xml:space="preserve">na uregulowanie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zobowiązań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z tytułu dostaw towarów i usług (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rotacja zobowiązań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) oraz 32 dni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na otrzymanie swoich należności (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rotacja należności</w:t>
      </w:r>
      <w:r>
        <w:rPr>
          <w:color w:val="000000"/>
          <w:szCs w:val="20"/>
          <w:shd w:val="clear" w:color="auto" w:fill="FFFFFF"/>
          <w:lang w:eastAsia="en-US" w:bidi="ar-SA"/>
        </w:rPr>
        <w:t>) – uzyskano maksymalna liczbę punktów (10).</w:t>
      </w:r>
    </w:p>
    <w:p w:rsidR="0047413B" w:rsidRDefault="00260BC8">
      <w:pPr>
        <w:spacing w:after="20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W 2021 roku wskaźnik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zadłużenia aktywów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jednostki wyniósł 17%, a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współczynnik wypła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calności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0,35 – uzyskano maksymalna liczbę punktów (20), co potwierdza fakt stabilności finansowej i wypłacalności MCM „Górna” w Łodzi.</w:t>
      </w:r>
    </w:p>
    <w:p w:rsidR="0047413B" w:rsidRDefault="00260BC8">
      <w:pPr>
        <w:spacing w:after="12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Na podstawie wyliczonych wskaźników za 2021 rok MCM „Górna” w Łodzi uzyskało łączną ocenę punktową w wysokości 68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pkt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>, c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o stanowi 97,14% możliwych do uzyskania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– w 2020 rok było to 65 punktów (92,86%).</w:t>
      </w:r>
    </w:p>
    <w:p w:rsidR="0047413B" w:rsidRDefault="0047413B">
      <w:pPr>
        <w:keepNext/>
        <w:spacing w:after="60"/>
        <w:jc w:val="left"/>
        <w:outlineLvl w:val="0"/>
        <w:rPr>
          <w:b/>
          <w:szCs w:val="20"/>
          <w:lang w:eastAsia="en-US" w:bidi="ar-SA"/>
        </w:rPr>
      </w:pPr>
    </w:p>
    <w:p w:rsidR="0047413B" w:rsidRDefault="00260BC8">
      <w:pPr>
        <w:keepNext/>
        <w:spacing w:after="60"/>
        <w:jc w:val="left"/>
        <w:outlineLvl w:val="0"/>
        <w:rPr>
          <w:b/>
          <w:szCs w:val="20"/>
          <w:lang w:eastAsia="en-US" w:bidi="ar-SA"/>
        </w:rPr>
      </w:pPr>
      <w:r>
        <w:rPr>
          <w:b/>
          <w:szCs w:val="20"/>
          <w:lang w:eastAsia="en-US" w:bidi="ar-SA"/>
        </w:rPr>
        <w:t>Wskaźniki MCM „Górna” w Łodzi – prognoza na lata 2022-2024</w:t>
      </w:r>
    </w:p>
    <w:tbl>
      <w:tblPr>
        <w:tblW w:w="9649" w:type="dxa"/>
        <w:jc w:val="center"/>
        <w:tblInd w:w="-650" w:type="dxa"/>
        <w:tblCellMar>
          <w:left w:w="70" w:type="dxa"/>
          <w:right w:w="70" w:type="dxa"/>
        </w:tblCellMar>
        <w:tblLook w:val="04A0"/>
      </w:tblPr>
      <w:tblGrid>
        <w:gridCol w:w="1962"/>
        <w:gridCol w:w="1525"/>
        <w:gridCol w:w="1082"/>
        <w:gridCol w:w="972"/>
        <w:gridCol w:w="1082"/>
        <w:gridCol w:w="972"/>
        <w:gridCol w:w="1082"/>
        <w:gridCol w:w="972"/>
      </w:tblGrid>
      <w:tr w:rsidR="0047413B">
        <w:trPr>
          <w:trHeight w:val="98"/>
          <w:jc w:val="center"/>
        </w:trPr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Grupa</w:t>
            </w:r>
          </w:p>
        </w:tc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Wskaźniki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2022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2023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2024</w:t>
            </w:r>
          </w:p>
        </w:tc>
      </w:tr>
      <w:tr w:rsidR="0047413B">
        <w:trPr>
          <w:trHeight w:val="258"/>
          <w:jc w:val="center"/>
        </w:trPr>
        <w:tc>
          <w:tcPr>
            <w:tcW w:w="1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Wskaźnik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Ilość punktów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Wskaźnik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Ilość punktów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Wskaźnik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Ilość punktów</w:t>
            </w:r>
          </w:p>
        </w:tc>
      </w:tr>
      <w:tr w:rsidR="0047413B">
        <w:trPr>
          <w:trHeight w:val="382"/>
          <w:jc w:val="center"/>
        </w:trPr>
        <w:tc>
          <w:tcPr>
            <w:tcW w:w="1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WSKAŹNIKI ZYSKOWNOŚCI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zyskowności netto (%)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0,11%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0,10%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0,10%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</w:t>
            </w:r>
          </w:p>
        </w:tc>
      </w:tr>
      <w:tr w:rsidR="0047413B">
        <w:trPr>
          <w:trHeight w:val="619"/>
          <w:jc w:val="center"/>
        </w:trPr>
        <w:tc>
          <w:tcPr>
            <w:tcW w:w="1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zyskowności działalności operacyjnej (%)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0,01%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0,01%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0,02%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</w:t>
            </w:r>
          </w:p>
        </w:tc>
      </w:tr>
      <w:tr w:rsidR="0047413B">
        <w:trPr>
          <w:trHeight w:val="375"/>
          <w:jc w:val="center"/>
        </w:trPr>
        <w:tc>
          <w:tcPr>
            <w:tcW w:w="1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zyskowność a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ktywów (%)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0,15%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0,14%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0,15%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</w:t>
            </w:r>
          </w:p>
        </w:tc>
      </w:tr>
      <w:tr w:rsidR="0047413B">
        <w:trPr>
          <w:trHeight w:val="280"/>
          <w:jc w:val="center"/>
        </w:trPr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7413B" w:rsidRDefault="00260BC8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 Maksymalna ocena punktowa </w:t>
            </w: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br/>
              <w:t xml:space="preserve">15 </w:t>
            </w:r>
            <w:proofErr w:type="spellStart"/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pkt</w:t>
            </w:r>
            <w:proofErr w:type="spellEnd"/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47413B" w:rsidRDefault="00260BC8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Razem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9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9</w:t>
            </w:r>
          </w:p>
        </w:tc>
      </w:tr>
      <w:tr w:rsidR="0047413B">
        <w:trPr>
          <w:trHeight w:val="286"/>
          <w:jc w:val="center"/>
        </w:trPr>
        <w:tc>
          <w:tcPr>
            <w:tcW w:w="1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WSKAŹNIKI PŁYNNOŚCI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bieżącej płynności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2,19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1,94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12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2,03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12</w:t>
            </w:r>
          </w:p>
        </w:tc>
      </w:tr>
      <w:tr w:rsidR="0047413B">
        <w:trPr>
          <w:trHeight w:val="185"/>
          <w:jc w:val="center"/>
        </w:trPr>
        <w:tc>
          <w:tcPr>
            <w:tcW w:w="1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szybkiej płynności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2,13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1,91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13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13</w:t>
            </w:r>
          </w:p>
        </w:tc>
      </w:tr>
      <w:tr w:rsidR="0047413B">
        <w:trPr>
          <w:trHeight w:val="318"/>
          <w:jc w:val="center"/>
        </w:trPr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7413B" w:rsidRDefault="00260BC8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 Maksymalna ocena punktowa </w:t>
            </w: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br/>
              <w:t xml:space="preserve">25 </w:t>
            </w:r>
            <w:proofErr w:type="spellStart"/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pkt</w:t>
            </w:r>
            <w:proofErr w:type="spellEnd"/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47413B" w:rsidRDefault="00260BC8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Razem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25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25</w:t>
            </w:r>
          </w:p>
        </w:tc>
      </w:tr>
      <w:tr w:rsidR="0047413B">
        <w:trPr>
          <w:trHeight w:val="628"/>
          <w:jc w:val="center"/>
        </w:trPr>
        <w:tc>
          <w:tcPr>
            <w:tcW w:w="1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WSKAŹNIKI EFEKTYWNOŚCI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rotacji należności 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br/>
              <w:t>(w dniach)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</w:t>
            </w:r>
          </w:p>
        </w:tc>
      </w:tr>
      <w:tr w:rsidR="0047413B">
        <w:trPr>
          <w:trHeight w:val="670"/>
          <w:jc w:val="center"/>
        </w:trPr>
        <w:tc>
          <w:tcPr>
            <w:tcW w:w="1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rotacji zobowiązań 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br/>
              <w:t>(w dniach)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7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7</w:t>
            </w:r>
          </w:p>
        </w:tc>
      </w:tr>
      <w:tr w:rsidR="0047413B">
        <w:trPr>
          <w:trHeight w:val="78"/>
          <w:jc w:val="center"/>
        </w:trPr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7413B" w:rsidRDefault="00260BC8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Maksymalna ocena punktowa </w:t>
            </w: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br/>
              <w:t xml:space="preserve">10 </w:t>
            </w:r>
            <w:proofErr w:type="spellStart"/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pkt</w:t>
            </w:r>
            <w:proofErr w:type="spellEnd"/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47413B" w:rsidRDefault="00260BC8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Razem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10</w:t>
            </w:r>
          </w:p>
        </w:tc>
      </w:tr>
      <w:tr w:rsidR="0047413B">
        <w:trPr>
          <w:trHeight w:val="344"/>
          <w:jc w:val="center"/>
        </w:trPr>
        <w:tc>
          <w:tcPr>
            <w:tcW w:w="1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WSKAŹNIKI ZADŁUŻENIA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zadłużenia aktywów (%)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18%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19%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10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19%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10</w:t>
            </w:r>
          </w:p>
        </w:tc>
      </w:tr>
      <w:tr w:rsidR="0047413B">
        <w:trPr>
          <w:trHeight w:val="239"/>
          <w:jc w:val="center"/>
        </w:trPr>
        <w:tc>
          <w:tcPr>
            <w:tcW w:w="1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wypłacalności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0,37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0,38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10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0,39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10</w:t>
            </w:r>
          </w:p>
        </w:tc>
      </w:tr>
      <w:tr w:rsidR="0047413B">
        <w:trPr>
          <w:trHeight w:val="591"/>
          <w:jc w:val="center"/>
        </w:trPr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7413B" w:rsidRDefault="00260BC8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lastRenderedPageBreak/>
              <w:t xml:space="preserve">Maksymalna ocena punktowa </w:t>
            </w: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br/>
              <w:t xml:space="preserve">20 </w:t>
            </w:r>
            <w:proofErr w:type="spellStart"/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pkt</w:t>
            </w:r>
            <w:proofErr w:type="spellEnd"/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47413B" w:rsidRDefault="00260BC8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Razem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20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47413B" w:rsidRDefault="0047413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20</w:t>
            </w:r>
          </w:p>
        </w:tc>
      </w:tr>
      <w:tr w:rsidR="0047413B">
        <w:trPr>
          <w:trHeight w:val="79"/>
          <w:jc w:val="center"/>
        </w:trPr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Łączna wartość punktów osiągniętych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64 (91,43%)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64 (91,43%)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64 (91,43%)</w:t>
            </w:r>
          </w:p>
        </w:tc>
      </w:tr>
      <w:tr w:rsidR="0047413B">
        <w:trPr>
          <w:trHeight w:val="60"/>
          <w:jc w:val="center"/>
        </w:trPr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Maksymalna wartość punktów możliwych do osiągnięcia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70   (100%)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70   (100%)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7413B" w:rsidRDefault="00260BC8">
            <w:pP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70   (100%)</w:t>
            </w:r>
          </w:p>
        </w:tc>
      </w:tr>
    </w:tbl>
    <w:p w:rsidR="0047413B" w:rsidRDefault="00260BC8">
      <w:pPr>
        <w:spacing w:before="24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Prognozowane przez MCM „Górna” w Łodzi wskaźniki na lata 2022-2024:</w:t>
      </w:r>
    </w:p>
    <w:p w:rsidR="0047413B" w:rsidRDefault="00260BC8">
      <w:pPr>
        <w:numPr>
          <w:ilvl w:val="0"/>
          <w:numId w:val="7"/>
        </w:numPr>
        <w:tabs>
          <w:tab w:val="left" w:pos="360"/>
        </w:tabs>
        <w:spacing w:before="24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Wskaźniki zyskowności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MCM „Górna” w Łodzi prognozuje, że wysokość wskaźników spadnie do poziomu z przedziału 0,01-0,15%, co wynika z umów zawartych z NFZ na dany okres – w każdym z lat prognozy suma punktów wynosi 9 na 10.</w:t>
      </w:r>
    </w:p>
    <w:p w:rsidR="0047413B" w:rsidRDefault="00260BC8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color w:val="000000"/>
          <w:szCs w:val="20"/>
          <w:u w:val="single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Wskaźniki płynności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zgodnie z przyjętymi założenia</w:t>
      </w:r>
      <w:r>
        <w:rPr>
          <w:color w:val="000000"/>
          <w:szCs w:val="20"/>
          <w:shd w:val="clear" w:color="auto" w:fill="FFFFFF"/>
          <w:lang w:eastAsia="en-US" w:bidi="ar-SA"/>
        </w:rPr>
        <w:t>mi MCM „Górna” w Łodzi prognozuje zachować płynność finansową w przedziale 1,91-2,19. Nie przewiduje się sytuacji, w której bieżące funkcjonowanie będzie wymagało wsparcia ze środków budżetu Miasta Łodzi – w każdym z lat prognozy suma punktów wskaźnika jes</w:t>
      </w:r>
      <w:r>
        <w:rPr>
          <w:color w:val="000000"/>
          <w:szCs w:val="20"/>
          <w:shd w:val="clear" w:color="auto" w:fill="FFFFFF"/>
          <w:lang w:eastAsia="en-US" w:bidi="ar-SA"/>
        </w:rPr>
        <w:t>t maksymalna (25).</w:t>
      </w:r>
    </w:p>
    <w:p w:rsidR="0047413B" w:rsidRDefault="00260BC8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Wskaźniki efektywności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prognoza przewiduje wzrost poziomu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rotacji należności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(33-35 dni) oraz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zobowiązań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(8-9 dni) – brak trudności z terminowym uzyskiwaniem należności oraz pokrywaniem zobowiązań. W każdym z lat prognozy suma punktów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wskaźnika jest maksymalna (10).</w:t>
      </w:r>
    </w:p>
    <w:p w:rsidR="0047413B" w:rsidRDefault="00260BC8">
      <w:pPr>
        <w:numPr>
          <w:ilvl w:val="0"/>
          <w:numId w:val="7"/>
        </w:numPr>
        <w:tabs>
          <w:tab w:val="left" w:pos="360"/>
        </w:tabs>
        <w:spacing w:after="20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Wskaźniki zadłużenia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prognozowane wielkość są na podobnym poziomie co w 2020 roku i wynoszą: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zadłużenie aktywów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18-19% i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wypłacalność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0,37-0,39. Wszystkie uzyskały akceptowalną wielkość oraz w każdym z lat prognozy suma p</w:t>
      </w:r>
      <w:r>
        <w:rPr>
          <w:color w:val="000000"/>
          <w:szCs w:val="20"/>
          <w:shd w:val="clear" w:color="auto" w:fill="FFFFFF"/>
          <w:lang w:eastAsia="en-US" w:bidi="ar-SA"/>
        </w:rPr>
        <w:t>unktów wskaźnika wynosi maksymalną wartość (10).</w:t>
      </w:r>
    </w:p>
    <w:p w:rsidR="0047413B" w:rsidRDefault="00260BC8">
      <w:pPr>
        <w:spacing w:line="276" w:lineRule="auto"/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Prognoza MCM „Górna” </w:t>
      </w:r>
      <w:r>
        <w:rPr>
          <w:b/>
          <w:color w:val="000000"/>
          <w:szCs w:val="20"/>
          <w:shd w:val="clear" w:color="auto" w:fill="FFFFFF"/>
        </w:rPr>
        <w:t xml:space="preserve">w Łodzi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na lata 2022-2024 (zł)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212"/>
        <w:gridCol w:w="1023"/>
        <w:gridCol w:w="775"/>
        <w:gridCol w:w="1199"/>
        <w:gridCol w:w="800"/>
        <w:gridCol w:w="1723"/>
        <w:gridCol w:w="681"/>
        <w:gridCol w:w="1367"/>
      </w:tblGrid>
      <w:tr w:rsidR="0047413B">
        <w:trPr>
          <w:trHeight w:val="64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Dane bilansowe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39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2022</w:t>
            </w:r>
          </w:p>
        </w:tc>
        <w:tc>
          <w:tcPr>
            <w:tcW w:w="6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wartość</w:t>
            </w:r>
          </w:p>
        </w:tc>
        <w:tc>
          <w:tcPr>
            <w:tcW w:w="40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2023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wartość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2024</w:t>
            </w:r>
          </w:p>
        </w:tc>
        <w:tc>
          <w:tcPr>
            <w:tcW w:w="6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413B" w:rsidRDefault="00260BC8">
            <w:pP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wartość</w:t>
            </w:r>
          </w:p>
        </w:tc>
      </w:tr>
      <w:tr w:rsidR="0047413B">
        <w:trPr>
          <w:trHeight w:val="494"/>
        </w:trPr>
        <w:tc>
          <w:tcPr>
            <w:tcW w:w="1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Wynik finansowy netto                                             trend: 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br/>
            </w: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rosnący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/ malejący /stały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29.730 zł</w:t>
            </w:r>
          </w:p>
        </w:tc>
        <w:tc>
          <w:tcPr>
            <w:tcW w:w="129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28.920 zł</w:t>
            </w:r>
          </w:p>
        </w:tc>
        <w:tc>
          <w:tcPr>
            <w:tcW w:w="104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30.130 zł</w:t>
            </w:r>
          </w:p>
        </w:tc>
      </w:tr>
      <w:tr w:rsidR="0047413B">
        <w:trPr>
          <w:trHeight w:val="292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left"/>
              <w:rPr>
                <w:i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i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wnioski: stabilizacja finansowa, zdolność Centrum do generowania zysku</w:t>
            </w:r>
          </w:p>
        </w:tc>
      </w:tr>
      <w:tr w:rsidR="0047413B">
        <w:trPr>
          <w:trHeight w:val="612"/>
        </w:trPr>
        <w:tc>
          <w:tcPr>
            <w:tcW w:w="1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Majątek trwały                                                         trend: 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br/>
              <w:t>rosnący / malejący /</w:t>
            </w: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stały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15.455.702 zł</w:t>
            </w:r>
          </w:p>
        </w:tc>
        <w:tc>
          <w:tcPr>
            <w:tcW w:w="129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15.603.097 zł</w:t>
            </w:r>
          </w:p>
        </w:tc>
        <w:tc>
          <w:tcPr>
            <w:tcW w:w="104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15.517.422 zł</w:t>
            </w:r>
          </w:p>
        </w:tc>
      </w:tr>
      <w:tr w:rsidR="0047413B">
        <w:trPr>
          <w:trHeight w:val="112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left"/>
              <w:rPr>
                <w:i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i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wnioski: planowane nakłady na inwestycje z niewielkim spadkiem w stosunku do lat ubiegłych z uwagi na wysoki</w:t>
            </w:r>
            <w:r>
              <w:rPr>
                <w:i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wskaźnik inflacji powodujący wzrost kosztów</w:t>
            </w:r>
          </w:p>
        </w:tc>
      </w:tr>
      <w:tr w:rsidR="0047413B">
        <w:trPr>
          <w:trHeight w:val="705"/>
        </w:trPr>
        <w:tc>
          <w:tcPr>
            <w:tcW w:w="1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Kapitał własny                                                 trend: 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br/>
            </w: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rosnący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/ malejący / stały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10.049.370 zł</w:t>
            </w:r>
          </w:p>
        </w:tc>
        <w:tc>
          <w:tcPr>
            <w:tcW w:w="129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10.078.290 zł</w:t>
            </w:r>
          </w:p>
        </w:tc>
        <w:tc>
          <w:tcPr>
            <w:tcW w:w="104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10.108.420 zł</w:t>
            </w:r>
          </w:p>
        </w:tc>
      </w:tr>
      <w:tr w:rsidR="0047413B">
        <w:trPr>
          <w:trHeight w:val="6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left"/>
              <w:rPr>
                <w:i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i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wnioski: wzrost kapitału własnego o planowane zyski. </w:t>
            </w:r>
          </w:p>
        </w:tc>
      </w:tr>
      <w:tr w:rsidR="0047413B">
        <w:trPr>
          <w:trHeight w:val="60"/>
        </w:trPr>
        <w:tc>
          <w:tcPr>
            <w:tcW w:w="1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Wynik finansowy ze sprzedaży                                             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-817.983 zł</w:t>
            </w:r>
          </w:p>
        </w:tc>
        <w:tc>
          <w:tcPr>
            <w:tcW w:w="12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-714.824 zł</w:t>
            </w:r>
          </w:p>
        </w:tc>
        <w:tc>
          <w:tcPr>
            <w:tcW w:w="10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-588.144 zł</w:t>
            </w:r>
          </w:p>
        </w:tc>
      </w:tr>
      <w:tr w:rsidR="0047413B">
        <w:trPr>
          <w:trHeight w:val="60"/>
        </w:trPr>
        <w:tc>
          <w:tcPr>
            <w:tcW w:w="1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Wynik finansowy z działalności operacyjnej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1.774 zł</w:t>
            </w:r>
          </w:p>
        </w:tc>
        <w:tc>
          <w:tcPr>
            <w:tcW w:w="12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2.585 zł</w:t>
            </w:r>
          </w:p>
        </w:tc>
        <w:tc>
          <w:tcPr>
            <w:tcW w:w="10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7.485 zł</w:t>
            </w:r>
          </w:p>
        </w:tc>
      </w:tr>
      <w:tr w:rsidR="0047413B">
        <w:trPr>
          <w:trHeight w:val="60"/>
        </w:trPr>
        <w:tc>
          <w:tcPr>
            <w:tcW w:w="1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Koszty amortyzacji                                              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1.120.000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zł</w:t>
            </w:r>
          </w:p>
        </w:tc>
        <w:tc>
          <w:tcPr>
            <w:tcW w:w="12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1.102.600 zł</w:t>
            </w:r>
          </w:p>
        </w:tc>
        <w:tc>
          <w:tcPr>
            <w:tcW w:w="10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1.050.000 zł</w:t>
            </w:r>
          </w:p>
        </w:tc>
      </w:tr>
      <w:tr w:rsidR="0047413B">
        <w:trPr>
          <w:trHeight w:val="60"/>
        </w:trPr>
        <w:tc>
          <w:tcPr>
            <w:tcW w:w="1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Wynik finansowy netto po dodaniu kosztów amortyzacji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1.149.730 zł</w:t>
            </w:r>
          </w:p>
        </w:tc>
        <w:tc>
          <w:tcPr>
            <w:tcW w:w="12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1.131.520 zł</w:t>
            </w:r>
          </w:p>
        </w:tc>
        <w:tc>
          <w:tcPr>
            <w:tcW w:w="10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413B" w:rsidRDefault="00260BC8">
            <w:pPr>
              <w:jc w:val="righ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1.080.130 zł</w:t>
            </w:r>
          </w:p>
        </w:tc>
      </w:tr>
    </w:tbl>
    <w:p w:rsidR="0047413B" w:rsidRDefault="00260BC8">
      <w:pPr>
        <w:spacing w:before="24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Zgodnie z danymi od jednostki, założenia na lata 2022-2024 opracowano na podstawie wartości wynikających ze skorygowanego w czerwca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br. planu finansowego na 2022 rok oraz wskaźników </w:t>
      </w:r>
      <w:r>
        <w:rPr>
          <w:color w:val="000000"/>
          <w:szCs w:val="20"/>
          <w:shd w:val="clear" w:color="auto" w:fill="FFFFFF"/>
          <w:lang w:eastAsia="en-US" w:bidi="ar-SA"/>
        </w:rPr>
        <w:lastRenderedPageBreak/>
        <w:t>makroekonomicznych, wynikających z Wieloletniego Planu Finansowego Państwa na lata 2022 – 2025 oraz założeń do Budżetu Państwa na 2023 rok.</w:t>
      </w:r>
    </w:p>
    <w:p w:rsidR="0047413B" w:rsidRDefault="00260BC8">
      <w:pPr>
        <w:spacing w:before="240" w:after="20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Jednocześnie w prognozowaniu przychodów przyjęto założenie, że MCM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„Górna” w Łodzi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uzyska na następne 3 lata certyfikat akredytacyjny w zakresie podstawowej opieki zdrowotnej wydawany przez Ministra Zdrowia, co wiąże się z wyższą stawką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kapitacyjną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>.</w:t>
      </w:r>
    </w:p>
    <w:p w:rsidR="0047413B" w:rsidRDefault="00260BC8">
      <w:pPr>
        <w:spacing w:after="12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Prognoza przychodów z tytułu świadczeń finansowanych ze środków publiczn</w:t>
      </w:r>
      <w:r>
        <w:rPr>
          <w:color w:val="000000"/>
          <w:szCs w:val="20"/>
          <w:shd w:val="clear" w:color="auto" w:fill="FFFFFF"/>
          <w:lang w:eastAsia="en-US" w:bidi="ar-SA"/>
        </w:rPr>
        <w:t>ych została opracowana na podstawie poniższych założeń:</w:t>
      </w:r>
    </w:p>
    <w:p w:rsidR="0047413B" w:rsidRDefault="00260BC8">
      <w:pPr>
        <w:numPr>
          <w:ilvl w:val="0"/>
          <w:numId w:val="8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POZ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na podstawie obecnie zawartych umów i znanej stawki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kapitacyjnej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>;</w:t>
      </w:r>
    </w:p>
    <w:p w:rsidR="0047413B" w:rsidRDefault="00260BC8">
      <w:pPr>
        <w:numPr>
          <w:ilvl w:val="0"/>
          <w:numId w:val="8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ambulatoryjne lecznictwo specjalistyczne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na podstawie zawartych umów,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które zostały przedłużone do 30.06.2023</w:t>
      </w:r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</w:rPr>
        <w:t>r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>.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z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ałożono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realiz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ację świadczeń ze środków publicznych na dotychczasowym poziomie uwzględniając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nadwykonania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świadczeń;</w:t>
      </w:r>
    </w:p>
    <w:p w:rsidR="0047413B" w:rsidRDefault="00260BC8">
      <w:pPr>
        <w:numPr>
          <w:ilvl w:val="0"/>
          <w:numId w:val="8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leczenie stomatologiczne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na podstawie obecnie zawartych umów obowiązujących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do 30.06.2023</w:t>
      </w:r>
      <w:r>
        <w:rPr>
          <w:color w:val="000000"/>
          <w:szCs w:val="20"/>
          <w:shd w:val="clear" w:color="auto" w:fill="FFFFFF"/>
        </w:rPr>
        <w:t xml:space="preserve"> r.</w:t>
      </w:r>
      <w:r>
        <w:rPr>
          <w:color w:val="000000"/>
          <w:szCs w:val="20"/>
          <w:shd w:val="clear" w:color="auto" w:fill="FFFFFF"/>
          <w:lang w:eastAsia="en-US" w:bidi="ar-SA"/>
        </w:rPr>
        <w:t>;</w:t>
      </w:r>
    </w:p>
    <w:p w:rsidR="0047413B" w:rsidRDefault="00260BC8">
      <w:pPr>
        <w:numPr>
          <w:ilvl w:val="0"/>
          <w:numId w:val="8"/>
        </w:numPr>
        <w:spacing w:after="20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rehabilitacja lecznicza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na podstawie obecnie zawartych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umów obowiązujących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do    31.03.2023</w:t>
      </w:r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</w:rPr>
        <w:t>r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>.</w:t>
      </w:r>
    </w:p>
    <w:p w:rsidR="0047413B" w:rsidRDefault="00260BC8">
      <w:pPr>
        <w:spacing w:after="12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Prognoza dalszego funkcjonowania jednostki w latach 2022-2024 zakłada następującą strukturę przychodów, m.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>in. w następujący pozycjach:</w:t>
      </w:r>
    </w:p>
    <w:p w:rsidR="0047413B" w:rsidRDefault="00260BC8">
      <w:pPr>
        <w:numPr>
          <w:ilvl w:val="0"/>
          <w:numId w:val="9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POZ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19.861.120 zł w roku 2022; 20.881.960 zł w roku 2023; 22.092.180 zł w ro</w:t>
      </w:r>
      <w:r>
        <w:rPr>
          <w:color w:val="000000"/>
          <w:szCs w:val="20"/>
          <w:shd w:val="clear" w:color="auto" w:fill="FFFFFF"/>
          <w:lang w:eastAsia="en-US" w:bidi="ar-SA"/>
        </w:rPr>
        <w:t>ku 2024;</w:t>
      </w:r>
    </w:p>
    <w:p w:rsidR="0047413B" w:rsidRDefault="00260BC8">
      <w:pPr>
        <w:numPr>
          <w:ilvl w:val="0"/>
          <w:numId w:val="9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AOS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2.692.240 zł w roku 2022; 2.880.700 zł w roku 2023; 3.053.540 zł w roku 2024;</w:t>
      </w:r>
    </w:p>
    <w:p w:rsidR="0047413B" w:rsidRDefault="00260BC8">
      <w:pPr>
        <w:numPr>
          <w:ilvl w:val="0"/>
          <w:numId w:val="9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Rehabilitacja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750.405 zł w roku 2022; 794.930 zł w roku 2023; 843.080 zł w roku 2024;</w:t>
      </w:r>
    </w:p>
    <w:p w:rsidR="0047413B" w:rsidRDefault="00260BC8">
      <w:pPr>
        <w:numPr>
          <w:ilvl w:val="0"/>
          <w:numId w:val="9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Stomatologia </w:t>
      </w:r>
      <w:r>
        <w:rPr>
          <w:color w:val="000000"/>
          <w:szCs w:val="20"/>
          <w:shd w:val="clear" w:color="auto" w:fill="FFFFFF"/>
          <w:lang w:eastAsia="en-US" w:bidi="ar-SA"/>
        </w:rPr>
        <w:t>– 715.955 zł w roku 2022; 755.910 zł w roku 2023; 793.850 zł w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roku 2024;</w:t>
      </w:r>
    </w:p>
    <w:p w:rsidR="0047413B" w:rsidRDefault="00260BC8">
      <w:pPr>
        <w:numPr>
          <w:ilvl w:val="0"/>
          <w:numId w:val="9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pozostała sprzedaż NFZ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– 764.000 zł w roku 2022; 1.478.000 zł w roku 2023; 1.478.000 zł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w roku 2024;</w:t>
      </w:r>
    </w:p>
    <w:p w:rsidR="0047413B" w:rsidRDefault="00260BC8">
      <w:pPr>
        <w:numPr>
          <w:ilvl w:val="0"/>
          <w:numId w:val="9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pozostała sprzedaż usług medycznych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300.000 zł w roku 2022; 340.000 zł w roku 2023; 360.000 zł w roku 2024;</w:t>
      </w:r>
    </w:p>
    <w:p w:rsidR="0047413B" w:rsidRDefault="00260BC8">
      <w:pPr>
        <w:numPr>
          <w:ilvl w:val="0"/>
          <w:numId w:val="9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wynajem (ogółem)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1.087.896 zł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w roku 2022; 1.206.696 zł w roku 2023; 1.300.696 zł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w roku 2024;</w:t>
      </w:r>
    </w:p>
    <w:p w:rsidR="0047413B" w:rsidRDefault="00260BC8">
      <w:pPr>
        <w:numPr>
          <w:ilvl w:val="0"/>
          <w:numId w:val="9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przychody z tytułów odpisów amortyzacyjnych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538.798 zł w roku 2022;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512.429 zł w roku 2023; 459.010 zł w roku 2024;</w:t>
      </w:r>
    </w:p>
    <w:p w:rsidR="0047413B" w:rsidRDefault="00260BC8">
      <w:pPr>
        <w:numPr>
          <w:ilvl w:val="0"/>
          <w:numId w:val="9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programy profilaktyczne Miast</w:t>
      </w:r>
      <w:r>
        <w:rPr>
          <w:b/>
          <w:color w:val="000000"/>
          <w:szCs w:val="20"/>
          <w:shd w:val="clear" w:color="auto" w:fill="FFFFFF"/>
        </w:rPr>
        <w:t>a</w:t>
      </w: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 </w:t>
      </w:r>
      <w:proofErr w:type="spellStart"/>
      <w:r>
        <w:rPr>
          <w:b/>
          <w:color w:val="000000"/>
          <w:szCs w:val="20"/>
          <w:shd w:val="clear" w:color="auto" w:fill="FFFFFF"/>
          <w:lang w:eastAsia="en-US" w:bidi="ar-SA"/>
        </w:rPr>
        <w:t>Ł</w:t>
      </w:r>
      <w:r>
        <w:rPr>
          <w:b/>
          <w:color w:val="000000"/>
          <w:szCs w:val="20"/>
          <w:shd w:val="clear" w:color="auto" w:fill="FFFFFF"/>
        </w:rPr>
        <w:t>o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d</w:t>
      </w:r>
      <w:r>
        <w:rPr>
          <w:b/>
          <w:color w:val="000000"/>
          <w:szCs w:val="20"/>
          <w:shd w:val="clear" w:color="auto" w:fill="FFFFFF"/>
        </w:rPr>
        <w:t>zi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jedynie w 2022 w kwocie 630.800 zł.</w:t>
      </w:r>
    </w:p>
    <w:p w:rsidR="0047413B" w:rsidRDefault="00260BC8">
      <w:pPr>
        <w:spacing w:before="240" w:after="20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Prognoza w latach 2022-2024 zakłada następującą strukturę kosztów, m.in. w następujących pozycjach:</w:t>
      </w:r>
    </w:p>
    <w:p w:rsidR="0047413B" w:rsidRDefault="00260BC8">
      <w:pPr>
        <w:numPr>
          <w:ilvl w:val="0"/>
          <w:numId w:val="10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zużycie materiałów i energii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1.857.520 zł w roku 2022; 1.870.800 zł w roku 2023; 1.939.150 zł w roku 2024</w:t>
      </w:r>
      <w:r>
        <w:rPr>
          <w:color w:val="000000"/>
          <w:szCs w:val="20"/>
          <w:shd w:val="clear" w:color="auto" w:fill="FFFFFF"/>
        </w:rPr>
        <w:t xml:space="preserve">, w tym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ener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gii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846.000 zł w roku 2022; 890.700 zł w roku 2023; 928.890 zł w roku 2024;</w:t>
      </w:r>
    </w:p>
    <w:p w:rsidR="0047413B" w:rsidRDefault="00260BC8">
      <w:pPr>
        <w:numPr>
          <w:ilvl w:val="0"/>
          <w:numId w:val="10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amortyzacja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– 1.120.000 zł w roku 2022; 1.102.600 zł w roku 2023; 1.050.000 zł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w roku 2024;</w:t>
      </w:r>
    </w:p>
    <w:p w:rsidR="0047413B" w:rsidRDefault="00260BC8">
      <w:pPr>
        <w:numPr>
          <w:ilvl w:val="0"/>
          <w:numId w:val="10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usługi obce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3.942.000 zł w roku 2022; 4.143.190 zł w roku 2023; 4.355.210 zł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w </w:t>
      </w:r>
      <w:r>
        <w:rPr>
          <w:color w:val="000000"/>
          <w:szCs w:val="20"/>
          <w:shd w:val="clear" w:color="auto" w:fill="FFFFFF"/>
          <w:lang w:eastAsia="en-US" w:bidi="ar-SA"/>
        </w:rPr>
        <w:t>roku 2024;</w:t>
      </w:r>
    </w:p>
    <w:p w:rsidR="0047413B" w:rsidRDefault="00260BC8">
      <w:pPr>
        <w:numPr>
          <w:ilvl w:val="0"/>
          <w:numId w:val="10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lastRenderedPageBreak/>
        <w:t>wynagrodzenia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17.377.000 zł w roku 2022; 18.283.250 zł w roku 2023; 19.302.620 zł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w roku 2024, w tym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wynagrodzenia wynikające ze stosunku pracy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16.408.000 zł w roku 2022; 17.556.560 zł w roku 2023; 18.609.960 zł w roku 2024;</w:t>
      </w:r>
    </w:p>
    <w:p w:rsidR="0047413B" w:rsidRDefault="00260BC8">
      <w:pPr>
        <w:numPr>
          <w:ilvl w:val="0"/>
          <w:numId w:val="10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ubezpieczenia s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połeczne i inne świadczenia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3.157.800 zł w roku 2022;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3.373.500 zł w roku 2023; 3.571.550 zł w roku 2024.</w:t>
      </w:r>
    </w:p>
    <w:p w:rsidR="0047413B" w:rsidRDefault="00260BC8">
      <w:pPr>
        <w:spacing w:before="24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Ogółem w prognozowanym okresie planowane jest osiągnąć:</w:t>
      </w:r>
    </w:p>
    <w:p w:rsidR="0047413B" w:rsidRDefault="00260BC8">
      <w:pPr>
        <w:numPr>
          <w:ilvl w:val="0"/>
          <w:numId w:val="11"/>
        </w:numPr>
        <w:spacing w:before="24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przychody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na poziomie: 27.770.440 zł w roku 2022; 29.096.255 zł w roku 2023; 30.552.825 zł </w:t>
      </w:r>
      <w:r>
        <w:rPr>
          <w:color w:val="000000"/>
          <w:szCs w:val="20"/>
          <w:shd w:val="clear" w:color="auto" w:fill="FFFFFF"/>
          <w:lang w:eastAsia="en-US" w:bidi="ar-SA"/>
        </w:rPr>
        <w:t>w roku 2024;</w:t>
      </w:r>
    </w:p>
    <w:p w:rsidR="0047413B" w:rsidRDefault="00260BC8">
      <w:pPr>
        <w:numPr>
          <w:ilvl w:val="0"/>
          <w:numId w:val="11"/>
        </w:numPr>
        <w:spacing w:before="24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koszty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na poziomie: 27.740.710 zł w roku 2022; 29.067.335 zł w roku 2023; 30.522.695 zł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w roku 2024.</w:t>
      </w:r>
    </w:p>
    <w:p w:rsidR="0047413B" w:rsidRDefault="00260BC8">
      <w:pPr>
        <w:spacing w:before="240" w:after="200" w:line="276" w:lineRule="auto"/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Pozostałe założenia przyjęte przez MCM „Górna” w Łodzi na lata 2022-2024</w:t>
      </w:r>
    </w:p>
    <w:p w:rsidR="0047413B" w:rsidRDefault="00260BC8">
      <w:p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 przedstawionym raporcie MCM „Górna” w Łodzi wskazało na następując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e założenia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określające funkcjonowanie i rozwój jednostki w prognozowanym okresie 2022-2024:</w:t>
      </w:r>
    </w:p>
    <w:p w:rsidR="0047413B" w:rsidRDefault="00260BC8">
      <w:pPr>
        <w:numPr>
          <w:ilvl w:val="0"/>
          <w:numId w:val="12"/>
        </w:numPr>
        <w:spacing w:before="240" w:line="276" w:lineRule="auto"/>
        <w:ind w:left="435" w:hanging="43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podniesienie jakości udzielanych świadczeń medycznych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poprzez wzrost kompetencji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 xml:space="preserve">i pozyskanie wysoko wykwalifikowanej kadry medycznej, intensywne szkolenia dla  </w:t>
      </w:r>
      <w:r>
        <w:rPr>
          <w:color w:val="000000"/>
          <w:szCs w:val="20"/>
          <w:shd w:val="clear" w:color="auto" w:fill="FFFFFF"/>
          <w:lang w:eastAsia="en-US" w:bidi="ar-SA"/>
        </w:rPr>
        <w:t>personelu medycznego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trzymanie, rozwijanie i doskonalenie strategii zarządzania opartej o przyznaną akredytację Ministra Zdrowia zgodnie z certyfikatem nr 2019/P/51 oraz Zintegrowany System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Zarzadzania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Jakością;</w:t>
      </w:r>
    </w:p>
    <w:p w:rsidR="0047413B" w:rsidRDefault="00260BC8">
      <w:pPr>
        <w:numPr>
          <w:ilvl w:val="0"/>
          <w:numId w:val="12"/>
        </w:numPr>
        <w:spacing w:line="276" w:lineRule="auto"/>
        <w:ind w:left="435" w:hanging="43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inwestycje w infrastrukturę budowlaną:</w:t>
      </w:r>
    </w:p>
    <w:p w:rsidR="0047413B" w:rsidRDefault="00260BC8">
      <w:pPr>
        <w:numPr>
          <w:ilvl w:val="1"/>
          <w:numId w:val="13"/>
        </w:numPr>
        <w:tabs>
          <w:tab w:val="left" w:pos="570"/>
          <w:tab w:val="left" w:pos="855"/>
        </w:tabs>
        <w:spacing w:line="276" w:lineRule="auto"/>
        <w:ind w:left="855" w:hanging="28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realizacja czwartego etapu prac – zakończenie procesu przebudowy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i modernizacji przychodni przy ul. Odrzańskiej 29, ze szczególnym uwzględnieniem rehabilitacji</w:t>
      </w:r>
      <w:r>
        <w:rPr>
          <w:color w:val="000000"/>
          <w:szCs w:val="20"/>
          <w:shd w:val="clear" w:color="auto" w:fill="FFFFFF"/>
        </w:rPr>
        <w:t>,</w:t>
      </w:r>
    </w:p>
    <w:p w:rsidR="0047413B" w:rsidRDefault="00260BC8">
      <w:pPr>
        <w:numPr>
          <w:ilvl w:val="1"/>
          <w:numId w:val="13"/>
        </w:numPr>
        <w:tabs>
          <w:tab w:val="left" w:pos="570"/>
          <w:tab w:val="left" w:pos="720"/>
          <w:tab w:val="left" w:pos="855"/>
        </w:tabs>
        <w:spacing w:line="276" w:lineRule="auto"/>
        <w:ind w:left="855" w:hanging="28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Centrum Zdrowego i Aktywnego Seniora w przychodni przy ul. Felińskiego 7  – prace inwestycyjno</w:t>
      </w:r>
      <w:r>
        <w:rPr>
          <w:color w:val="000000"/>
          <w:szCs w:val="20"/>
          <w:shd w:val="clear" w:color="auto" w:fill="FFFFFF"/>
          <w:lang w:eastAsia="en-US" w:bidi="ar-SA"/>
        </w:rPr>
        <w:t>-adaptacyjne</w:t>
      </w:r>
      <w:r>
        <w:rPr>
          <w:color w:val="000000"/>
          <w:szCs w:val="20"/>
          <w:shd w:val="clear" w:color="auto" w:fill="FFFFFF"/>
        </w:rPr>
        <w:t>,</w:t>
      </w:r>
    </w:p>
    <w:p w:rsidR="0047413B" w:rsidRDefault="00260BC8">
      <w:pPr>
        <w:numPr>
          <w:ilvl w:val="1"/>
          <w:numId w:val="13"/>
        </w:numPr>
        <w:tabs>
          <w:tab w:val="left" w:pos="720"/>
          <w:tab w:val="left" w:pos="855"/>
        </w:tabs>
        <w:spacing w:line="276" w:lineRule="auto"/>
        <w:ind w:left="855" w:hanging="28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poprawa stanu sanitarno-higienicznego klatek schodowych, korytarzy i węzłów sanitarnych w przychodni przy ul. Rzgowskiej 170</w:t>
      </w:r>
      <w:r>
        <w:rPr>
          <w:color w:val="000000"/>
          <w:szCs w:val="20"/>
          <w:shd w:val="clear" w:color="auto" w:fill="FFFFFF"/>
        </w:rPr>
        <w:t>,</w:t>
      </w:r>
    </w:p>
    <w:p w:rsidR="0047413B" w:rsidRDefault="00260BC8">
      <w:pPr>
        <w:numPr>
          <w:ilvl w:val="1"/>
          <w:numId w:val="13"/>
        </w:numPr>
        <w:tabs>
          <w:tab w:val="left" w:pos="570"/>
          <w:tab w:val="left" w:pos="720"/>
          <w:tab w:val="left" w:pos="855"/>
        </w:tabs>
        <w:spacing w:line="276" w:lineRule="auto"/>
        <w:ind w:left="435" w:firstLine="13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remont chodnika w przychodni przy ul. Tatrzańskiej 109</w:t>
      </w:r>
      <w:r>
        <w:rPr>
          <w:color w:val="000000"/>
          <w:szCs w:val="20"/>
          <w:shd w:val="clear" w:color="auto" w:fill="FFFFFF"/>
        </w:rPr>
        <w:t>,</w:t>
      </w:r>
    </w:p>
    <w:p w:rsidR="0047413B" w:rsidRDefault="00260BC8">
      <w:pPr>
        <w:numPr>
          <w:ilvl w:val="1"/>
          <w:numId w:val="13"/>
        </w:numPr>
        <w:tabs>
          <w:tab w:val="left" w:pos="720"/>
          <w:tab w:val="left" w:pos="855"/>
        </w:tabs>
        <w:spacing w:line="276" w:lineRule="auto"/>
        <w:ind w:left="435" w:firstLine="13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dostosowanie pomieszczeń do archiwum przy ul. Tatrzańskiej </w:t>
      </w:r>
      <w:r>
        <w:rPr>
          <w:color w:val="000000"/>
          <w:szCs w:val="20"/>
          <w:shd w:val="clear" w:color="auto" w:fill="FFFFFF"/>
          <w:lang w:eastAsia="en-US" w:bidi="ar-SA"/>
        </w:rPr>
        <w:t>109</w:t>
      </w:r>
      <w:r>
        <w:rPr>
          <w:color w:val="000000"/>
          <w:szCs w:val="20"/>
          <w:shd w:val="clear" w:color="auto" w:fill="FFFFFF"/>
        </w:rPr>
        <w:t>,</w:t>
      </w:r>
    </w:p>
    <w:p w:rsidR="0047413B" w:rsidRDefault="00260BC8">
      <w:pPr>
        <w:numPr>
          <w:ilvl w:val="1"/>
          <w:numId w:val="13"/>
        </w:numPr>
        <w:tabs>
          <w:tab w:val="left" w:pos="720"/>
          <w:tab w:val="left" w:pos="855"/>
        </w:tabs>
        <w:spacing w:line="276" w:lineRule="auto"/>
        <w:ind w:left="855" w:hanging="28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poprawa stanu sanitarno-higienicznego klatek schodowych, korytarzy i węzłów sanitarnych w przychodni przy ul. Felińskiego 7</w:t>
      </w:r>
      <w:r>
        <w:rPr>
          <w:color w:val="000000"/>
          <w:szCs w:val="20"/>
          <w:shd w:val="clear" w:color="auto" w:fill="FFFFFF"/>
        </w:rPr>
        <w:t>,</w:t>
      </w:r>
    </w:p>
    <w:p w:rsidR="0047413B" w:rsidRDefault="00260BC8">
      <w:pPr>
        <w:numPr>
          <w:ilvl w:val="1"/>
          <w:numId w:val="13"/>
        </w:numPr>
        <w:tabs>
          <w:tab w:val="left" w:pos="720"/>
          <w:tab w:val="left" w:pos="855"/>
        </w:tabs>
        <w:spacing w:line="276" w:lineRule="auto"/>
        <w:ind w:left="435" w:firstLine="13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remont dachu w przychodni przy ul. Cieszkowskiego 6</w:t>
      </w:r>
      <w:r>
        <w:rPr>
          <w:color w:val="000000"/>
          <w:szCs w:val="20"/>
          <w:shd w:val="clear" w:color="auto" w:fill="FFFFFF"/>
        </w:rPr>
        <w:t>;</w:t>
      </w:r>
    </w:p>
    <w:p w:rsidR="0047413B" w:rsidRDefault="00260BC8">
      <w:pPr>
        <w:numPr>
          <w:ilvl w:val="0"/>
          <w:numId w:val="12"/>
        </w:numPr>
        <w:spacing w:line="276" w:lineRule="auto"/>
        <w:ind w:left="435" w:hanging="43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inwestycje w zakup sprzętu, aparatury i wyposażenia</w:t>
      </w:r>
      <w:r>
        <w:rPr>
          <w:color w:val="000000"/>
          <w:szCs w:val="20"/>
          <w:shd w:val="clear" w:color="auto" w:fill="FFFFFF"/>
          <w:lang w:eastAsia="en-US" w:bidi="ar-SA"/>
        </w:rPr>
        <w:t>:</w:t>
      </w:r>
    </w:p>
    <w:p w:rsidR="0047413B" w:rsidRDefault="00260BC8">
      <w:pPr>
        <w:numPr>
          <w:ilvl w:val="1"/>
          <w:numId w:val="14"/>
        </w:numPr>
        <w:tabs>
          <w:tab w:val="left" w:pos="435"/>
          <w:tab w:val="left" w:pos="570"/>
          <w:tab w:val="left" w:pos="855"/>
          <w:tab w:val="left" w:pos="1005"/>
        </w:tabs>
        <w:spacing w:line="276" w:lineRule="auto"/>
        <w:ind w:left="435" w:firstLine="13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zakup aparatu USG do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przychodni przy ul. Tatrzańskiej 109</w:t>
      </w:r>
      <w:r>
        <w:rPr>
          <w:color w:val="000000"/>
          <w:szCs w:val="20"/>
          <w:shd w:val="clear" w:color="auto" w:fill="FFFFFF"/>
        </w:rPr>
        <w:t>,</w:t>
      </w:r>
    </w:p>
    <w:p w:rsidR="0047413B" w:rsidRDefault="00260BC8">
      <w:pPr>
        <w:numPr>
          <w:ilvl w:val="1"/>
          <w:numId w:val="14"/>
        </w:numPr>
        <w:tabs>
          <w:tab w:val="left" w:pos="855"/>
        </w:tabs>
        <w:spacing w:line="276" w:lineRule="auto"/>
        <w:ind w:left="855" w:hanging="28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systematyczna wymiana zużytego i wyeksploatowanego sprzętu medycznego oraz doposażenie placówek w nowy sprzęt;</w:t>
      </w:r>
    </w:p>
    <w:p w:rsidR="0047413B" w:rsidRDefault="00260BC8">
      <w:pPr>
        <w:numPr>
          <w:ilvl w:val="0"/>
          <w:numId w:val="12"/>
        </w:numPr>
        <w:spacing w:line="276" w:lineRule="auto"/>
        <w:ind w:left="435" w:hanging="43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rozszerzenie zakresu i miejsc udzielanych świadczeń medycznych</w:t>
      </w:r>
      <w:r>
        <w:rPr>
          <w:color w:val="000000"/>
          <w:szCs w:val="20"/>
          <w:shd w:val="clear" w:color="auto" w:fill="FFFFFF"/>
          <w:lang w:eastAsia="en-US" w:bidi="ar-SA"/>
        </w:rPr>
        <w:t>:</w:t>
      </w:r>
    </w:p>
    <w:p w:rsidR="0047413B" w:rsidRDefault="00260BC8">
      <w:pPr>
        <w:numPr>
          <w:ilvl w:val="1"/>
          <w:numId w:val="15"/>
        </w:numPr>
        <w:tabs>
          <w:tab w:val="left" w:pos="435"/>
          <w:tab w:val="left" w:pos="855"/>
        </w:tabs>
        <w:spacing w:line="276" w:lineRule="auto"/>
        <w:ind w:left="855" w:hanging="28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utworzenie nowej placówki POZ przy ul. </w:t>
      </w:r>
      <w:r>
        <w:rPr>
          <w:color w:val="000000"/>
          <w:szCs w:val="20"/>
          <w:shd w:val="clear" w:color="auto" w:fill="FFFFFF"/>
          <w:lang w:eastAsia="en-US" w:bidi="ar-SA"/>
        </w:rPr>
        <w:t>Paderewskiego 6</w:t>
      </w:r>
      <w:bookmarkStart w:id="0" w:name="_Hlk114730811"/>
      <w:r>
        <w:rPr>
          <w:color w:val="000000"/>
          <w:szCs w:val="20"/>
          <w:shd w:val="clear" w:color="auto" w:fill="FFFFFF"/>
        </w:rPr>
        <w:t xml:space="preserve"> - </w:t>
      </w:r>
      <w:r>
        <w:rPr>
          <w:color w:val="000000"/>
          <w:szCs w:val="20"/>
          <w:shd w:val="clear" w:color="auto" w:fill="FFFFFF"/>
          <w:lang w:eastAsia="en-US" w:bidi="ar-SA"/>
        </w:rPr>
        <w:t>prace adaptacyjno-inwestycyjne</w:t>
      </w:r>
      <w:bookmarkEnd w:id="0"/>
      <w:r>
        <w:rPr>
          <w:color w:val="000000"/>
          <w:szCs w:val="20"/>
          <w:shd w:val="clear" w:color="auto" w:fill="FFFFFF"/>
          <w:lang w:eastAsia="en-US" w:bidi="ar-SA"/>
        </w:rPr>
        <w:t xml:space="preserve"> oraz zakup wyposażenia medycznego, niemedycznego i mebli do powstałej placówki</w:t>
      </w:r>
      <w:r>
        <w:rPr>
          <w:color w:val="000000"/>
          <w:szCs w:val="20"/>
          <w:shd w:val="clear" w:color="auto" w:fill="FFFFFF"/>
        </w:rPr>
        <w:t>,</w:t>
      </w:r>
    </w:p>
    <w:p w:rsidR="0047413B" w:rsidRDefault="00260BC8">
      <w:pPr>
        <w:numPr>
          <w:ilvl w:val="1"/>
          <w:numId w:val="15"/>
        </w:numPr>
        <w:tabs>
          <w:tab w:val="left" w:pos="435"/>
          <w:tab w:val="left" w:pos="855"/>
        </w:tabs>
        <w:spacing w:line="276" w:lineRule="auto"/>
        <w:ind w:left="435" w:firstLine="13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lastRenderedPageBreak/>
        <w:t>wymiana aparatu RTG w przychodni przy ul. Tatrzańskiej 109</w:t>
      </w:r>
      <w:r>
        <w:rPr>
          <w:color w:val="000000"/>
          <w:szCs w:val="20"/>
          <w:shd w:val="clear" w:color="auto" w:fill="FFFFFF"/>
        </w:rPr>
        <w:t>;</w:t>
      </w:r>
    </w:p>
    <w:p w:rsidR="0047413B" w:rsidRDefault="00260BC8">
      <w:pPr>
        <w:numPr>
          <w:ilvl w:val="0"/>
          <w:numId w:val="12"/>
        </w:numPr>
        <w:spacing w:line="276" w:lineRule="auto"/>
        <w:ind w:left="435" w:hanging="43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informatyzacja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: sukcesywne i systematyczne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doposażanie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oraz wymiana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sprzętu informatycznego; zakup systemu telewizji dozorowanej przy ul. Tatrzańskiej 109;</w:t>
      </w:r>
    </w:p>
    <w:p w:rsidR="0047413B" w:rsidRDefault="00260BC8">
      <w:pPr>
        <w:numPr>
          <w:ilvl w:val="0"/>
          <w:numId w:val="12"/>
        </w:numPr>
        <w:spacing w:line="276" w:lineRule="auto"/>
        <w:ind w:left="435" w:hanging="43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aktywatory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– realizacja idei „aktywatory jako forma i miejsce spędzenia czasu dla Seniorów”. Realizacja placów aktywnego wypoczynku na terenach zielonych należących do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przychodni przy ul. Rzgowskiej 170 (rok 2019), ul. Cieszkowskiego 6 (rok 2023) i ul. Odrzańskiej 29 (rok 2024).</w:t>
      </w:r>
    </w:p>
    <w:p w:rsidR="0047413B" w:rsidRDefault="0047413B">
      <w:p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47413B" w:rsidRDefault="00260BC8">
      <w:pPr>
        <w:spacing w:before="240" w:after="200" w:line="276" w:lineRule="auto"/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Informacja o istotnych zdarzeniach dla MCM „Górna” w Łodzi – prognoza na lata 2022-2024</w:t>
      </w:r>
    </w:p>
    <w:p w:rsidR="0047413B" w:rsidRDefault="00260BC8">
      <w:p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Prognoza na lata 2022-2024 MCM „Górna” w Łodzi zakłada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utrzymanie</w:t>
      </w:r>
      <w:r>
        <w:rPr>
          <w:i/>
          <w:color w:val="FF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>działalności</w:t>
      </w:r>
      <w:r>
        <w:rPr>
          <w:i/>
          <w:color w:val="FF0000"/>
          <w:szCs w:val="20"/>
          <w:shd w:val="clear" w:color="auto" w:fill="FFFFFF"/>
          <w:lang w:eastAsia="en-US" w:bidi="ar-SA"/>
        </w:rPr>
        <w:t xml:space="preserve"> </w:t>
      </w:r>
      <w:r>
        <w:rPr>
          <w:i/>
          <w:color w:val="FF0000"/>
          <w:szCs w:val="20"/>
          <w:shd w:val="clear" w:color="auto" w:fill="FFFFFF"/>
          <w:lang w:eastAsia="en-US" w:bidi="ar-SA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w zakresie roku 2021. Istotnymi zdarzeniami wpływającymi na funkcjonowanie oraz prognozę dalszej działalności MCM „Górna” w Łodzi są:</w:t>
      </w:r>
    </w:p>
    <w:p w:rsidR="0047413B" w:rsidRDefault="00260BC8">
      <w:pPr>
        <w:numPr>
          <w:ilvl w:val="0"/>
          <w:numId w:val="16"/>
        </w:numPr>
        <w:spacing w:before="240"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wzrost kosztów wynagrodzeń personelu medycznego i niemedycznego;</w:t>
      </w:r>
    </w:p>
    <w:p w:rsidR="0047413B" w:rsidRDefault="00260BC8">
      <w:pPr>
        <w:numPr>
          <w:ilvl w:val="0"/>
          <w:numId w:val="16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wzrost kosztów usług obcych</w:t>
      </w:r>
      <w:r>
        <w:rPr>
          <w:color w:val="000000"/>
          <w:szCs w:val="20"/>
          <w:shd w:val="clear" w:color="auto" w:fill="FFFFFF"/>
        </w:rPr>
        <w:t>; w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2022 roku podjęto decyzje o ich minimalizacji: rezygnacja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 xml:space="preserve">z usług zewnętrznej firmy sprzątającej i zatrudnienie własnych sprzątaczek oraz zmniejszenie liczby godzin pracowników ochrony na terenie poszczególnych placówek i zamontowanie systemu alarmowego </w:t>
      </w:r>
      <w:r>
        <w:rPr>
          <w:color w:val="000000"/>
          <w:szCs w:val="20"/>
          <w:shd w:val="clear" w:color="auto" w:fill="FFFFFF"/>
          <w:lang w:eastAsia="en-US" w:bidi="ar-SA"/>
        </w:rPr>
        <w:t>w przychodni przy ul. Odrzańskiej 29 w miejsce pracowników ochrony;</w:t>
      </w:r>
    </w:p>
    <w:p w:rsidR="0047413B" w:rsidRDefault="00260BC8">
      <w:pPr>
        <w:numPr>
          <w:ilvl w:val="0"/>
          <w:numId w:val="16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 związku z uruchomieniem w 2022 roku now</w:t>
      </w:r>
      <w:r>
        <w:rPr>
          <w:color w:val="000000"/>
          <w:szCs w:val="20"/>
          <w:shd w:val="clear" w:color="auto" w:fill="FFFFFF"/>
        </w:rPr>
        <w:t>ej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lokalizacji MCM „Górna” w Łodzi, kwestią strategiczną na następne lata będzie pozyskanie pacjentów;</w:t>
      </w:r>
    </w:p>
    <w:p w:rsidR="0047413B" w:rsidRDefault="00260BC8">
      <w:pPr>
        <w:numPr>
          <w:ilvl w:val="0"/>
          <w:numId w:val="16"/>
        </w:num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niepewność co do dalszego kontraktowania świ</w:t>
      </w:r>
      <w:r>
        <w:rPr>
          <w:color w:val="000000"/>
          <w:szCs w:val="20"/>
          <w:shd w:val="clear" w:color="auto" w:fill="FFFFFF"/>
          <w:lang w:eastAsia="en-US" w:bidi="ar-SA"/>
        </w:rPr>
        <w:t>adczeń przez NFZ.</w:t>
      </w:r>
    </w:p>
    <w:p w:rsidR="0047413B" w:rsidRDefault="00260BC8">
      <w:pPr>
        <w:spacing w:before="240" w:after="200" w:line="276" w:lineRule="auto"/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Podsumowanie</w:t>
      </w:r>
    </w:p>
    <w:p w:rsidR="0047413B" w:rsidRDefault="00260BC8">
      <w:pPr>
        <w:spacing w:line="276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Na podstawie raportu o sytuacji ekonomiczno-finansowej MCM „Górna” w Łodzi, funkcjonującego jako Samodzielny Publiczny Zakład Opieki Zdrowotnej należy stwierdzić, że:</w:t>
      </w:r>
    </w:p>
    <w:p w:rsidR="0047413B" w:rsidRDefault="00260BC8">
      <w:pPr>
        <w:numPr>
          <w:ilvl w:val="0"/>
          <w:numId w:val="17"/>
        </w:numPr>
        <w:tabs>
          <w:tab w:val="left" w:pos="150"/>
          <w:tab w:val="left" w:pos="285"/>
        </w:tabs>
        <w:spacing w:before="240" w:line="276" w:lineRule="auto"/>
        <w:ind w:left="285" w:hanging="28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ocena dokonana na podstawie wskaźników ekonomiczno-finansowych 2021 roku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oraz prognozy na lata 2022-2024 jest pozytywna;</w:t>
      </w:r>
    </w:p>
    <w:p w:rsidR="0047413B" w:rsidRDefault="00260BC8">
      <w:pPr>
        <w:numPr>
          <w:ilvl w:val="0"/>
          <w:numId w:val="17"/>
        </w:numPr>
        <w:tabs>
          <w:tab w:val="left" w:pos="150"/>
          <w:tab w:val="left" w:pos="285"/>
        </w:tabs>
        <w:spacing w:line="276" w:lineRule="auto"/>
        <w:ind w:left="285" w:hanging="28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podmiot posiada stabilną sytuację finansową oraz nie przewiduje problemów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z płynnością oraz rotacją swoich zobowiązań i należności; </w:t>
      </w:r>
    </w:p>
    <w:p w:rsidR="0047413B" w:rsidRDefault="00260BC8">
      <w:pPr>
        <w:numPr>
          <w:ilvl w:val="0"/>
          <w:numId w:val="17"/>
        </w:numPr>
        <w:tabs>
          <w:tab w:val="left" w:pos="150"/>
          <w:tab w:val="left" w:pos="285"/>
        </w:tabs>
        <w:spacing w:line="276" w:lineRule="auto"/>
        <w:ind w:left="285" w:hanging="28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przedstawiona w raporcie ostrożna analiza wskaźników dla prognozowanego okresu jest rezultatem przyjęcia minimalistycznych założeń umożliwiających dalsze prowadzenie działalności;</w:t>
      </w:r>
    </w:p>
    <w:p w:rsidR="0047413B" w:rsidRDefault="00260BC8">
      <w:pPr>
        <w:numPr>
          <w:ilvl w:val="0"/>
          <w:numId w:val="17"/>
        </w:numPr>
        <w:tabs>
          <w:tab w:val="left" w:pos="150"/>
          <w:tab w:val="left" w:pos="285"/>
        </w:tabs>
        <w:spacing w:line="276" w:lineRule="auto"/>
        <w:ind w:left="285" w:hanging="28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za sprawą przedstawionych inwestycji i przedsięwzięć MCM „Górna” w Łodzi dąż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y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 xml:space="preserve">do podniesienia jakości i zakresu świadczonych usług.  </w:t>
      </w:r>
    </w:p>
    <w:p w:rsidR="0047413B" w:rsidRDefault="00260BC8">
      <w:pPr>
        <w:spacing w:before="240" w:line="276" w:lineRule="auto"/>
        <w:jc w:val="both"/>
        <w:rPr>
          <w:color w:val="000000"/>
          <w:szCs w:val="20"/>
          <w:u w:val="single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 związku z powyższym dokonuje się pozytywnej oceny sytuacji ekonomiczno-finansowej MCM „Górna” w Łodzi na podstawie przedstawionego przez jednostkę raportu o sytuacji ekonomiczno-finansowej za 202</w:t>
      </w:r>
      <w:r>
        <w:rPr>
          <w:color w:val="000000"/>
          <w:szCs w:val="20"/>
          <w:shd w:val="clear" w:color="auto" w:fill="FFFFFF"/>
          <w:lang w:eastAsia="en-US" w:bidi="ar-SA"/>
        </w:rPr>
        <w:t>1 rok.</w:t>
      </w:r>
    </w:p>
    <w:p w:rsidR="0047413B" w:rsidRDefault="0047413B">
      <w:pPr>
        <w:jc w:val="both"/>
        <w:rPr>
          <w:color w:val="000000"/>
          <w:szCs w:val="20"/>
          <w:shd w:val="clear" w:color="auto" w:fill="FFFFFF"/>
          <w:lang w:eastAsia="en-US" w:bidi="ar-SA"/>
        </w:rPr>
        <w:sectPr w:rsidR="0047413B">
          <w:footerReference w:type="default" r:id="rId8"/>
          <w:pgSz w:w="11906" w:h="16838"/>
          <w:pgMar w:top="1418" w:right="848" w:bottom="1418" w:left="1418" w:header="709" w:footer="709" w:gutter="0"/>
          <w:pgNumType w:start="1"/>
          <w:cols w:space="708"/>
          <w:titlePg/>
        </w:sectPr>
      </w:pPr>
      <w:r>
        <w:rPr>
          <w:color w:val="000000"/>
          <w:szCs w:val="20"/>
          <w:shd w:val="clear" w:color="auto" w:fill="FFFFFF"/>
          <w:lang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eastAsia="en-US" w:bidi="ar-SA"/>
        </w:rPr>
        <w:fldChar w:fldCharType="end"/>
      </w:r>
    </w:p>
    <w:p w:rsidR="0047413B" w:rsidRDefault="0047413B">
      <w:pPr>
        <w:rPr>
          <w:szCs w:val="20"/>
        </w:rPr>
      </w:pPr>
    </w:p>
    <w:p w:rsidR="0047413B" w:rsidRDefault="00260BC8">
      <w:pPr>
        <w:rPr>
          <w:b/>
          <w:szCs w:val="20"/>
        </w:rPr>
      </w:pPr>
      <w:r>
        <w:rPr>
          <w:b/>
          <w:szCs w:val="20"/>
        </w:rPr>
        <w:t>UZASADNIENIE</w:t>
      </w:r>
    </w:p>
    <w:p w:rsidR="0047413B" w:rsidRDefault="0047413B">
      <w:pPr>
        <w:rPr>
          <w:szCs w:val="20"/>
        </w:rPr>
      </w:pPr>
    </w:p>
    <w:p w:rsidR="0047413B" w:rsidRDefault="00260BC8">
      <w:pPr>
        <w:ind w:firstLine="567"/>
        <w:jc w:val="both"/>
        <w:rPr>
          <w:szCs w:val="20"/>
        </w:rPr>
      </w:pPr>
      <w:r>
        <w:rPr>
          <w:szCs w:val="20"/>
        </w:rPr>
        <w:t xml:space="preserve">Zgodnie z wymogami art. 53a ustawy </w:t>
      </w:r>
      <w:r>
        <w:rPr>
          <w:color w:val="000000"/>
          <w:szCs w:val="20"/>
          <w:u w:color="000000"/>
        </w:rPr>
        <w:t>z dnia 15 kwietnia 2011 r.</w:t>
      </w:r>
      <w:r>
        <w:rPr>
          <w:szCs w:val="20"/>
        </w:rPr>
        <w:t xml:space="preserve"> o działalności leczniczej samodzielny publiczny zakład opieki zdrowotnej o nazwie Miejskie Centrum Medyczne „Górna” w Łodzi przedstawiło w wymaganym terminie raport o sytuacji ekonomiczno-finansowej przygotowany na podstawie sprawozdania finansowego za po</w:t>
      </w:r>
      <w:r>
        <w:rPr>
          <w:szCs w:val="20"/>
        </w:rPr>
        <w:t>przedni rok obrotowy zawierający w szczególności analizę sytuacji ekonomiczno-finansowej za poprzedni rok obrotowy, tj. 2021, a także prognozę sytuacji ekonomiczno-finansowej na kolejne trzy lata obrotowe wraz z opisem przyjętych założeń oraz informację o </w:t>
      </w:r>
      <w:r>
        <w:rPr>
          <w:szCs w:val="20"/>
        </w:rPr>
        <w:t>istotnych zdarzeniach mających wpływ na sytuację ekonomiczno-finansową samodzielnego publicznego zakładu opieki zdrowotnej.</w:t>
      </w:r>
    </w:p>
    <w:p w:rsidR="0047413B" w:rsidRDefault="00260BC8">
      <w:pPr>
        <w:spacing w:before="120" w:after="120"/>
        <w:ind w:firstLine="570"/>
        <w:jc w:val="both"/>
        <w:rPr>
          <w:color w:val="000000"/>
          <w:szCs w:val="20"/>
        </w:rPr>
      </w:pPr>
      <w:r>
        <w:rPr>
          <w:color w:val="000000"/>
          <w:szCs w:val="20"/>
          <w:u w:color="000000"/>
        </w:rPr>
        <w:t xml:space="preserve">Przedmiotowa ocena raportu </w:t>
      </w:r>
      <w:r>
        <w:rPr>
          <w:szCs w:val="20"/>
        </w:rPr>
        <w:t>o sytuacji ekonomiczno-finansowej</w:t>
      </w:r>
      <w:r>
        <w:rPr>
          <w:color w:val="000000"/>
          <w:szCs w:val="20"/>
          <w:u w:color="000000"/>
        </w:rPr>
        <w:t xml:space="preserve"> została przygotowana zgodnie z wymogami  ustawy z dnia 15 kwietnia 2011</w:t>
      </w:r>
      <w:r>
        <w:rPr>
          <w:color w:val="000000"/>
          <w:szCs w:val="20"/>
          <w:u w:color="000000"/>
        </w:rPr>
        <w:t xml:space="preserve"> r. o działalności leczniczej  przez komórkę organizacyjną sprawującą bezpośredni nadzór nad samodzielnymi publicznymi zakładami opieki zdrowotnej dla których podmiotem tworzącym jest Miasto Łódź, tj. Wydział Zdrowia i Spraw Społecznych w Departamencie Zdr</w:t>
      </w:r>
      <w:r>
        <w:rPr>
          <w:color w:val="000000"/>
          <w:szCs w:val="20"/>
          <w:u w:color="000000"/>
        </w:rPr>
        <w:t>owia i Spraw Społecznych Urzędu Miasta Łodzi.</w:t>
      </w:r>
    </w:p>
    <w:p w:rsidR="0047413B" w:rsidRDefault="00260BC8">
      <w:pPr>
        <w:ind w:firstLine="567"/>
        <w:jc w:val="both"/>
        <w:rPr>
          <w:szCs w:val="20"/>
        </w:rPr>
      </w:pPr>
      <w:r>
        <w:rPr>
          <w:szCs w:val="20"/>
        </w:rPr>
        <w:t xml:space="preserve">Ocena sytuacji ekonomiczno-finansowej jednostki należy do kompetencji Rady Miejskiej w Łodzi, tj. podmiotu tworzącego dla </w:t>
      </w:r>
      <w:r>
        <w:rPr>
          <w:color w:val="000000"/>
          <w:szCs w:val="20"/>
          <w:u w:color="000000"/>
        </w:rPr>
        <w:t xml:space="preserve">Miejskiego Centrum Medycznego </w:t>
      </w:r>
      <w:r>
        <w:rPr>
          <w:szCs w:val="20"/>
        </w:rPr>
        <w:t>„Górna” w Łodzi, co stanowi przedmiot niniejszego projektu</w:t>
      </w:r>
      <w:r>
        <w:rPr>
          <w:szCs w:val="20"/>
        </w:rPr>
        <w:t xml:space="preserve"> uchwały.</w:t>
      </w:r>
    </w:p>
    <w:p w:rsidR="0047413B" w:rsidRDefault="0047413B">
      <w:pPr>
        <w:spacing w:before="120" w:after="120"/>
        <w:ind w:left="283" w:firstLine="227"/>
        <w:jc w:val="both"/>
        <w:rPr>
          <w:color w:val="000000"/>
          <w:szCs w:val="20"/>
        </w:rPr>
      </w:pPr>
    </w:p>
    <w:p w:rsidR="0047413B" w:rsidRDefault="0047413B">
      <w:pPr>
        <w:spacing w:before="120" w:after="120"/>
        <w:ind w:left="283" w:firstLine="227"/>
        <w:jc w:val="both"/>
        <w:rPr>
          <w:color w:val="000000"/>
          <w:szCs w:val="20"/>
        </w:rPr>
      </w:pPr>
    </w:p>
    <w:p w:rsidR="0047413B" w:rsidRDefault="0047413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</w:p>
    <w:sectPr w:rsidR="0047413B" w:rsidSect="0047413B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BC8" w:rsidRDefault="00260BC8" w:rsidP="0047413B">
      <w:r>
        <w:separator/>
      </w:r>
    </w:p>
  </w:endnote>
  <w:endnote w:type="continuationSeparator" w:id="0">
    <w:p w:rsidR="00260BC8" w:rsidRDefault="00260BC8" w:rsidP="00474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47413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7413B" w:rsidRDefault="00260BC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7413B" w:rsidRDefault="00260B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7413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F19AE">
            <w:rPr>
              <w:sz w:val="18"/>
            </w:rPr>
            <w:fldChar w:fldCharType="separate"/>
          </w:r>
          <w:r w:rsidR="00BF19AE">
            <w:rPr>
              <w:noProof/>
              <w:sz w:val="18"/>
            </w:rPr>
            <w:t>1</w:t>
          </w:r>
          <w:r w:rsidR="0047413B">
            <w:rPr>
              <w:sz w:val="18"/>
            </w:rPr>
            <w:fldChar w:fldCharType="end"/>
          </w:r>
        </w:p>
      </w:tc>
    </w:tr>
  </w:tbl>
  <w:p w:rsidR="0047413B" w:rsidRDefault="0047413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7"/>
      <w:gridCol w:w="3213"/>
    </w:tblGrid>
    <w:tr w:rsidR="0047413B">
      <w:tc>
        <w:tcPr>
          <w:tcW w:w="642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7413B" w:rsidRDefault="00260BC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7413B" w:rsidRDefault="00260B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7413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F19AE">
            <w:rPr>
              <w:sz w:val="18"/>
            </w:rPr>
            <w:fldChar w:fldCharType="separate"/>
          </w:r>
          <w:r w:rsidR="00BF19AE">
            <w:rPr>
              <w:noProof/>
              <w:sz w:val="18"/>
            </w:rPr>
            <w:t>8</w:t>
          </w:r>
          <w:r w:rsidR="0047413B">
            <w:rPr>
              <w:sz w:val="18"/>
            </w:rPr>
            <w:fldChar w:fldCharType="end"/>
          </w:r>
        </w:p>
      </w:tc>
    </w:tr>
  </w:tbl>
  <w:p w:rsidR="0047413B" w:rsidRDefault="0047413B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47413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7413B" w:rsidRDefault="00260BC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7413B" w:rsidRDefault="00260B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7413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F19AE">
            <w:rPr>
              <w:sz w:val="18"/>
            </w:rPr>
            <w:fldChar w:fldCharType="separate"/>
          </w:r>
          <w:r w:rsidR="00BF19AE">
            <w:rPr>
              <w:noProof/>
              <w:sz w:val="18"/>
            </w:rPr>
            <w:t>9</w:t>
          </w:r>
          <w:r w:rsidR="0047413B">
            <w:rPr>
              <w:sz w:val="18"/>
            </w:rPr>
            <w:fldChar w:fldCharType="end"/>
          </w:r>
        </w:p>
      </w:tc>
    </w:tr>
  </w:tbl>
  <w:p w:rsidR="0047413B" w:rsidRDefault="0047413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BC8" w:rsidRDefault="00260BC8" w:rsidP="0047413B">
      <w:r>
        <w:separator/>
      </w:r>
    </w:p>
  </w:footnote>
  <w:footnote w:type="continuationSeparator" w:id="0">
    <w:p w:rsidR="00260BC8" w:rsidRDefault="00260BC8" w:rsidP="00474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88E5"/>
    <w:multiLevelType w:val="hybridMultilevel"/>
    <w:tmpl w:val="00000000"/>
    <w:lvl w:ilvl="0" w:tplc="65F86F2E">
      <w:start w:val="1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9626B138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45CABE04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0F688BAE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162CF860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0EBCB88C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5F4EB7E8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D6FC3F74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A738C3CE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1">
    <w:nsid w:val="05C5D584"/>
    <w:multiLevelType w:val="hybridMultilevel"/>
    <w:tmpl w:val="00000000"/>
    <w:lvl w:ilvl="0" w:tplc="56C89AB0">
      <w:start w:val="1"/>
      <w:numFmt w:val="decimal"/>
      <w:lvlText w:val="%1)"/>
      <w:lvlJc w:val="left"/>
      <w:pPr>
        <w:spacing w:beforeAutospacing="0" w:after="0" w:afterAutospacing="0" w:line="240" w:lineRule="auto"/>
        <w:ind w:left="502" w:hanging="360"/>
      </w:pPr>
    </w:lvl>
    <w:lvl w:ilvl="1" w:tplc="D812C536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2BC6A8AC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3C889F46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A99C6CE6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10D41392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2B96A2D2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DEC02968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E39A3BF4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2">
    <w:nsid w:val="0827D8C4"/>
    <w:multiLevelType w:val="hybridMultilevel"/>
    <w:tmpl w:val="00000000"/>
    <w:lvl w:ilvl="0" w:tplc="D21030B4">
      <w:start w:val="1"/>
      <w:numFmt w:val="decimal"/>
      <w:lvlText w:val="%1)"/>
      <w:lvlJc w:val="left"/>
      <w:pPr>
        <w:spacing w:beforeAutospacing="0" w:after="0" w:afterAutospacing="0" w:line="240" w:lineRule="auto"/>
        <w:ind w:left="502" w:hanging="360"/>
      </w:pPr>
    </w:lvl>
    <w:lvl w:ilvl="1" w:tplc="BC3E10BE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9F2ABC54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80BC432E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9F8AFA04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27CE7EF4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C1D467EE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8942154C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8DCC67B8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3">
    <w:nsid w:val="08E6A997"/>
    <w:multiLevelType w:val="hybridMultilevel"/>
    <w:tmpl w:val="00000000"/>
    <w:lvl w:ilvl="0" w:tplc="DAF6AF00">
      <w:start w:val="1"/>
      <w:numFmt w:val="decimal"/>
      <w:lvlText w:val="%1)"/>
      <w:lvlJc w:val="left"/>
      <w:pPr>
        <w:ind w:left="360" w:hanging="360"/>
      </w:pPr>
    </w:lvl>
    <w:lvl w:ilvl="1" w:tplc="47260226">
      <w:start w:val="1"/>
      <w:numFmt w:val="lowerLetter"/>
      <w:lvlText w:val="%2)"/>
      <w:lvlJc w:val="left"/>
      <w:pPr>
        <w:ind w:left="1080" w:hanging="360"/>
      </w:pPr>
    </w:lvl>
    <w:lvl w:ilvl="2" w:tplc="AB402670">
      <w:start w:val="1"/>
      <w:numFmt w:val="lowerRoman"/>
      <w:lvlText w:val="%3."/>
      <w:lvlJc w:val="right"/>
      <w:pPr>
        <w:ind w:left="1800" w:hanging="180"/>
      </w:pPr>
    </w:lvl>
    <w:lvl w:ilvl="3" w:tplc="E12CEEBA">
      <w:start w:val="1"/>
      <w:numFmt w:val="decimal"/>
      <w:lvlText w:val="%4."/>
      <w:lvlJc w:val="left"/>
      <w:pPr>
        <w:ind w:left="2520" w:hanging="360"/>
      </w:pPr>
    </w:lvl>
    <w:lvl w:ilvl="4" w:tplc="E1F05030">
      <w:start w:val="1"/>
      <w:numFmt w:val="lowerLetter"/>
      <w:lvlText w:val="%5."/>
      <w:lvlJc w:val="left"/>
      <w:pPr>
        <w:ind w:left="3240" w:hanging="360"/>
      </w:pPr>
    </w:lvl>
    <w:lvl w:ilvl="5" w:tplc="94BC63BA">
      <w:start w:val="1"/>
      <w:numFmt w:val="lowerRoman"/>
      <w:lvlText w:val="%6."/>
      <w:lvlJc w:val="right"/>
      <w:pPr>
        <w:ind w:left="3960" w:hanging="180"/>
      </w:pPr>
    </w:lvl>
    <w:lvl w:ilvl="6" w:tplc="4182739C">
      <w:start w:val="1"/>
      <w:numFmt w:val="decimal"/>
      <w:lvlText w:val="%7."/>
      <w:lvlJc w:val="left"/>
      <w:pPr>
        <w:ind w:left="4680" w:hanging="360"/>
      </w:pPr>
    </w:lvl>
    <w:lvl w:ilvl="7" w:tplc="B386A6DE">
      <w:start w:val="1"/>
      <w:numFmt w:val="lowerLetter"/>
      <w:lvlText w:val="%8."/>
      <w:lvlJc w:val="left"/>
      <w:pPr>
        <w:ind w:left="5400" w:hanging="360"/>
      </w:pPr>
    </w:lvl>
    <w:lvl w:ilvl="8" w:tplc="22D4738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B95044"/>
    <w:multiLevelType w:val="hybridMultilevel"/>
    <w:tmpl w:val="00000000"/>
    <w:lvl w:ilvl="0" w:tplc="1CAC4F24">
      <w:start w:val="1"/>
      <w:numFmt w:val="decimal"/>
      <w:lvlText w:val="%1)"/>
      <w:lvlJc w:val="left"/>
      <w:pPr>
        <w:spacing w:beforeAutospacing="0" w:after="0" w:afterAutospacing="0" w:line="240" w:lineRule="auto"/>
        <w:ind w:left="502" w:hanging="360"/>
      </w:pPr>
    </w:lvl>
    <w:lvl w:ilvl="1" w:tplc="8166864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CB2C1598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DB863D1E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FF0C3C2C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AE34B284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ECCCF5B4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9274DBCA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5C0EE8EE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5">
    <w:nsid w:val="23BBD924"/>
    <w:multiLevelType w:val="hybridMultilevel"/>
    <w:tmpl w:val="00000000"/>
    <w:lvl w:ilvl="0" w:tplc="28D49F36">
      <w:start w:val="1"/>
      <w:numFmt w:val="decimal"/>
      <w:lvlText w:val="%1)"/>
      <w:lvlJc w:val="left"/>
      <w:pPr>
        <w:spacing w:beforeAutospacing="0" w:after="0" w:afterAutospacing="0" w:line="240" w:lineRule="auto"/>
        <w:ind w:left="502" w:hanging="360"/>
      </w:pPr>
    </w:lvl>
    <w:lvl w:ilvl="1" w:tplc="71F2D374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C5FE461A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C55C0280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2E3CFA6C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B5DEB50E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518273CC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CA26A1FC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F13872F4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6">
    <w:nsid w:val="2D93BE7D"/>
    <w:multiLevelType w:val="hybridMultilevel"/>
    <w:tmpl w:val="00000000"/>
    <w:lvl w:ilvl="0" w:tplc="37E01122">
      <w:start w:val="1"/>
      <w:numFmt w:val="decimal"/>
      <w:lvlText w:val="%1)"/>
      <w:lvlJc w:val="left"/>
      <w:pPr>
        <w:spacing w:beforeAutospacing="0" w:after="0" w:afterAutospacing="0" w:line="240" w:lineRule="auto"/>
        <w:ind w:left="502" w:hanging="360"/>
      </w:pPr>
    </w:lvl>
    <w:lvl w:ilvl="1" w:tplc="84A4F42A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8E32C042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3FEEF2B0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E9A64436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4732B0D6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958A3A28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5E74E92C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ECDA1C36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7">
    <w:nsid w:val="2FB45031"/>
    <w:multiLevelType w:val="hybridMultilevel"/>
    <w:tmpl w:val="00000000"/>
    <w:lvl w:ilvl="0" w:tplc="CDC22BFA">
      <w:start w:val="1"/>
      <w:numFmt w:val="lowerLetter"/>
      <w:lvlText w:val="%1)"/>
      <w:lvlJc w:val="left"/>
      <w:pPr>
        <w:ind w:left="360" w:hanging="360"/>
      </w:pPr>
    </w:lvl>
    <w:lvl w:ilvl="1" w:tplc="67E2E148">
      <w:start w:val="1"/>
      <w:numFmt w:val="lowerLetter"/>
      <w:lvlText w:val="%2."/>
      <w:lvlJc w:val="left"/>
      <w:pPr>
        <w:ind w:left="1080" w:hanging="360"/>
      </w:pPr>
    </w:lvl>
    <w:lvl w:ilvl="2" w:tplc="48D20C54">
      <w:start w:val="1"/>
      <w:numFmt w:val="lowerRoman"/>
      <w:lvlText w:val="%3."/>
      <w:lvlJc w:val="right"/>
      <w:pPr>
        <w:ind w:left="1800" w:hanging="180"/>
      </w:pPr>
    </w:lvl>
    <w:lvl w:ilvl="3" w:tplc="5FCEEC4A">
      <w:start w:val="1"/>
      <w:numFmt w:val="decimal"/>
      <w:lvlText w:val="%4."/>
      <w:lvlJc w:val="left"/>
      <w:pPr>
        <w:ind w:left="2520" w:hanging="360"/>
      </w:pPr>
    </w:lvl>
    <w:lvl w:ilvl="4" w:tplc="9B745A0C">
      <w:start w:val="1"/>
      <w:numFmt w:val="lowerLetter"/>
      <w:lvlText w:val="%5."/>
      <w:lvlJc w:val="left"/>
      <w:pPr>
        <w:ind w:left="3240" w:hanging="360"/>
      </w:pPr>
    </w:lvl>
    <w:lvl w:ilvl="5" w:tplc="D69A48C4">
      <w:start w:val="1"/>
      <w:numFmt w:val="lowerRoman"/>
      <w:lvlText w:val="%6."/>
      <w:lvlJc w:val="right"/>
      <w:pPr>
        <w:ind w:left="3960" w:hanging="180"/>
      </w:pPr>
    </w:lvl>
    <w:lvl w:ilvl="6" w:tplc="F1A61994">
      <w:start w:val="1"/>
      <w:numFmt w:val="decimal"/>
      <w:lvlText w:val="%7."/>
      <w:lvlJc w:val="left"/>
      <w:pPr>
        <w:ind w:left="4680" w:hanging="360"/>
      </w:pPr>
    </w:lvl>
    <w:lvl w:ilvl="7" w:tplc="A1FA5C64">
      <w:start w:val="1"/>
      <w:numFmt w:val="lowerLetter"/>
      <w:lvlText w:val="%8."/>
      <w:lvlJc w:val="left"/>
      <w:pPr>
        <w:ind w:left="5400" w:hanging="360"/>
      </w:pPr>
    </w:lvl>
    <w:lvl w:ilvl="8" w:tplc="DB0AB38E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DF8B1D"/>
    <w:multiLevelType w:val="hybridMultilevel"/>
    <w:tmpl w:val="00000000"/>
    <w:lvl w:ilvl="0" w:tplc="9F32AFF2">
      <w:start w:val="1"/>
      <w:numFmt w:val="decimal"/>
      <w:lvlText w:val="%1)"/>
      <w:lvlJc w:val="left"/>
      <w:pPr>
        <w:spacing w:beforeAutospacing="0" w:after="0" w:afterAutospacing="0" w:line="240" w:lineRule="auto"/>
        <w:ind w:left="502" w:hanging="360"/>
      </w:pPr>
    </w:lvl>
    <w:lvl w:ilvl="1" w:tplc="8528CDAE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064ABAA4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BF107910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F60E18A6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21A63402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98A43E32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51B05B5A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0268C9A4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9">
    <w:nsid w:val="3A714C6E"/>
    <w:multiLevelType w:val="hybridMultilevel"/>
    <w:tmpl w:val="00000000"/>
    <w:lvl w:ilvl="0" w:tplc="DC9CD2F8">
      <w:start w:val="1"/>
      <w:numFmt w:val="decimal"/>
      <w:lvlText w:val="%1)"/>
      <w:lvlJc w:val="left"/>
      <w:pPr>
        <w:ind w:left="360" w:hanging="360"/>
      </w:pPr>
    </w:lvl>
    <w:lvl w:ilvl="1" w:tplc="00B22214">
      <w:start w:val="1"/>
      <w:numFmt w:val="lowerLetter"/>
      <w:lvlText w:val="%2)"/>
      <w:lvlJc w:val="left"/>
      <w:pPr>
        <w:ind w:left="1080" w:hanging="360"/>
      </w:pPr>
    </w:lvl>
    <w:lvl w:ilvl="2" w:tplc="D9A88C90">
      <w:start w:val="1"/>
      <w:numFmt w:val="lowerRoman"/>
      <w:lvlText w:val="%3."/>
      <w:lvlJc w:val="right"/>
      <w:pPr>
        <w:ind w:left="1800" w:hanging="180"/>
      </w:pPr>
    </w:lvl>
    <w:lvl w:ilvl="3" w:tplc="F5707F2A">
      <w:start w:val="1"/>
      <w:numFmt w:val="decimal"/>
      <w:lvlText w:val="%4."/>
      <w:lvlJc w:val="left"/>
      <w:pPr>
        <w:ind w:left="2520" w:hanging="360"/>
      </w:pPr>
    </w:lvl>
    <w:lvl w:ilvl="4" w:tplc="CEECAF16">
      <w:start w:val="1"/>
      <w:numFmt w:val="lowerLetter"/>
      <w:lvlText w:val="%5."/>
      <w:lvlJc w:val="left"/>
      <w:pPr>
        <w:ind w:left="3240" w:hanging="360"/>
      </w:pPr>
    </w:lvl>
    <w:lvl w:ilvl="5" w:tplc="54F6C3DA">
      <w:start w:val="1"/>
      <w:numFmt w:val="lowerRoman"/>
      <w:lvlText w:val="%6."/>
      <w:lvlJc w:val="right"/>
      <w:pPr>
        <w:ind w:left="3960" w:hanging="180"/>
      </w:pPr>
    </w:lvl>
    <w:lvl w:ilvl="6" w:tplc="20129DA8">
      <w:start w:val="1"/>
      <w:numFmt w:val="decimal"/>
      <w:lvlText w:val="%7."/>
      <w:lvlJc w:val="left"/>
      <w:pPr>
        <w:ind w:left="4680" w:hanging="360"/>
      </w:pPr>
    </w:lvl>
    <w:lvl w:ilvl="7" w:tplc="CB94A276">
      <w:start w:val="1"/>
      <w:numFmt w:val="lowerLetter"/>
      <w:lvlText w:val="%8."/>
      <w:lvlJc w:val="left"/>
      <w:pPr>
        <w:ind w:left="5400" w:hanging="360"/>
      </w:pPr>
    </w:lvl>
    <w:lvl w:ilvl="8" w:tplc="32A2EE52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BEB008"/>
    <w:multiLevelType w:val="hybridMultilevel"/>
    <w:tmpl w:val="00000000"/>
    <w:lvl w:ilvl="0" w:tplc="7E74BB7C">
      <w:start w:val="1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21088FC4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BB68F5D0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F6780AD6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2C0AFD5C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39549782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F7CE52D4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ED72F4C2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752471B4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11">
    <w:nsid w:val="4B0ED63C"/>
    <w:multiLevelType w:val="hybridMultilevel"/>
    <w:tmpl w:val="00000000"/>
    <w:lvl w:ilvl="0" w:tplc="73A4E622">
      <w:start w:val="1"/>
      <w:numFmt w:val="decimal"/>
      <w:lvlText w:val="%1)"/>
      <w:lvlJc w:val="left"/>
      <w:pPr>
        <w:spacing w:beforeAutospacing="0" w:after="0" w:afterAutospacing="0" w:line="240" w:lineRule="auto"/>
        <w:ind w:left="502" w:hanging="360"/>
      </w:pPr>
    </w:lvl>
    <w:lvl w:ilvl="1" w:tplc="3812962E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EAAA3FB0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B5FACF9A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C23E38E6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57DAA120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E556B0F4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301C148C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BB821AD6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12">
    <w:nsid w:val="4F6D46C8"/>
    <w:multiLevelType w:val="hybridMultilevel"/>
    <w:tmpl w:val="00000000"/>
    <w:lvl w:ilvl="0" w:tplc="185AA4B2">
      <w:start w:val="1"/>
      <w:numFmt w:val="decimal"/>
      <w:lvlText w:val="%1."/>
      <w:lvlJc w:val="left"/>
      <w:pPr>
        <w:ind w:left="720" w:hanging="360"/>
      </w:pPr>
    </w:lvl>
    <w:lvl w:ilvl="1" w:tplc="BAF273CA">
      <w:start w:val="1"/>
      <w:numFmt w:val="lowerLetter"/>
      <w:lvlText w:val="%2."/>
      <w:lvlJc w:val="left"/>
      <w:pPr>
        <w:ind w:left="1440" w:hanging="360"/>
      </w:pPr>
    </w:lvl>
    <w:lvl w:ilvl="2" w:tplc="A3B28590">
      <w:start w:val="1"/>
      <w:numFmt w:val="lowerRoman"/>
      <w:lvlText w:val="%3."/>
      <w:lvlJc w:val="right"/>
      <w:pPr>
        <w:ind w:left="2160" w:hanging="180"/>
      </w:pPr>
    </w:lvl>
    <w:lvl w:ilvl="3" w:tplc="71F64768">
      <w:start w:val="1"/>
      <w:numFmt w:val="decimal"/>
      <w:lvlText w:val="%4."/>
      <w:lvlJc w:val="left"/>
      <w:pPr>
        <w:ind w:left="2880" w:hanging="360"/>
      </w:pPr>
    </w:lvl>
    <w:lvl w:ilvl="4" w:tplc="B664BD3C">
      <w:start w:val="1"/>
      <w:numFmt w:val="lowerLetter"/>
      <w:lvlText w:val="%5."/>
      <w:lvlJc w:val="left"/>
      <w:pPr>
        <w:ind w:left="3600" w:hanging="360"/>
      </w:pPr>
    </w:lvl>
    <w:lvl w:ilvl="5" w:tplc="3AF433AA">
      <w:start w:val="1"/>
      <w:numFmt w:val="lowerRoman"/>
      <w:lvlText w:val="%6."/>
      <w:lvlJc w:val="right"/>
      <w:pPr>
        <w:ind w:left="4320" w:hanging="180"/>
      </w:pPr>
    </w:lvl>
    <w:lvl w:ilvl="6" w:tplc="882A3804">
      <w:start w:val="1"/>
      <w:numFmt w:val="decimal"/>
      <w:lvlText w:val="%7."/>
      <w:lvlJc w:val="left"/>
      <w:pPr>
        <w:ind w:left="5040" w:hanging="360"/>
      </w:pPr>
    </w:lvl>
    <w:lvl w:ilvl="7" w:tplc="6D6072E6">
      <w:start w:val="1"/>
      <w:numFmt w:val="lowerLetter"/>
      <w:lvlText w:val="%8."/>
      <w:lvlJc w:val="left"/>
      <w:pPr>
        <w:ind w:left="5760" w:hanging="360"/>
      </w:pPr>
    </w:lvl>
    <w:lvl w:ilvl="8" w:tplc="72583D8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C74FB"/>
    <w:multiLevelType w:val="hybridMultilevel"/>
    <w:tmpl w:val="00000000"/>
    <w:lvl w:ilvl="0" w:tplc="244242A6">
      <w:start w:val="1"/>
      <w:numFmt w:val="decimal"/>
      <w:lvlText w:val="%1)"/>
      <w:lvlJc w:val="left"/>
      <w:pPr>
        <w:spacing w:beforeAutospacing="0" w:after="0" w:afterAutospacing="0" w:line="240" w:lineRule="auto"/>
        <w:ind w:left="502" w:hanging="360"/>
      </w:pPr>
    </w:lvl>
    <w:lvl w:ilvl="1" w:tplc="47201678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49387EDE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71D0AE22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B8F62A6E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09B24AAA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CEFAD6AE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688891C2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3E3A9D3E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14">
    <w:nsid w:val="57333C2A"/>
    <w:multiLevelType w:val="hybridMultilevel"/>
    <w:tmpl w:val="00000000"/>
    <w:lvl w:ilvl="0" w:tplc="72E887D4">
      <w:start w:val="1"/>
      <w:numFmt w:val="decimal"/>
      <w:lvlText w:val="%1)"/>
      <w:lvlJc w:val="left"/>
      <w:pPr>
        <w:ind w:left="360" w:hanging="360"/>
      </w:pPr>
    </w:lvl>
    <w:lvl w:ilvl="1" w:tplc="2FF8A952">
      <w:start w:val="1"/>
      <w:numFmt w:val="lowerLetter"/>
      <w:lvlText w:val="%2)"/>
      <w:lvlJc w:val="left"/>
      <w:pPr>
        <w:ind w:left="1080" w:hanging="360"/>
      </w:pPr>
    </w:lvl>
    <w:lvl w:ilvl="2" w:tplc="43E4D702">
      <w:start w:val="1"/>
      <w:numFmt w:val="lowerRoman"/>
      <w:lvlText w:val="%3."/>
      <w:lvlJc w:val="right"/>
      <w:pPr>
        <w:ind w:left="1800" w:hanging="180"/>
      </w:pPr>
    </w:lvl>
    <w:lvl w:ilvl="3" w:tplc="158E3490">
      <w:start w:val="1"/>
      <w:numFmt w:val="decimal"/>
      <w:lvlText w:val="%4."/>
      <w:lvlJc w:val="left"/>
      <w:pPr>
        <w:ind w:left="2520" w:hanging="360"/>
      </w:pPr>
    </w:lvl>
    <w:lvl w:ilvl="4" w:tplc="E76493E4">
      <w:start w:val="1"/>
      <w:numFmt w:val="lowerLetter"/>
      <w:lvlText w:val="%5."/>
      <w:lvlJc w:val="left"/>
      <w:pPr>
        <w:ind w:left="3240" w:hanging="360"/>
      </w:pPr>
    </w:lvl>
    <w:lvl w:ilvl="5" w:tplc="0C242246">
      <w:start w:val="1"/>
      <w:numFmt w:val="lowerRoman"/>
      <w:lvlText w:val="%6."/>
      <w:lvlJc w:val="right"/>
      <w:pPr>
        <w:ind w:left="3960" w:hanging="180"/>
      </w:pPr>
    </w:lvl>
    <w:lvl w:ilvl="6" w:tplc="1F0C6C18">
      <w:start w:val="1"/>
      <w:numFmt w:val="decimal"/>
      <w:lvlText w:val="%7."/>
      <w:lvlJc w:val="left"/>
      <w:pPr>
        <w:ind w:left="4680" w:hanging="360"/>
      </w:pPr>
    </w:lvl>
    <w:lvl w:ilvl="7" w:tplc="5C4EBA9C">
      <w:start w:val="1"/>
      <w:numFmt w:val="lowerLetter"/>
      <w:lvlText w:val="%8."/>
      <w:lvlJc w:val="left"/>
      <w:pPr>
        <w:ind w:left="5400" w:hanging="360"/>
      </w:pPr>
    </w:lvl>
    <w:lvl w:ilvl="8" w:tplc="6CEAD262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E8EE1E"/>
    <w:multiLevelType w:val="hybridMultilevel"/>
    <w:tmpl w:val="00000000"/>
    <w:lvl w:ilvl="0" w:tplc="76A4F3BC">
      <w:start w:val="1"/>
      <w:numFmt w:val="decimal"/>
      <w:lvlText w:val="%1)"/>
      <w:lvlJc w:val="left"/>
      <w:pPr>
        <w:ind w:left="360" w:hanging="360"/>
      </w:pPr>
    </w:lvl>
    <w:lvl w:ilvl="1" w:tplc="22546FBA">
      <w:start w:val="1"/>
      <w:numFmt w:val="lowerLetter"/>
      <w:lvlText w:val="%2)"/>
      <w:lvlJc w:val="left"/>
      <w:pPr>
        <w:ind w:left="1080" w:hanging="360"/>
      </w:pPr>
    </w:lvl>
    <w:lvl w:ilvl="2" w:tplc="B838CF34">
      <w:start w:val="1"/>
      <w:numFmt w:val="lowerRoman"/>
      <w:lvlText w:val="%3."/>
      <w:lvlJc w:val="right"/>
      <w:pPr>
        <w:ind w:left="1800" w:hanging="180"/>
      </w:pPr>
    </w:lvl>
    <w:lvl w:ilvl="3" w:tplc="9904926A">
      <w:start w:val="1"/>
      <w:numFmt w:val="decimal"/>
      <w:lvlText w:val="%4."/>
      <w:lvlJc w:val="left"/>
      <w:pPr>
        <w:ind w:left="2520" w:hanging="360"/>
      </w:pPr>
    </w:lvl>
    <w:lvl w:ilvl="4" w:tplc="8AFED578">
      <w:start w:val="1"/>
      <w:numFmt w:val="lowerLetter"/>
      <w:lvlText w:val="%5."/>
      <w:lvlJc w:val="left"/>
      <w:pPr>
        <w:ind w:left="3240" w:hanging="360"/>
      </w:pPr>
    </w:lvl>
    <w:lvl w:ilvl="5" w:tplc="068EE1FE">
      <w:start w:val="1"/>
      <w:numFmt w:val="lowerRoman"/>
      <w:lvlText w:val="%6."/>
      <w:lvlJc w:val="right"/>
      <w:pPr>
        <w:ind w:left="3960" w:hanging="180"/>
      </w:pPr>
    </w:lvl>
    <w:lvl w:ilvl="6" w:tplc="50869314">
      <w:start w:val="1"/>
      <w:numFmt w:val="decimal"/>
      <w:lvlText w:val="%7."/>
      <w:lvlJc w:val="left"/>
      <w:pPr>
        <w:ind w:left="4680" w:hanging="360"/>
      </w:pPr>
    </w:lvl>
    <w:lvl w:ilvl="7" w:tplc="F15873DE">
      <w:start w:val="1"/>
      <w:numFmt w:val="lowerLetter"/>
      <w:lvlText w:val="%8."/>
      <w:lvlJc w:val="left"/>
      <w:pPr>
        <w:ind w:left="5400" w:hanging="360"/>
      </w:pPr>
    </w:lvl>
    <w:lvl w:ilvl="8" w:tplc="9CFE4310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197914"/>
    <w:multiLevelType w:val="hybridMultilevel"/>
    <w:tmpl w:val="00000000"/>
    <w:lvl w:ilvl="0" w:tplc="6A4A03E6">
      <w:start w:val="1"/>
      <w:numFmt w:val="decimal"/>
      <w:lvlText w:val="%1)"/>
      <w:lvlJc w:val="left"/>
      <w:pPr>
        <w:ind w:left="360" w:hanging="360"/>
      </w:pPr>
    </w:lvl>
    <w:lvl w:ilvl="1" w:tplc="FD46ECEA">
      <w:start w:val="1"/>
      <w:numFmt w:val="lowerLetter"/>
      <w:lvlText w:val="%2."/>
      <w:lvlJc w:val="left"/>
      <w:pPr>
        <w:ind w:left="1080" w:hanging="360"/>
      </w:pPr>
    </w:lvl>
    <w:lvl w:ilvl="2" w:tplc="7772CF04">
      <w:start w:val="1"/>
      <w:numFmt w:val="lowerRoman"/>
      <w:lvlText w:val="%3."/>
      <w:lvlJc w:val="right"/>
      <w:pPr>
        <w:ind w:left="1800" w:hanging="180"/>
      </w:pPr>
    </w:lvl>
    <w:lvl w:ilvl="3" w:tplc="70B65DF2">
      <w:start w:val="1"/>
      <w:numFmt w:val="decimal"/>
      <w:lvlText w:val="%4."/>
      <w:lvlJc w:val="left"/>
      <w:pPr>
        <w:ind w:left="2520" w:hanging="360"/>
      </w:pPr>
    </w:lvl>
    <w:lvl w:ilvl="4" w:tplc="A972F198">
      <w:start w:val="1"/>
      <w:numFmt w:val="lowerLetter"/>
      <w:lvlText w:val="%5."/>
      <w:lvlJc w:val="left"/>
      <w:pPr>
        <w:ind w:left="3240" w:hanging="360"/>
      </w:pPr>
    </w:lvl>
    <w:lvl w:ilvl="5" w:tplc="1084E54C">
      <w:start w:val="1"/>
      <w:numFmt w:val="lowerRoman"/>
      <w:lvlText w:val="%6."/>
      <w:lvlJc w:val="right"/>
      <w:pPr>
        <w:ind w:left="3960" w:hanging="180"/>
      </w:pPr>
    </w:lvl>
    <w:lvl w:ilvl="6" w:tplc="411C5AAE">
      <w:start w:val="1"/>
      <w:numFmt w:val="decimal"/>
      <w:lvlText w:val="%7."/>
      <w:lvlJc w:val="left"/>
      <w:pPr>
        <w:ind w:left="4680" w:hanging="360"/>
      </w:pPr>
    </w:lvl>
    <w:lvl w:ilvl="7" w:tplc="3D2414D2">
      <w:start w:val="1"/>
      <w:numFmt w:val="lowerLetter"/>
      <w:lvlText w:val="%8."/>
      <w:lvlJc w:val="left"/>
      <w:pPr>
        <w:ind w:left="5400" w:hanging="360"/>
      </w:pPr>
    </w:lvl>
    <w:lvl w:ilvl="8" w:tplc="271CDC6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2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60BC8"/>
    <w:rsid w:val="0047413B"/>
    <w:rsid w:val="00A77B3E"/>
    <w:rsid w:val="00BF19A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413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rsid w:val="0047413B"/>
    <w:pPr>
      <w:keepNext/>
      <w:spacing w:before="240" w:after="60"/>
      <w:jc w:val="left"/>
      <w:outlineLvl w:val="0"/>
    </w:pPr>
    <w:rPr>
      <w:b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47413B"/>
    <w:pPr>
      <w:tabs>
        <w:tab w:val="center" w:pos="4536"/>
        <w:tab w:val="right" w:pos="9072"/>
      </w:tabs>
      <w:jc w:val="left"/>
    </w:pPr>
    <w:rPr>
      <w:szCs w:val="20"/>
      <w:lang w:eastAsia="en-US" w:bidi="ar-SA"/>
    </w:rPr>
  </w:style>
  <w:style w:type="character" w:styleId="Numerstrony">
    <w:name w:val="page number"/>
    <w:basedOn w:val="Domylnaczcionkaakapitu"/>
    <w:rsid w:val="0047413B"/>
    <w:rPr>
      <w:rFonts w:ascii="Times New Roman" w:hAnsi="Times New Roman"/>
      <w:color w:val="auto"/>
      <w:sz w:val="24"/>
      <w:shd w:val="clear" w:color="auto" w:fill="auto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3008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21014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oceny sytuacji ekonomiczno-finansowej
samodzielnego publicznego zakładu opieki zdrowotnej o^nazwie Miejskie Centrum Medyczne „Górna” w^Łodzi, na podstawie raportu o^sytuacji 
ekonomiczno-finansowej za rok 2021.</dc:subject>
  <dc:creator>elukowicz</dc:creator>
  <cp:lastModifiedBy>sstanczyk</cp:lastModifiedBy>
  <cp:revision>2</cp:revision>
  <dcterms:created xsi:type="dcterms:W3CDTF">2022-12-05T12:31:00Z</dcterms:created>
  <dcterms:modified xsi:type="dcterms:W3CDTF">2022-12-05T12:21:00Z</dcterms:modified>
  <cp:category>Akt prawny</cp:category>
</cp:coreProperties>
</file>