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A9251F">
        <w:tc>
          <w:tcPr>
            <w:tcW w:w="9072" w:type="dxa"/>
            <w:tcBorders>
              <w:top w:val="nil"/>
              <w:left w:val="nil"/>
              <w:bottom w:val="nil"/>
              <w:right w:val="nil"/>
            </w:tcBorders>
            <w:tcMar>
              <w:top w:w="100" w:type="dxa"/>
            </w:tcMar>
          </w:tcPr>
          <w:p w:rsidR="00A77B3E" w:rsidRDefault="00A77B3E">
            <w:pPr>
              <w:ind w:left="6236"/>
              <w:jc w:val="left"/>
              <w:rPr>
                <w:b/>
                <w:i/>
                <w:u w:val="thick"/>
              </w:rPr>
            </w:pPr>
          </w:p>
          <w:p w:rsidR="00A77B3E" w:rsidRDefault="00A77B3E">
            <w:pPr>
              <w:ind w:left="6236"/>
              <w:jc w:val="left"/>
              <w:rPr>
                <w:b/>
                <w:i/>
                <w:u w:val="thick"/>
              </w:rPr>
            </w:pPr>
          </w:p>
          <w:p w:rsidR="00A77B3E" w:rsidRDefault="00A93ACE" w:rsidP="000E59CE">
            <w:pPr>
              <w:ind w:left="6236" w:hanging="282"/>
              <w:jc w:val="left"/>
            </w:pPr>
            <w:r>
              <w:t>Druk Nr</w:t>
            </w:r>
            <w:r w:rsidR="000E59CE">
              <w:t xml:space="preserve"> 291/2022</w:t>
            </w:r>
          </w:p>
          <w:p w:rsidR="00A77B3E" w:rsidRDefault="00A93ACE" w:rsidP="000E59CE">
            <w:pPr>
              <w:ind w:left="6236" w:hanging="282"/>
              <w:jc w:val="left"/>
            </w:pPr>
            <w:r>
              <w:t>Projekt z dnia</w:t>
            </w:r>
            <w:r w:rsidR="000E59CE">
              <w:t xml:space="preserve"> 5 grudnia 2022 r.</w:t>
            </w:r>
          </w:p>
          <w:p w:rsidR="00A77B3E" w:rsidRDefault="00A77B3E">
            <w:pPr>
              <w:ind w:left="6236"/>
              <w:jc w:val="left"/>
            </w:pPr>
          </w:p>
        </w:tc>
      </w:tr>
    </w:tbl>
    <w:p w:rsidR="00A77B3E" w:rsidRDefault="00A77B3E"/>
    <w:p w:rsidR="00A77B3E" w:rsidRDefault="00A93ACE">
      <w:pPr>
        <w:rPr>
          <w:b/>
          <w:caps/>
        </w:rPr>
      </w:pPr>
      <w:r>
        <w:rPr>
          <w:b/>
          <w:caps/>
        </w:rPr>
        <w:t>Uchwała Nr                     </w:t>
      </w:r>
      <w:r>
        <w:rPr>
          <w:b/>
          <w:caps/>
        </w:rPr>
        <w:br/>
        <w:t>Rady Miejskiej w Łodzi</w:t>
      </w:r>
    </w:p>
    <w:p w:rsidR="00A77B3E" w:rsidRDefault="00A93ACE">
      <w:pPr>
        <w:spacing w:after="240"/>
        <w:rPr>
          <w:b/>
          <w:caps/>
        </w:rPr>
      </w:pPr>
      <w:r>
        <w:rPr>
          <w:b/>
        </w:rPr>
        <w:t>z dnia                      2022 r.</w:t>
      </w:r>
    </w:p>
    <w:p w:rsidR="00A77B3E" w:rsidRDefault="00A93ACE">
      <w:pPr>
        <w:keepNext/>
        <w:spacing w:after="240"/>
      </w:pPr>
      <w:r>
        <w:rPr>
          <w:b/>
        </w:rPr>
        <w:t>w sprawie oceny sytuacji ekonomiczno-finansowej</w:t>
      </w:r>
      <w:r>
        <w:rPr>
          <w:b/>
        </w:rPr>
        <w:br/>
        <w:t xml:space="preserve">samodzielnego publicznego zakładu opieki zdrowotnej o nazwie Miejskie Centrum Medyczne </w:t>
      </w:r>
      <w:r>
        <w:rPr>
          <w:b/>
        </w:rPr>
        <w:t>„Polesie” w Łodzi, na podstawie raportu o sytuacji</w:t>
      </w:r>
      <w:r>
        <w:rPr>
          <w:b/>
        </w:rPr>
        <w:br/>
        <w:t>ekonomiczno-finansowej za rok 2021.</w:t>
      </w:r>
    </w:p>
    <w:p w:rsidR="00A77B3E" w:rsidRDefault="00A93ACE">
      <w:pPr>
        <w:keepLines/>
        <w:spacing w:before="120" w:after="120"/>
        <w:ind w:firstLine="567"/>
        <w:jc w:val="both"/>
      </w:pPr>
      <w:r>
        <w:t>Na podstawie art. 18 ust. 2 </w:t>
      </w:r>
      <w:proofErr w:type="spellStart"/>
      <w:r>
        <w:t>pkt</w:t>
      </w:r>
      <w:proofErr w:type="spellEnd"/>
      <w:r>
        <w:t> 15 ustawy z dnia 8 marca 1990 r. o samorządzie gminnym (Dz. U. z 2022 r. poz. 559, 583, 1005, 1079 i 1561) oraz art. 53a ust. 4 ustawy z </w:t>
      </w:r>
      <w:r>
        <w:t>dnia 15 kwietnia 2011 r. o działalności leczniczej (Dz. U. z 2022 r. poz. 633, 655, 974 i 1079), Rada Miejska w Łodzi</w:t>
      </w:r>
    </w:p>
    <w:p w:rsidR="00A77B3E" w:rsidRDefault="00A93ACE">
      <w:pPr>
        <w:spacing w:before="120" w:after="120"/>
        <w:rPr>
          <w:b/>
        </w:rPr>
      </w:pPr>
      <w:r>
        <w:rPr>
          <w:b/>
        </w:rPr>
        <w:t>uchwala, co następuje:</w:t>
      </w:r>
    </w:p>
    <w:p w:rsidR="00A77B3E" w:rsidRDefault="00A93ACE">
      <w:pPr>
        <w:keepLines/>
        <w:spacing w:before="240" w:after="120"/>
        <w:ind w:firstLine="567"/>
        <w:jc w:val="both"/>
      </w:pPr>
      <w:r>
        <w:t>§ 1. </w:t>
      </w:r>
      <w:r>
        <w:t>Dokonuje się oceny sytuacji ekonomiczno-finansowej samodzielnego publicznego zakładu opieki zdrowotnej o nazwi</w:t>
      </w:r>
      <w:r>
        <w:t>e Miejskie Centrum Medyczne „Polesie” w Łodzi,</w:t>
      </w:r>
      <w:r>
        <w:br/>
        <w:t>na podstawie raportu o sytuacji ekonomiczno-finansowej sporządzonego za rok 2021,</w:t>
      </w:r>
      <w:r>
        <w:br/>
        <w:t>w brzmieniu stanowiącym załącznik do uchwały.</w:t>
      </w:r>
    </w:p>
    <w:p w:rsidR="00A77B3E" w:rsidRDefault="00A93ACE">
      <w:pPr>
        <w:keepLines/>
        <w:spacing w:before="240" w:after="120"/>
        <w:ind w:firstLine="567"/>
        <w:jc w:val="both"/>
      </w:pPr>
      <w:r>
        <w:t>§ 2. </w:t>
      </w:r>
      <w:r>
        <w:t>Wykonanie uchwały powierza się Prezydentowi Miasta Łodzi.</w:t>
      </w:r>
    </w:p>
    <w:p w:rsidR="00A77B3E" w:rsidRDefault="00A93ACE">
      <w:pPr>
        <w:keepNext/>
        <w:keepLines/>
        <w:spacing w:before="240" w:after="120"/>
        <w:ind w:firstLine="567"/>
        <w:jc w:val="both"/>
      </w:pPr>
      <w:r>
        <w:t>§ 3. </w:t>
      </w:r>
      <w:r>
        <w:t xml:space="preserve">Uchwała </w:t>
      </w:r>
      <w:r>
        <w:t>wchodzi w życie z dniem podjęcia.</w:t>
      </w:r>
    </w:p>
    <w:tbl>
      <w:tblPr>
        <w:tblW w:w="5000" w:type="pct"/>
        <w:tblCellMar>
          <w:left w:w="0" w:type="dxa"/>
          <w:right w:w="0" w:type="dxa"/>
        </w:tblCellMar>
        <w:tblLook w:val="04A0"/>
      </w:tblPr>
      <w:tblGrid>
        <w:gridCol w:w="4536"/>
        <w:gridCol w:w="4536"/>
      </w:tblGrid>
      <w:tr w:rsidR="00A9251F">
        <w:tc>
          <w:tcPr>
            <w:tcW w:w="2500" w:type="pct"/>
            <w:tcMar>
              <w:top w:w="0" w:type="dxa"/>
              <w:left w:w="0" w:type="dxa"/>
              <w:bottom w:w="0" w:type="dxa"/>
              <w:right w:w="0" w:type="dxa"/>
            </w:tcMar>
            <w:hideMark/>
          </w:tcPr>
          <w:p w:rsidR="00A9251F" w:rsidRDefault="00A9251F">
            <w:pPr>
              <w:keepLines/>
              <w:jc w:val="left"/>
              <w:rPr>
                <w:color w:val="000000"/>
              </w:rPr>
            </w:pPr>
          </w:p>
        </w:tc>
        <w:tc>
          <w:tcPr>
            <w:tcW w:w="2500" w:type="pct"/>
            <w:tcMar>
              <w:top w:w="0" w:type="dxa"/>
              <w:left w:w="0" w:type="dxa"/>
              <w:bottom w:w="0" w:type="dxa"/>
              <w:right w:w="0" w:type="dxa"/>
            </w:tcMar>
            <w:hideMark/>
          </w:tcPr>
          <w:p w:rsidR="00A9251F" w:rsidRDefault="00A93ACE">
            <w:pPr>
              <w:keepLines/>
              <w:spacing w:before="520" w:after="520"/>
              <w:ind w:left="567" w:right="567"/>
              <w:rPr>
                <w:color w:val="000000"/>
              </w:rPr>
            </w:pPr>
            <w:r>
              <w:rPr>
                <w:b/>
                <w:color w:val="000000"/>
              </w:rPr>
              <w:t>Przewodniczący</w:t>
            </w:r>
            <w:r>
              <w:rPr>
                <w:b/>
                <w:color w:val="000000"/>
              </w:rPr>
              <w:br/>
              <w:t>Rady Miejskiej w Łodzi</w:t>
            </w:r>
            <w:r>
              <w:rPr>
                <w:color w:val="000000"/>
              </w:rPr>
              <w:br/>
            </w:r>
            <w:r>
              <w:rPr>
                <w:color w:val="000000"/>
              </w:rPr>
              <w:br/>
            </w:r>
            <w:r>
              <w:rPr>
                <w:color w:val="000000"/>
              </w:rPr>
              <w:br/>
            </w:r>
            <w:proofErr w:type="spellStart"/>
            <w:r>
              <w:rPr>
                <w:b/>
              </w:rPr>
              <w:t>Marcin^GOŁASZEWSKI</w:t>
            </w:r>
            <w:proofErr w:type="spellEnd"/>
          </w:p>
        </w:tc>
      </w:tr>
    </w:tbl>
    <w:p w:rsidR="00A77B3E" w:rsidRDefault="00A93ACE">
      <w:pPr>
        <w:spacing w:before="120" w:after="120"/>
        <w:ind w:left="283" w:firstLine="227"/>
        <w:jc w:val="both"/>
      </w:pPr>
      <w:r>
        <w:t>Projektodawcą jest</w:t>
      </w:r>
    </w:p>
    <w:p w:rsidR="00A77B3E" w:rsidRDefault="00A93ACE">
      <w:pPr>
        <w:spacing w:before="120" w:after="120"/>
        <w:ind w:left="283" w:firstLine="227"/>
        <w:jc w:val="both"/>
      </w:pPr>
      <w:r>
        <w:t>Prezydent Miasta Łodzi</w:t>
      </w:r>
    </w:p>
    <w:p w:rsidR="00A77B3E" w:rsidRDefault="00A77B3E">
      <w:pPr>
        <w:spacing w:before="120" w:after="120"/>
        <w:ind w:left="283" w:firstLine="227"/>
        <w:jc w:val="both"/>
        <w:sectPr w:rsidR="00A77B3E">
          <w:footerReference w:type="default" r:id="rId7"/>
          <w:endnotePr>
            <w:numFmt w:val="decimal"/>
          </w:endnotePr>
          <w:pgSz w:w="11906" w:h="16838"/>
          <w:pgMar w:top="1417" w:right="1417" w:bottom="1417" w:left="1417" w:header="708" w:footer="708" w:gutter="0"/>
          <w:cols w:space="708"/>
          <w:docGrid w:linePitch="360"/>
        </w:sectPr>
      </w:pPr>
    </w:p>
    <w:p w:rsidR="00A9251F" w:rsidRDefault="00A93ACE">
      <w:pPr>
        <w:keepNext/>
        <w:ind w:left="5565" w:firstLine="135"/>
        <w:jc w:val="left"/>
        <w:outlineLvl w:val="0"/>
        <w:rPr>
          <w:szCs w:val="20"/>
          <w:lang w:eastAsia="en-US" w:bidi="ar-SA"/>
        </w:rPr>
      </w:pPr>
      <w:r>
        <w:rPr>
          <w:szCs w:val="20"/>
          <w:lang w:eastAsia="en-US" w:bidi="ar-SA"/>
        </w:rPr>
        <w:lastRenderedPageBreak/>
        <w:t>Załącznik</w:t>
      </w:r>
    </w:p>
    <w:p w:rsidR="00A9251F" w:rsidRDefault="00A93ACE">
      <w:pPr>
        <w:keepNext/>
        <w:ind w:left="5565" w:firstLine="135"/>
        <w:jc w:val="left"/>
        <w:outlineLvl w:val="0"/>
        <w:rPr>
          <w:szCs w:val="20"/>
          <w:lang w:eastAsia="en-US" w:bidi="ar-SA"/>
        </w:rPr>
      </w:pPr>
      <w:r>
        <w:rPr>
          <w:szCs w:val="20"/>
          <w:lang w:eastAsia="en-US" w:bidi="ar-SA"/>
        </w:rPr>
        <w:t xml:space="preserve">do uchwały Nr </w:t>
      </w:r>
    </w:p>
    <w:p w:rsidR="00A9251F" w:rsidRDefault="00A93ACE">
      <w:pPr>
        <w:keepNext/>
        <w:ind w:left="5565" w:firstLine="135"/>
        <w:jc w:val="left"/>
        <w:outlineLvl w:val="0"/>
        <w:rPr>
          <w:szCs w:val="20"/>
          <w:lang w:eastAsia="en-US" w:bidi="ar-SA"/>
        </w:rPr>
      </w:pPr>
      <w:r>
        <w:rPr>
          <w:szCs w:val="20"/>
          <w:lang w:eastAsia="en-US" w:bidi="ar-SA"/>
        </w:rPr>
        <w:t>Rady Miejskiej w Łodzi</w:t>
      </w:r>
    </w:p>
    <w:p w:rsidR="00A9251F" w:rsidRDefault="00A93ACE">
      <w:pPr>
        <w:keepNext/>
        <w:ind w:left="5565" w:firstLine="135"/>
        <w:jc w:val="left"/>
        <w:outlineLvl w:val="0"/>
        <w:rPr>
          <w:szCs w:val="20"/>
          <w:lang w:eastAsia="en-US" w:bidi="ar-SA"/>
        </w:rPr>
      </w:pPr>
      <w:r>
        <w:rPr>
          <w:szCs w:val="20"/>
          <w:lang w:eastAsia="en-US" w:bidi="ar-SA"/>
        </w:rPr>
        <w:t xml:space="preserve">z dnia </w:t>
      </w:r>
    </w:p>
    <w:p w:rsidR="00A9251F" w:rsidRDefault="00A9251F">
      <w:pPr>
        <w:jc w:val="left"/>
        <w:rPr>
          <w:color w:val="000000"/>
          <w:szCs w:val="20"/>
          <w:shd w:val="clear" w:color="auto" w:fill="FFFFFF"/>
          <w:lang w:eastAsia="en-US" w:bidi="ar-SA"/>
        </w:rPr>
      </w:pPr>
    </w:p>
    <w:p w:rsidR="00A9251F" w:rsidRDefault="00A93ACE">
      <w:pPr>
        <w:keepNext/>
        <w:spacing w:before="240" w:after="60"/>
        <w:outlineLvl w:val="0"/>
        <w:rPr>
          <w:b/>
          <w:szCs w:val="20"/>
          <w:lang w:eastAsia="en-US" w:bidi="ar-SA"/>
        </w:rPr>
      </w:pPr>
      <w:r>
        <w:rPr>
          <w:b/>
          <w:szCs w:val="20"/>
          <w:lang w:eastAsia="en-US" w:bidi="ar-SA"/>
        </w:rPr>
        <w:t xml:space="preserve">Ocena sytuacji ekonomiczno-finansowej </w:t>
      </w:r>
      <w:r>
        <w:rPr>
          <w:b/>
          <w:szCs w:val="20"/>
          <w:lang w:eastAsia="en-US" w:bidi="ar-SA"/>
        </w:rPr>
        <w:br/>
        <w:t xml:space="preserve">Miejskiego Centrum Medycznego „Polesie” w Łodzi </w:t>
      </w:r>
      <w:r>
        <w:rPr>
          <w:b/>
          <w:szCs w:val="20"/>
          <w:lang w:eastAsia="en-US" w:bidi="ar-SA"/>
        </w:rPr>
        <w:br/>
        <w:t>na podstawie raportu o sytuacji ekonomiczno-finansowej za rok 2021</w:t>
      </w:r>
      <w:r>
        <w:rPr>
          <w:b/>
          <w:szCs w:val="20"/>
        </w:rPr>
        <w:t>.</w:t>
      </w:r>
    </w:p>
    <w:p w:rsidR="00A9251F" w:rsidRDefault="00A93ACE">
      <w:pPr>
        <w:tabs>
          <w:tab w:val="left" w:pos="284"/>
          <w:tab w:val="left" w:pos="360"/>
        </w:tabs>
        <w:spacing w:before="240" w:line="276" w:lineRule="auto"/>
        <w:jc w:val="both"/>
        <w:rPr>
          <w:color w:val="000000"/>
          <w:szCs w:val="20"/>
          <w:shd w:val="clear" w:color="auto" w:fill="FFFFFF"/>
          <w:lang w:eastAsia="en-US" w:bidi="ar-SA"/>
        </w:rPr>
      </w:pPr>
      <w:r>
        <w:rPr>
          <w:color w:val="000000"/>
          <w:szCs w:val="20"/>
          <w:shd w:val="clear" w:color="auto" w:fill="FFFFFF"/>
          <w:lang w:eastAsia="en-US" w:bidi="ar-SA"/>
        </w:rPr>
        <w:t>Miejskie Centrum Medyczne „Polesie” w Łodzi, zwane dalej MCM „Polesie” w Łodzi, przedstawiło raport prezentujący sytuację ekonomiczno-finansową jednostki w roku obrotowym 2021 oraz prognozę ekonomiczno-finansową na lata 2022-2024. Przedłożony dokument zost</w:t>
      </w:r>
      <w:r>
        <w:rPr>
          <w:color w:val="000000"/>
          <w:szCs w:val="20"/>
          <w:shd w:val="clear" w:color="auto" w:fill="FFFFFF"/>
          <w:lang w:eastAsia="en-US" w:bidi="ar-SA"/>
        </w:rPr>
        <w:t xml:space="preserve">ał przygotowany na podstawie rozporządzenia Ministra Zdrowia z dnia </w:t>
      </w:r>
      <w:r>
        <w:rPr>
          <w:color w:val="000000"/>
          <w:szCs w:val="20"/>
          <w:shd w:val="clear" w:color="auto" w:fill="FFFFFF"/>
          <w:lang w:eastAsia="en-US" w:bidi="ar-SA"/>
        </w:rPr>
        <w:br/>
        <w:t xml:space="preserve">12 kwietnia 2017 r. w sprawie wskaźników ekonomiczno-finansowych niezbędnych </w:t>
      </w:r>
      <w:r>
        <w:rPr>
          <w:color w:val="000000"/>
          <w:szCs w:val="20"/>
          <w:shd w:val="clear" w:color="auto" w:fill="FFFFFF"/>
          <w:lang w:eastAsia="en-US" w:bidi="ar-SA"/>
        </w:rPr>
        <w:br/>
        <w:t>do sporządzenia analizy oraz prognozy sytuacji ekonomiczno-finansowej samodzielnych publicznych zakładów opie</w:t>
      </w:r>
      <w:r>
        <w:rPr>
          <w:color w:val="000000"/>
          <w:szCs w:val="20"/>
          <w:shd w:val="clear" w:color="auto" w:fill="FFFFFF"/>
          <w:lang w:eastAsia="en-US" w:bidi="ar-SA"/>
        </w:rPr>
        <w:t>ki zdrowotnej (</w:t>
      </w:r>
      <w:proofErr w:type="spellStart"/>
      <w:r>
        <w:rPr>
          <w:color w:val="000000"/>
          <w:szCs w:val="20"/>
          <w:shd w:val="clear" w:color="auto" w:fill="FFFFFF"/>
          <w:lang w:eastAsia="en-US" w:bidi="ar-SA"/>
        </w:rPr>
        <w:t>Dz.U</w:t>
      </w:r>
      <w:proofErr w:type="spellEnd"/>
      <w:r>
        <w:rPr>
          <w:color w:val="000000"/>
          <w:szCs w:val="20"/>
          <w:shd w:val="clear" w:color="auto" w:fill="FFFFFF"/>
          <w:lang w:eastAsia="en-US" w:bidi="ar-SA"/>
        </w:rPr>
        <w:t xml:space="preserve">. poz. 832), które określa: </w:t>
      </w:r>
    </w:p>
    <w:p w:rsidR="00A9251F" w:rsidRDefault="00A93ACE">
      <w:pPr>
        <w:numPr>
          <w:ilvl w:val="0"/>
          <w:numId w:val="1"/>
        </w:numPr>
        <w:tabs>
          <w:tab w:val="left" w:pos="284"/>
        </w:tabs>
        <w:spacing w:before="120" w:line="276" w:lineRule="auto"/>
        <w:ind w:left="283" w:hanging="283"/>
        <w:jc w:val="both"/>
        <w:rPr>
          <w:b/>
          <w:color w:val="000000"/>
          <w:szCs w:val="20"/>
          <w:shd w:val="clear" w:color="auto" w:fill="FFFFFF"/>
          <w:lang w:eastAsia="en-US" w:bidi="ar-SA"/>
        </w:rPr>
      </w:pPr>
      <w:r>
        <w:rPr>
          <w:b/>
          <w:color w:val="000000"/>
          <w:szCs w:val="20"/>
          <w:shd w:val="clear" w:color="auto" w:fill="FFFFFF"/>
        </w:rPr>
        <w:t>w</w:t>
      </w:r>
      <w:proofErr w:type="spellStart"/>
      <w:r>
        <w:rPr>
          <w:b/>
          <w:color w:val="000000"/>
          <w:szCs w:val="20"/>
          <w:shd w:val="clear" w:color="auto" w:fill="FFFFFF"/>
          <w:lang w:eastAsia="en-US" w:bidi="ar-SA"/>
        </w:rPr>
        <w:t>skaźniki</w:t>
      </w:r>
      <w:proofErr w:type="spellEnd"/>
      <w:r>
        <w:rPr>
          <w:b/>
          <w:color w:val="000000"/>
          <w:szCs w:val="20"/>
          <w:shd w:val="clear" w:color="auto" w:fill="FFFFFF"/>
          <w:lang w:eastAsia="en-US" w:bidi="ar-SA"/>
        </w:rPr>
        <w:t xml:space="preserve"> ekonomiczno-finansowe i sposób ich obliczania, następujących aspektów sytuacji finansowej jednostki:</w:t>
      </w:r>
    </w:p>
    <w:p w:rsidR="00A9251F" w:rsidRDefault="00A93ACE">
      <w:pPr>
        <w:numPr>
          <w:ilvl w:val="0"/>
          <w:numId w:val="2"/>
        </w:numPr>
        <w:tabs>
          <w:tab w:val="left" w:pos="284"/>
        </w:tabs>
        <w:spacing w:before="120" w:line="276" w:lineRule="auto"/>
        <w:ind w:left="283" w:hanging="283"/>
        <w:jc w:val="both"/>
        <w:rPr>
          <w:color w:val="000000"/>
          <w:szCs w:val="20"/>
          <w:shd w:val="clear" w:color="auto" w:fill="FFFFFF"/>
          <w:lang w:eastAsia="en-US" w:bidi="ar-SA"/>
        </w:rPr>
      </w:pPr>
      <w:r>
        <w:rPr>
          <w:color w:val="000000"/>
          <w:szCs w:val="20"/>
          <w:shd w:val="clear" w:color="auto" w:fill="FFFFFF"/>
          <w:lang w:eastAsia="en-US" w:bidi="ar-SA"/>
        </w:rPr>
        <w:t>zyskowności tj. zdolności jednostki do generowania zysków,</w:t>
      </w:r>
    </w:p>
    <w:p w:rsidR="00A9251F" w:rsidRDefault="00A93ACE">
      <w:pPr>
        <w:numPr>
          <w:ilvl w:val="0"/>
          <w:numId w:val="2"/>
        </w:numPr>
        <w:tabs>
          <w:tab w:val="left" w:pos="284"/>
        </w:tabs>
        <w:spacing w:line="276" w:lineRule="auto"/>
        <w:ind w:left="283" w:hanging="283"/>
        <w:jc w:val="both"/>
        <w:rPr>
          <w:color w:val="000000"/>
          <w:szCs w:val="20"/>
          <w:shd w:val="clear" w:color="auto" w:fill="FFFFFF"/>
          <w:lang w:eastAsia="en-US" w:bidi="ar-SA"/>
        </w:rPr>
      </w:pPr>
      <w:r>
        <w:rPr>
          <w:color w:val="000000"/>
          <w:szCs w:val="20"/>
          <w:shd w:val="clear" w:color="auto" w:fill="FFFFFF"/>
          <w:lang w:eastAsia="en-US" w:bidi="ar-SA"/>
        </w:rPr>
        <w:t xml:space="preserve">płynności finansowej tj. zdolności </w:t>
      </w:r>
      <w:r>
        <w:rPr>
          <w:color w:val="000000"/>
          <w:szCs w:val="20"/>
          <w:shd w:val="clear" w:color="auto" w:fill="FFFFFF"/>
          <w:lang w:eastAsia="en-US" w:bidi="ar-SA"/>
        </w:rPr>
        <w:t>jednostki do terminowego regulowania zaciągniętych zobowiązań krótkoterminowych,</w:t>
      </w:r>
    </w:p>
    <w:p w:rsidR="00A9251F" w:rsidRDefault="00A93ACE">
      <w:pPr>
        <w:numPr>
          <w:ilvl w:val="0"/>
          <w:numId w:val="2"/>
        </w:numPr>
        <w:tabs>
          <w:tab w:val="left" w:pos="284"/>
        </w:tabs>
        <w:spacing w:line="276" w:lineRule="auto"/>
        <w:ind w:left="283" w:hanging="283"/>
        <w:jc w:val="both"/>
        <w:rPr>
          <w:color w:val="000000"/>
          <w:szCs w:val="20"/>
          <w:shd w:val="clear" w:color="auto" w:fill="FFFFFF"/>
          <w:lang w:eastAsia="en-US" w:bidi="ar-SA"/>
        </w:rPr>
      </w:pPr>
      <w:r>
        <w:rPr>
          <w:color w:val="000000"/>
          <w:szCs w:val="20"/>
          <w:shd w:val="clear" w:color="auto" w:fill="FFFFFF"/>
          <w:lang w:eastAsia="en-US" w:bidi="ar-SA"/>
        </w:rPr>
        <w:t>efektywności zarządzania przepływami finansowymi,</w:t>
      </w:r>
    </w:p>
    <w:p w:rsidR="00A9251F" w:rsidRDefault="00A93ACE">
      <w:pPr>
        <w:numPr>
          <w:ilvl w:val="0"/>
          <w:numId w:val="2"/>
        </w:numPr>
        <w:tabs>
          <w:tab w:val="left" w:pos="284"/>
        </w:tabs>
        <w:spacing w:line="276" w:lineRule="auto"/>
        <w:ind w:left="283" w:hanging="283"/>
        <w:jc w:val="both"/>
        <w:rPr>
          <w:color w:val="000000"/>
          <w:szCs w:val="20"/>
          <w:shd w:val="clear" w:color="auto" w:fill="FFFFFF"/>
          <w:lang w:eastAsia="en-US" w:bidi="ar-SA"/>
        </w:rPr>
      </w:pPr>
      <w:r>
        <w:rPr>
          <w:color w:val="000000"/>
          <w:szCs w:val="20"/>
          <w:shd w:val="clear" w:color="auto" w:fill="FFFFFF"/>
          <w:lang w:eastAsia="en-US" w:bidi="ar-SA"/>
        </w:rPr>
        <w:t>zadłużenia tj. stopnia finansowania aktywów kapitałami obcymi</w:t>
      </w:r>
      <w:r>
        <w:rPr>
          <w:color w:val="000000"/>
          <w:szCs w:val="20"/>
          <w:shd w:val="clear" w:color="auto" w:fill="FFFFFF"/>
        </w:rPr>
        <w:t>;</w:t>
      </w:r>
    </w:p>
    <w:p w:rsidR="00A9251F" w:rsidRDefault="00A93ACE">
      <w:pPr>
        <w:numPr>
          <w:ilvl w:val="0"/>
          <w:numId w:val="1"/>
        </w:numPr>
        <w:tabs>
          <w:tab w:val="left" w:pos="360"/>
        </w:tabs>
        <w:spacing w:before="120" w:line="276" w:lineRule="auto"/>
        <w:jc w:val="both"/>
        <w:rPr>
          <w:b/>
          <w:color w:val="000000"/>
          <w:szCs w:val="20"/>
          <w:shd w:val="clear" w:color="auto" w:fill="FFFFFF"/>
          <w:lang w:eastAsia="en-US" w:bidi="ar-SA"/>
        </w:rPr>
      </w:pPr>
      <w:r>
        <w:rPr>
          <w:b/>
          <w:color w:val="000000"/>
          <w:szCs w:val="20"/>
          <w:shd w:val="clear" w:color="auto" w:fill="FFFFFF"/>
        </w:rPr>
        <w:t>p</w:t>
      </w:r>
      <w:proofErr w:type="spellStart"/>
      <w:r>
        <w:rPr>
          <w:b/>
          <w:color w:val="000000"/>
          <w:szCs w:val="20"/>
          <w:shd w:val="clear" w:color="auto" w:fill="FFFFFF"/>
          <w:lang w:eastAsia="en-US" w:bidi="ar-SA"/>
        </w:rPr>
        <w:t>unktowe</w:t>
      </w:r>
      <w:proofErr w:type="spellEnd"/>
      <w:r>
        <w:rPr>
          <w:b/>
          <w:color w:val="000000"/>
          <w:szCs w:val="20"/>
          <w:shd w:val="clear" w:color="auto" w:fill="FFFFFF"/>
          <w:lang w:eastAsia="en-US" w:bidi="ar-SA"/>
        </w:rPr>
        <w:t xml:space="preserve"> oceny dla określonych przedziałów wartości wskaźników</w:t>
      </w:r>
      <w:r>
        <w:rPr>
          <w:b/>
          <w:color w:val="000000"/>
          <w:szCs w:val="20"/>
          <w:shd w:val="clear" w:color="auto" w:fill="FFFFFF"/>
        </w:rPr>
        <w:t>.</w:t>
      </w:r>
    </w:p>
    <w:p w:rsidR="00A9251F" w:rsidRDefault="00A93ACE">
      <w:pPr>
        <w:tabs>
          <w:tab w:val="left" w:pos="360"/>
        </w:tabs>
        <w:spacing w:before="120" w:after="200" w:line="276" w:lineRule="auto"/>
        <w:jc w:val="both"/>
        <w:rPr>
          <w:color w:val="000000"/>
          <w:szCs w:val="20"/>
          <w:shd w:val="clear" w:color="auto" w:fill="FFFFFF"/>
          <w:lang w:eastAsia="en-US" w:bidi="ar-SA"/>
        </w:rPr>
      </w:pPr>
      <w:r>
        <w:rPr>
          <w:color w:val="000000"/>
          <w:szCs w:val="20"/>
          <w:shd w:val="clear" w:color="auto" w:fill="FFFFFF"/>
          <w:lang w:eastAsia="en-US" w:bidi="ar-SA"/>
        </w:rPr>
        <w:t>Sumaryczna, maksymalna możliwa ocena punktowa wszystkich wskaźników ekonomiczno-finansowych dla SPZOZ wynikająca z ww. rozporządzenia wynosi (za dany rok) 70 pkt.</w:t>
      </w:r>
    </w:p>
    <w:p w:rsidR="00A9251F" w:rsidRDefault="00A93ACE">
      <w:pPr>
        <w:tabs>
          <w:tab w:val="left" w:pos="360"/>
        </w:tabs>
        <w:spacing w:after="200" w:line="276" w:lineRule="auto"/>
        <w:jc w:val="both"/>
        <w:rPr>
          <w:color w:val="000000"/>
          <w:szCs w:val="20"/>
          <w:shd w:val="clear" w:color="auto" w:fill="FFFFFF"/>
          <w:lang w:eastAsia="en-US" w:bidi="ar-SA"/>
        </w:rPr>
      </w:pPr>
      <w:r>
        <w:rPr>
          <w:b/>
          <w:color w:val="000000"/>
          <w:szCs w:val="20"/>
          <w:shd w:val="clear" w:color="auto" w:fill="FFFFFF"/>
          <w:lang w:eastAsia="en-US" w:bidi="ar-SA"/>
        </w:rPr>
        <w:t>Ocena formalno-merytoryczna</w:t>
      </w:r>
    </w:p>
    <w:p w:rsidR="00A9251F" w:rsidRDefault="00A93ACE">
      <w:pPr>
        <w:tabs>
          <w:tab w:val="left" w:pos="360"/>
        </w:tabs>
        <w:spacing w:after="200" w:line="276" w:lineRule="auto"/>
        <w:jc w:val="both"/>
        <w:rPr>
          <w:color w:val="000000"/>
          <w:szCs w:val="20"/>
          <w:shd w:val="clear" w:color="auto" w:fill="FFFFFF"/>
          <w:lang w:eastAsia="en-US" w:bidi="ar-SA"/>
        </w:rPr>
      </w:pPr>
      <w:r>
        <w:rPr>
          <w:color w:val="000000"/>
          <w:szCs w:val="20"/>
          <w:shd w:val="clear" w:color="auto" w:fill="FFFFFF"/>
          <w:lang w:eastAsia="en-US" w:bidi="ar-SA"/>
        </w:rPr>
        <w:t>Przedstawiony przez MCM „Polesie” w Łodzi raport zawiera elemen</w:t>
      </w:r>
      <w:r>
        <w:rPr>
          <w:color w:val="000000"/>
          <w:szCs w:val="20"/>
          <w:shd w:val="clear" w:color="auto" w:fill="FFFFFF"/>
          <w:lang w:eastAsia="en-US" w:bidi="ar-SA"/>
        </w:rPr>
        <w:t xml:space="preserve">ty wymienione </w:t>
      </w:r>
      <w:r>
        <w:rPr>
          <w:color w:val="000000"/>
          <w:szCs w:val="20"/>
          <w:shd w:val="clear" w:color="auto" w:fill="FFFFFF"/>
          <w:lang w:eastAsia="en-US" w:bidi="ar-SA"/>
        </w:rPr>
        <w:br/>
        <w:t xml:space="preserve">w ww. rozporządzeniu. Zawarte w nim punktowe wartości wskaźników zostały wyliczone przez jednostkę prawidłowo i mają swoje odzwierciedlenie w składowych przedstawionego sprawozdania finansowego tj. bilansie i rachunku zysków i strat za 2021 </w:t>
      </w:r>
      <w:r>
        <w:rPr>
          <w:color w:val="000000"/>
          <w:szCs w:val="20"/>
          <w:shd w:val="clear" w:color="auto" w:fill="FFFFFF"/>
          <w:lang w:eastAsia="en-US" w:bidi="ar-SA"/>
        </w:rPr>
        <w:t xml:space="preserve">rok oraz prognozy </w:t>
      </w:r>
      <w:r>
        <w:rPr>
          <w:color w:val="000000"/>
          <w:szCs w:val="20"/>
          <w:shd w:val="clear" w:color="auto" w:fill="FFFFFF"/>
          <w:lang w:eastAsia="en-US" w:bidi="ar-SA"/>
        </w:rPr>
        <w:br/>
        <w:t>na lata 2022-2024. Przyjęte w raporcie założenia oraz kierunki działań pozwalają na dalsze funkcjonowanie jednostki, w ramach dotychczasowej działalności: podstawowej opieki zdrowotnej (POZ), ambulatoryjnej opieki specjalistycznej (AOS),</w:t>
      </w:r>
      <w:r>
        <w:rPr>
          <w:color w:val="000000"/>
          <w:szCs w:val="20"/>
          <w:shd w:val="clear" w:color="auto" w:fill="FFFFFF"/>
          <w:lang w:eastAsia="en-US" w:bidi="ar-SA"/>
        </w:rPr>
        <w:t xml:space="preserve"> rehabilitacji </w:t>
      </w:r>
      <w:r>
        <w:rPr>
          <w:color w:val="000000"/>
          <w:szCs w:val="20"/>
          <w:shd w:val="clear" w:color="auto" w:fill="FFFFFF"/>
          <w:lang w:eastAsia="en-US" w:bidi="ar-SA"/>
        </w:rPr>
        <w:br/>
        <w:t>oraz stomatologii, jak również realizacji programów zdrowotnych i profilaktycznych.</w:t>
      </w:r>
    </w:p>
    <w:p w:rsidR="00A9251F" w:rsidRDefault="00A9251F">
      <w:pPr>
        <w:tabs>
          <w:tab w:val="left" w:pos="360"/>
        </w:tabs>
        <w:spacing w:after="200" w:line="276" w:lineRule="auto"/>
        <w:jc w:val="both"/>
        <w:rPr>
          <w:color w:val="000000"/>
          <w:szCs w:val="20"/>
          <w:shd w:val="clear" w:color="auto" w:fill="FFFFFF"/>
          <w:lang w:eastAsia="en-US" w:bidi="ar-SA"/>
        </w:rPr>
      </w:pPr>
    </w:p>
    <w:p w:rsidR="00A9251F" w:rsidRDefault="00A93ACE">
      <w:pPr>
        <w:tabs>
          <w:tab w:val="left" w:pos="360"/>
        </w:tabs>
        <w:spacing w:after="200" w:line="276" w:lineRule="auto"/>
        <w:jc w:val="both"/>
        <w:rPr>
          <w:color w:val="000000"/>
          <w:szCs w:val="20"/>
          <w:shd w:val="clear" w:color="auto" w:fill="FFFFFF"/>
          <w:lang w:eastAsia="en-US" w:bidi="ar-SA"/>
        </w:rPr>
      </w:pPr>
      <w:r>
        <w:rPr>
          <w:color w:val="000000"/>
          <w:szCs w:val="20"/>
          <w:shd w:val="clear" w:color="auto" w:fill="FFFFFF"/>
        </w:rPr>
        <w:br w:type="column"/>
      </w:r>
    </w:p>
    <w:p w:rsidR="00A9251F" w:rsidRDefault="00A93ACE">
      <w:pPr>
        <w:keepNext/>
        <w:spacing w:before="240" w:after="60"/>
        <w:jc w:val="left"/>
        <w:outlineLvl w:val="0"/>
        <w:rPr>
          <w:b/>
          <w:szCs w:val="20"/>
          <w:lang w:eastAsia="en-US" w:bidi="ar-SA"/>
        </w:rPr>
      </w:pPr>
      <w:r>
        <w:rPr>
          <w:b/>
          <w:szCs w:val="20"/>
          <w:lang w:eastAsia="en-US" w:bidi="ar-SA"/>
        </w:rPr>
        <w:t>Wskaźniki M</w:t>
      </w:r>
      <w:r>
        <w:rPr>
          <w:b/>
          <w:szCs w:val="20"/>
        </w:rPr>
        <w:t>CM</w:t>
      </w:r>
      <w:r>
        <w:rPr>
          <w:b/>
          <w:szCs w:val="20"/>
          <w:lang w:eastAsia="en-US" w:bidi="ar-SA"/>
        </w:rPr>
        <w:t xml:space="preserve"> „Polesie” w Łodzi za rok 2021</w:t>
      </w:r>
    </w:p>
    <w:tbl>
      <w:tblPr>
        <w:tblW w:w="5000" w:type="pct"/>
        <w:tblCellMar>
          <w:left w:w="70" w:type="dxa"/>
          <w:right w:w="70" w:type="dxa"/>
        </w:tblCellMar>
        <w:tblLook w:val="04A0"/>
      </w:tblPr>
      <w:tblGrid>
        <w:gridCol w:w="2128"/>
        <w:gridCol w:w="4341"/>
        <w:gridCol w:w="1319"/>
        <w:gridCol w:w="1422"/>
      </w:tblGrid>
      <w:tr w:rsidR="00A9251F">
        <w:trPr>
          <w:trHeight w:val="491"/>
        </w:trPr>
        <w:tc>
          <w:tcPr>
            <w:tcW w:w="1155" w:type="pct"/>
            <w:vMerge w:val="restart"/>
            <w:tcBorders>
              <w:top w:val="single" w:sz="8" w:space="0" w:color="000000"/>
              <w:left w:val="single" w:sz="8" w:space="0" w:color="000000"/>
              <w:bottom w:val="single" w:sz="8" w:space="0" w:color="000000"/>
              <w:right w:val="single" w:sz="8" w:space="0" w:color="000000"/>
            </w:tcBorders>
            <w:shd w:val="clear" w:color="auto" w:fill="FFFF99"/>
            <w:noWrap/>
            <w:vAlign w:val="center"/>
          </w:tcPr>
          <w:p w:rsidR="00A9251F" w:rsidRDefault="00A93ACE">
            <w:pPr>
              <w:rPr>
                <w:b/>
                <w:color w:val="000000"/>
                <w:szCs w:val="20"/>
                <w:shd w:val="clear" w:color="auto" w:fill="FFFFFF"/>
                <w:lang w:eastAsia="en-US" w:bidi="ar-SA"/>
              </w:rPr>
            </w:pPr>
            <w:r>
              <w:rPr>
                <w:b/>
                <w:color w:val="000000"/>
                <w:szCs w:val="20"/>
                <w:shd w:val="clear" w:color="auto" w:fill="FFFFFF"/>
                <w:lang w:eastAsia="en-US" w:bidi="ar-SA"/>
              </w:rPr>
              <w:t>Grupa</w:t>
            </w:r>
          </w:p>
        </w:tc>
        <w:tc>
          <w:tcPr>
            <w:tcW w:w="2357" w:type="pct"/>
            <w:vMerge w:val="restart"/>
            <w:tcBorders>
              <w:top w:val="single" w:sz="8" w:space="0" w:color="000000"/>
              <w:left w:val="single" w:sz="8" w:space="0" w:color="000000"/>
              <w:bottom w:val="single" w:sz="8" w:space="0" w:color="000000"/>
              <w:right w:val="nil"/>
            </w:tcBorders>
            <w:shd w:val="clear" w:color="auto" w:fill="FFFF99"/>
            <w:vAlign w:val="center"/>
          </w:tcPr>
          <w:p w:rsidR="00A9251F" w:rsidRDefault="00A93ACE">
            <w:pPr>
              <w:rPr>
                <w:b/>
                <w:color w:val="000000"/>
                <w:szCs w:val="20"/>
                <w:shd w:val="clear" w:color="auto" w:fill="FFFFFF"/>
                <w:lang w:eastAsia="en-US" w:bidi="ar-SA"/>
              </w:rPr>
            </w:pPr>
            <w:r>
              <w:rPr>
                <w:b/>
                <w:color w:val="000000"/>
                <w:szCs w:val="20"/>
                <w:shd w:val="clear" w:color="auto" w:fill="FFFFFF"/>
                <w:lang w:eastAsia="en-US" w:bidi="ar-SA"/>
              </w:rPr>
              <w:t>Wskaźniki</w:t>
            </w:r>
          </w:p>
        </w:tc>
        <w:tc>
          <w:tcPr>
            <w:tcW w:w="1488" w:type="pct"/>
            <w:gridSpan w:val="2"/>
            <w:tcBorders>
              <w:top w:val="single" w:sz="8" w:space="0" w:color="000000"/>
              <w:left w:val="single" w:sz="8" w:space="0" w:color="000000"/>
              <w:bottom w:val="single" w:sz="4" w:space="0" w:color="000000"/>
              <w:right w:val="single" w:sz="8" w:space="0" w:color="000000"/>
            </w:tcBorders>
            <w:shd w:val="clear" w:color="auto" w:fill="FFFF99"/>
            <w:vAlign w:val="center"/>
          </w:tcPr>
          <w:p w:rsidR="00A9251F" w:rsidRDefault="00A93ACE">
            <w:pPr>
              <w:rPr>
                <w:b/>
                <w:color w:val="000000"/>
                <w:szCs w:val="20"/>
                <w:shd w:val="clear" w:color="auto" w:fill="FFFFFF"/>
                <w:lang w:eastAsia="en-US" w:bidi="ar-SA"/>
              </w:rPr>
            </w:pPr>
            <w:r>
              <w:rPr>
                <w:b/>
                <w:color w:val="000000"/>
                <w:szCs w:val="20"/>
                <w:shd w:val="clear" w:color="auto" w:fill="FFFFFF"/>
                <w:lang w:eastAsia="en-US" w:bidi="ar-SA"/>
              </w:rPr>
              <w:t>2021</w:t>
            </w:r>
          </w:p>
        </w:tc>
      </w:tr>
      <w:tr w:rsidR="00A9251F">
        <w:trPr>
          <w:trHeight w:val="696"/>
        </w:trPr>
        <w:tc>
          <w:tcPr>
            <w:tcW w:w="1155" w:type="pct"/>
            <w:vMerge/>
            <w:tcBorders>
              <w:top w:val="single" w:sz="8" w:space="0" w:color="000000"/>
              <w:left w:val="single" w:sz="8" w:space="0" w:color="000000"/>
              <w:bottom w:val="single" w:sz="8" w:space="0" w:color="000000"/>
              <w:right w:val="single" w:sz="8" w:space="0" w:color="000000"/>
            </w:tcBorders>
            <w:vAlign w:val="center"/>
          </w:tcPr>
          <w:p w:rsidR="00A9251F" w:rsidRDefault="00A9251F">
            <w:pPr>
              <w:jc w:val="left"/>
              <w:rPr>
                <w:b/>
                <w:color w:val="000000"/>
                <w:szCs w:val="20"/>
                <w:shd w:val="clear" w:color="auto" w:fill="FFFFFF"/>
                <w:lang w:eastAsia="en-US" w:bidi="ar-SA"/>
              </w:rPr>
            </w:pPr>
          </w:p>
        </w:tc>
        <w:tc>
          <w:tcPr>
            <w:tcW w:w="2357" w:type="pct"/>
            <w:vMerge/>
            <w:tcBorders>
              <w:top w:val="single" w:sz="8" w:space="0" w:color="000000"/>
              <w:left w:val="single" w:sz="8" w:space="0" w:color="000000"/>
              <w:bottom w:val="single" w:sz="8" w:space="0" w:color="000000"/>
              <w:right w:val="nil"/>
            </w:tcBorders>
            <w:vAlign w:val="center"/>
          </w:tcPr>
          <w:p w:rsidR="00A9251F" w:rsidRDefault="00A9251F">
            <w:pPr>
              <w:jc w:val="left"/>
              <w:rPr>
                <w:b/>
                <w:color w:val="000000"/>
                <w:szCs w:val="20"/>
                <w:shd w:val="clear" w:color="auto" w:fill="FFFFFF"/>
                <w:lang w:eastAsia="en-US" w:bidi="ar-SA"/>
              </w:rPr>
            </w:pPr>
          </w:p>
        </w:tc>
        <w:tc>
          <w:tcPr>
            <w:tcW w:w="716" w:type="pct"/>
            <w:tcBorders>
              <w:top w:val="nil"/>
              <w:left w:val="single" w:sz="8" w:space="0" w:color="000000"/>
              <w:bottom w:val="single" w:sz="8" w:space="0" w:color="000000"/>
              <w:right w:val="single" w:sz="4" w:space="0" w:color="000000"/>
            </w:tcBorders>
            <w:shd w:val="clear" w:color="auto" w:fill="FFFF99"/>
            <w:vAlign w:val="center"/>
          </w:tcPr>
          <w:p w:rsidR="00A9251F" w:rsidRDefault="00A93ACE">
            <w:pPr>
              <w:ind w:left="650" w:hanging="650"/>
              <w:rPr>
                <w:b/>
                <w:color w:val="000000"/>
                <w:szCs w:val="20"/>
                <w:shd w:val="clear" w:color="auto" w:fill="FFFFFF"/>
                <w:lang w:eastAsia="en-US" w:bidi="ar-SA"/>
              </w:rPr>
            </w:pPr>
            <w:r>
              <w:rPr>
                <w:b/>
                <w:color w:val="000000"/>
                <w:szCs w:val="20"/>
                <w:shd w:val="clear" w:color="auto" w:fill="FFFFFF"/>
                <w:lang w:eastAsia="en-US" w:bidi="ar-SA"/>
              </w:rPr>
              <w:t>Wskaźnik</w:t>
            </w:r>
          </w:p>
        </w:tc>
        <w:tc>
          <w:tcPr>
            <w:tcW w:w="772" w:type="pct"/>
            <w:tcBorders>
              <w:top w:val="nil"/>
              <w:left w:val="nil"/>
              <w:bottom w:val="single" w:sz="8" w:space="0" w:color="000000"/>
              <w:right w:val="single" w:sz="8" w:space="0" w:color="000000"/>
            </w:tcBorders>
            <w:shd w:val="clear" w:color="auto" w:fill="FFFF99"/>
            <w:vAlign w:val="center"/>
          </w:tcPr>
          <w:p w:rsidR="00A9251F" w:rsidRDefault="00A93ACE">
            <w:pPr>
              <w:rPr>
                <w:b/>
                <w:color w:val="000000"/>
                <w:szCs w:val="20"/>
                <w:shd w:val="clear" w:color="auto" w:fill="FFFFFF"/>
                <w:lang w:eastAsia="en-US" w:bidi="ar-SA"/>
              </w:rPr>
            </w:pPr>
            <w:r>
              <w:rPr>
                <w:b/>
                <w:color w:val="000000"/>
                <w:szCs w:val="20"/>
                <w:shd w:val="clear" w:color="auto" w:fill="FFFFFF"/>
                <w:lang w:eastAsia="en-US" w:bidi="ar-SA"/>
              </w:rPr>
              <w:t>Ilość punktów</w:t>
            </w:r>
          </w:p>
        </w:tc>
      </w:tr>
      <w:tr w:rsidR="00A9251F">
        <w:trPr>
          <w:trHeight w:val="900"/>
        </w:trPr>
        <w:tc>
          <w:tcPr>
            <w:tcW w:w="1155" w:type="pct"/>
            <w:vMerge w:val="restart"/>
            <w:tcBorders>
              <w:top w:val="nil"/>
              <w:left w:val="single" w:sz="8" w:space="0" w:color="000000"/>
              <w:bottom w:val="single" w:sz="8" w:space="0" w:color="000000"/>
              <w:right w:val="single" w:sz="8" w:space="0" w:color="000000"/>
            </w:tcBorders>
            <w:shd w:val="clear" w:color="auto" w:fill="CCFFCC"/>
            <w:vAlign w:val="center"/>
          </w:tcPr>
          <w:p w:rsidR="00A9251F" w:rsidRDefault="00A93ACE">
            <w:pPr>
              <w:rPr>
                <w:b/>
                <w:color w:val="000000"/>
                <w:szCs w:val="20"/>
                <w:shd w:val="clear" w:color="auto" w:fill="FFFFFF"/>
                <w:lang w:eastAsia="en-US" w:bidi="ar-SA"/>
              </w:rPr>
            </w:pPr>
            <w:r>
              <w:rPr>
                <w:b/>
                <w:color w:val="000000"/>
                <w:szCs w:val="20"/>
                <w:shd w:val="clear" w:color="auto" w:fill="FFFFFF"/>
                <w:lang w:eastAsia="en-US" w:bidi="ar-SA"/>
              </w:rPr>
              <w:t>WSKAŹNIKI ZYSKOWNOŚCI</w:t>
            </w:r>
          </w:p>
        </w:tc>
        <w:tc>
          <w:tcPr>
            <w:tcW w:w="2357" w:type="pct"/>
            <w:tcBorders>
              <w:top w:val="nil"/>
              <w:left w:val="nil"/>
              <w:bottom w:val="single" w:sz="4" w:space="0" w:color="000000"/>
              <w:right w:val="single" w:sz="8" w:space="0" w:color="000000"/>
            </w:tcBorders>
            <w:vAlign w:val="center"/>
          </w:tcPr>
          <w:p w:rsidR="00A9251F" w:rsidRDefault="00A93ACE">
            <w:pPr>
              <w:jc w:val="left"/>
              <w:rPr>
                <w:color w:val="000000"/>
                <w:szCs w:val="20"/>
                <w:shd w:val="clear" w:color="auto" w:fill="FFFFFF"/>
                <w:lang w:eastAsia="en-US" w:bidi="ar-SA"/>
              </w:rPr>
            </w:pPr>
            <w:r>
              <w:rPr>
                <w:color w:val="000000"/>
                <w:szCs w:val="20"/>
                <w:shd w:val="clear" w:color="auto" w:fill="FFFFFF"/>
                <w:lang w:eastAsia="en-US" w:bidi="ar-SA"/>
              </w:rPr>
              <w:t xml:space="preserve">zyskowności  netto  (%)                                                           </w:t>
            </w:r>
          </w:p>
        </w:tc>
        <w:tc>
          <w:tcPr>
            <w:tcW w:w="716" w:type="pct"/>
            <w:tcBorders>
              <w:top w:val="nil"/>
              <w:left w:val="nil"/>
              <w:bottom w:val="single" w:sz="4" w:space="0" w:color="000000"/>
              <w:right w:val="single" w:sz="4" w:space="0" w:color="000000"/>
            </w:tcBorders>
            <w:noWrap/>
            <w:vAlign w:val="center"/>
          </w:tcPr>
          <w:p w:rsidR="00A9251F" w:rsidRDefault="00A93ACE">
            <w:pPr>
              <w:rPr>
                <w:color w:val="000000"/>
                <w:szCs w:val="20"/>
                <w:shd w:val="clear" w:color="auto" w:fill="FFFFFF"/>
                <w:lang w:eastAsia="en-US" w:bidi="ar-SA"/>
              </w:rPr>
            </w:pPr>
            <w:r>
              <w:rPr>
                <w:color w:val="000000"/>
                <w:szCs w:val="20"/>
                <w:shd w:val="clear" w:color="auto" w:fill="FFFFFF"/>
                <w:lang w:eastAsia="en-US" w:bidi="ar-SA"/>
              </w:rPr>
              <w:t>7,81%</w:t>
            </w:r>
          </w:p>
        </w:tc>
        <w:tc>
          <w:tcPr>
            <w:tcW w:w="772" w:type="pct"/>
            <w:tcBorders>
              <w:top w:val="nil"/>
              <w:left w:val="nil"/>
              <w:bottom w:val="single" w:sz="4" w:space="0" w:color="000000"/>
              <w:right w:val="single" w:sz="8" w:space="0" w:color="000000"/>
            </w:tcBorders>
            <w:shd w:val="clear" w:color="auto" w:fill="FFFFFF"/>
            <w:vAlign w:val="center"/>
          </w:tcPr>
          <w:p w:rsidR="00A9251F" w:rsidRDefault="00A93ACE">
            <w:pPr>
              <w:rPr>
                <w:color w:val="000000"/>
                <w:szCs w:val="20"/>
                <w:shd w:val="clear" w:color="auto" w:fill="FFFFFF"/>
                <w:lang w:eastAsia="en-US" w:bidi="ar-SA"/>
              </w:rPr>
            </w:pPr>
            <w:r>
              <w:rPr>
                <w:color w:val="000000"/>
                <w:szCs w:val="20"/>
                <w:shd w:val="clear" w:color="auto" w:fill="FFFFFF"/>
                <w:lang w:eastAsia="en-US" w:bidi="ar-SA"/>
              </w:rPr>
              <w:t>5</w:t>
            </w:r>
          </w:p>
        </w:tc>
      </w:tr>
      <w:tr w:rsidR="00A9251F">
        <w:trPr>
          <w:trHeight w:val="733"/>
        </w:trPr>
        <w:tc>
          <w:tcPr>
            <w:tcW w:w="1155" w:type="pct"/>
            <w:vMerge/>
            <w:tcBorders>
              <w:top w:val="nil"/>
              <w:left w:val="single" w:sz="8" w:space="0" w:color="000000"/>
              <w:bottom w:val="single" w:sz="8" w:space="0" w:color="000000"/>
              <w:right w:val="single" w:sz="8" w:space="0" w:color="000000"/>
            </w:tcBorders>
            <w:vAlign w:val="center"/>
          </w:tcPr>
          <w:p w:rsidR="00A9251F" w:rsidRDefault="00A9251F">
            <w:pPr>
              <w:jc w:val="left"/>
              <w:rPr>
                <w:b/>
                <w:color w:val="000000"/>
                <w:szCs w:val="20"/>
                <w:shd w:val="clear" w:color="auto" w:fill="FFFFFF"/>
                <w:lang w:eastAsia="en-US" w:bidi="ar-SA"/>
              </w:rPr>
            </w:pPr>
          </w:p>
        </w:tc>
        <w:tc>
          <w:tcPr>
            <w:tcW w:w="2357" w:type="pct"/>
            <w:tcBorders>
              <w:top w:val="nil"/>
              <w:left w:val="nil"/>
              <w:bottom w:val="single" w:sz="4" w:space="0" w:color="000000"/>
              <w:right w:val="single" w:sz="8" w:space="0" w:color="000000"/>
            </w:tcBorders>
            <w:vAlign w:val="center"/>
          </w:tcPr>
          <w:p w:rsidR="00A9251F" w:rsidRDefault="00A93ACE">
            <w:pPr>
              <w:jc w:val="left"/>
              <w:rPr>
                <w:color w:val="000000"/>
                <w:szCs w:val="20"/>
                <w:shd w:val="clear" w:color="auto" w:fill="FFFFFF"/>
                <w:lang w:eastAsia="en-US" w:bidi="ar-SA"/>
              </w:rPr>
            </w:pPr>
            <w:r>
              <w:rPr>
                <w:color w:val="000000"/>
                <w:szCs w:val="20"/>
                <w:shd w:val="clear" w:color="auto" w:fill="FFFFFF"/>
                <w:lang w:eastAsia="en-US" w:bidi="ar-SA"/>
              </w:rPr>
              <w:t xml:space="preserve">zyskowności działalności operacyjnej (%)            </w:t>
            </w:r>
          </w:p>
        </w:tc>
        <w:tc>
          <w:tcPr>
            <w:tcW w:w="716" w:type="pct"/>
            <w:tcBorders>
              <w:top w:val="nil"/>
              <w:left w:val="nil"/>
              <w:bottom w:val="single" w:sz="4" w:space="0" w:color="000000"/>
              <w:right w:val="single" w:sz="4" w:space="0" w:color="000000"/>
            </w:tcBorders>
            <w:vAlign w:val="center"/>
          </w:tcPr>
          <w:p w:rsidR="00A9251F" w:rsidRDefault="00A93ACE">
            <w:pPr>
              <w:rPr>
                <w:color w:val="000000"/>
                <w:szCs w:val="20"/>
                <w:shd w:val="clear" w:color="auto" w:fill="FFFFFF"/>
                <w:lang w:eastAsia="en-US" w:bidi="ar-SA"/>
              </w:rPr>
            </w:pPr>
            <w:r>
              <w:rPr>
                <w:color w:val="000000"/>
                <w:szCs w:val="20"/>
                <w:shd w:val="clear" w:color="auto" w:fill="FFFFFF"/>
                <w:lang w:eastAsia="en-US" w:bidi="ar-SA"/>
              </w:rPr>
              <w:t>7,86%</w:t>
            </w:r>
          </w:p>
        </w:tc>
        <w:tc>
          <w:tcPr>
            <w:tcW w:w="772" w:type="pct"/>
            <w:tcBorders>
              <w:top w:val="nil"/>
              <w:left w:val="nil"/>
              <w:bottom w:val="single" w:sz="4" w:space="0" w:color="000000"/>
              <w:right w:val="single" w:sz="8" w:space="0" w:color="000000"/>
            </w:tcBorders>
            <w:shd w:val="clear" w:color="auto" w:fill="FFFFFF"/>
            <w:vAlign w:val="center"/>
          </w:tcPr>
          <w:p w:rsidR="00A9251F" w:rsidRDefault="00A93ACE">
            <w:pPr>
              <w:rPr>
                <w:color w:val="000000"/>
                <w:szCs w:val="20"/>
                <w:shd w:val="clear" w:color="auto" w:fill="FFFFFF"/>
                <w:lang w:eastAsia="en-US" w:bidi="ar-SA"/>
              </w:rPr>
            </w:pPr>
            <w:r>
              <w:rPr>
                <w:color w:val="000000"/>
                <w:szCs w:val="20"/>
                <w:shd w:val="clear" w:color="auto" w:fill="FFFFFF"/>
                <w:lang w:eastAsia="en-US" w:bidi="ar-SA"/>
              </w:rPr>
              <w:t>5</w:t>
            </w:r>
          </w:p>
        </w:tc>
      </w:tr>
      <w:tr w:rsidR="00A9251F">
        <w:trPr>
          <w:trHeight w:val="879"/>
        </w:trPr>
        <w:tc>
          <w:tcPr>
            <w:tcW w:w="1155" w:type="pct"/>
            <w:vMerge/>
            <w:tcBorders>
              <w:top w:val="nil"/>
              <w:left w:val="single" w:sz="8" w:space="0" w:color="000000"/>
              <w:bottom w:val="single" w:sz="8" w:space="0" w:color="000000"/>
              <w:right w:val="single" w:sz="8" w:space="0" w:color="000000"/>
            </w:tcBorders>
            <w:vAlign w:val="center"/>
          </w:tcPr>
          <w:p w:rsidR="00A9251F" w:rsidRDefault="00A9251F">
            <w:pPr>
              <w:jc w:val="left"/>
              <w:rPr>
                <w:b/>
                <w:color w:val="000000"/>
                <w:szCs w:val="20"/>
                <w:shd w:val="clear" w:color="auto" w:fill="FFFFFF"/>
                <w:lang w:eastAsia="en-US" w:bidi="ar-SA"/>
              </w:rPr>
            </w:pPr>
          </w:p>
        </w:tc>
        <w:tc>
          <w:tcPr>
            <w:tcW w:w="2357" w:type="pct"/>
            <w:tcBorders>
              <w:top w:val="nil"/>
              <w:left w:val="nil"/>
              <w:bottom w:val="nil"/>
              <w:right w:val="single" w:sz="8" w:space="0" w:color="000000"/>
            </w:tcBorders>
            <w:vAlign w:val="center"/>
          </w:tcPr>
          <w:p w:rsidR="00A9251F" w:rsidRDefault="00A93ACE">
            <w:pPr>
              <w:jc w:val="left"/>
              <w:rPr>
                <w:color w:val="000000"/>
                <w:szCs w:val="20"/>
                <w:shd w:val="clear" w:color="auto" w:fill="FFFFFF"/>
                <w:lang w:eastAsia="en-US" w:bidi="ar-SA"/>
              </w:rPr>
            </w:pPr>
            <w:r>
              <w:rPr>
                <w:color w:val="000000"/>
                <w:szCs w:val="20"/>
                <w:shd w:val="clear" w:color="auto" w:fill="FFFFFF"/>
                <w:lang w:eastAsia="en-US" w:bidi="ar-SA"/>
              </w:rPr>
              <w:t>zyskowność aktywów (%)</w:t>
            </w:r>
          </w:p>
        </w:tc>
        <w:tc>
          <w:tcPr>
            <w:tcW w:w="716" w:type="pct"/>
            <w:tcBorders>
              <w:top w:val="nil"/>
              <w:left w:val="nil"/>
              <w:bottom w:val="nil"/>
              <w:right w:val="single" w:sz="4" w:space="0" w:color="000000"/>
            </w:tcBorders>
            <w:shd w:val="clear" w:color="auto" w:fill="FFFFFF"/>
            <w:vAlign w:val="center"/>
          </w:tcPr>
          <w:p w:rsidR="00A9251F" w:rsidRDefault="00A93ACE">
            <w:pPr>
              <w:rPr>
                <w:color w:val="000000"/>
                <w:szCs w:val="20"/>
                <w:shd w:val="clear" w:color="auto" w:fill="FFFFFF"/>
                <w:lang w:eastAsia="en-US" w:bidi="ar-SA"/>
              </w:rPr>
            </w:pPr>
            <w:r>
              <w:rPr>
                <w:color w:val="000000"/>
                <w:szCs w:val="20"/>
                <w:shd w:val="clear" w:color="auto" w:fill="FFFFFF"/>
                <w:lang w:eastAsia="en-US" w:bidi="ar-SA"/>
              </w:rPr>
              <w:t>6,45%</w:t>
            </w:r>
          </w:p>
        </w:tc>
        <w:tc>
          <w:tcPr>
            <w:tcW w:w="772" w:type="pct"/>
            <w:tcBorders>
              <w:top w:val="nil"/>
              <w:left w:val="nil"/>
              <w:bottom w:val="single" w:sz="4" w:space="0" w:color="000000"/>
              <w:right w:val="single" w:sz="8" w:space="0" w:color="000000"/>
            </w:tcBorders>
            <w:shd w:val="clear" w:color="auto" w:fill="FFFFFF"/>
            <w:vAlign w:val="center"/>
          </w:tcPr>
          <w:p w:rsidR="00A9251F" w:rsidRDefault="00A93ACE">
            <w:pPr>
              <w:rPr>
                <w:color w:val="000000"/>
                <w:szCs w:val="20"/>
                <w:shd w:val="clear" w:color="auto" w:fill="FFFFFF"/>
                <w:lang w:eastAsia="en-US" w:bidi="ar-SA"/>
              </w:rPr>
            </w:pPr>
            <w:r>
              <w:rPr>
                <w:color w:val="000000"/>
                <w:szCs w:val="20"/>
                <w:shd w:val="clear" w:color="auto" w:fill="FFFFFF"/>
                <w:lang w:eastAsia="en-US" w:bidi="ar-SA"/>
              </w:rPr>
              <w:t>5</w:t>
            </w:r>
          </w:p>
        </w:tc>
      </w:tr>
      <w:tr w:rsidR="00A9251F">
        <w:trPr>
          <w:trHeight w:val="869"/>
        </w:trPr>
        <w:tc>
          <w:tcPr>
            <w:tcW w:w="3512" w:type="pct"/>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A9251F" w:rsidRDefault="00A93ACE">
            <w:pPr>
              <w:jc w:val="left"/>
              <w:rPr>
                <w:b/>
                <w:color w:val="000000"/>
                <w:szCs w:val="20"/>
                <w:shd w:val="clear" w:color="auto" w:fill="FFFFFF"/>
                <w:lang w:eastAsia="en-US" w:bidi="ar-SA"/>
              </w:rPr>
            </w:pPr>
            <w:r>
              <w:rPr>
                <w:b/>
                <w:color w:val="000000"/>
                <w:szCs w:val="20"/>
                <w:shd w:val="clear" w:color="auto" w:fill="FFFFFF"/>
                <w:lang w:eastAsia="en-US" w:bidi="ar-SA"/>
              </w:rPr>
              <w:t xml:space="preserve">Maksymalna ocena punktowa 15 </w:t>
            </w:r>
            <w:proofErr w:type="spellStart"/>
            <w:r>
              <w:rPr>
                <w:b/>
                <w:color w:val="000000"/>
                <w:szCs w:val="20"/>
                <w:shd w:val="clear" w:color="auto" w:fill="FFFFFF"/>
                <w:lang w:eastAsia="en-US" w:bidi="ar-SA"/>
              </w:rPr>
              <w:t>pkt</w:t>
            </w:r>
            <w:proofErr w:type="spellEnd"/>
          </w:p>
        </w:tc>
        <w:tc>
          <w:tcPr>
            <w:tcW w:w="716" w:type="pct"/>
            <w:tcBorders>
              <w:top w:val="single" w:sz="8" w:space="0" w:color="000000"/>
              <w:left w:val="nil"/>
              <w:bottom w:val="single" w:sz="8" w:space="0" w:color="000000"/>
              <w:right w:val="nil"/>
            </w:tcBorders>
            <w:shd w:val="clear" w:color="auto" w:fill="CCFFCC"/>
            <w:vAlign w:val="center"/>
          </w:tcPr>
          <w:p w:rsidR="00A9251F" w:rsidRDefault="00A93ACE">
            <w:pPr>
              <w:jc w:val="left"/>
              <w:rPr>
                <w:b/>
                <w:color w:val="000000"/>
                <w:szCs w:val="20"/>
                <w:shd w:val="clear" w:color="auto" w:fill="FFFFFF"/>
                <w:lang w:eastAsia="en-US" w:bidi="ar-SA"/>
              </w:rPr>
            </w:pPr>
            <w:r>
              <w:rPr>
                <w:b/>
                <w:color w:val="000000"/>
                <w:szCs w:val="20"/>
                <w:shd w:val="clear" w:color="auto" w:fill="FFFFFF"/>
                <w:lang w:eastAsia="en-US" w:bidi="ar-SA"/>
              </w:rPr>
              <w:t>Razem</w:t>
            </w:r>
          </w:p>
        </w:tc>
        <w:tc>
          <w:tcPr>
            <w:tcW w:w="772" w:type="pct"/>
            <w:tcBorders>
              <w:top w:val="single" w:sz="8" w:space="0" w:color="000000"/>
              <w:left w:val="nil"/>
              <w:bottom w:val="single" w:sz="8" w:space="0" w:color="000000"/>
              <w:right w:val="single" w:sz="8" w:space="0" w:color="000000"/>
            </w:tcBorders>
            <w:shd w:val="clear" w:color="auto" w:fill="CCFFCC"/>
            <w:vAlign w:val="center"/>
          </w:tcPr>
          <w:p w:rsidR="00A9251F" w:rsidRDefault="00A93ACE">
            <w:pPr>
              <w:jc w:val="left"/>
              <w:rPr>
                <w:b/>
                <w:color w:val="000000"/>
                <w:szCs w:val="20"/>
                <w:shd w:val="clear" w:color="auto" w:fill="FFFFFF"/>
                <w:lang w:eastAsia="en-US" w:bidi="ar-SA"/>
              </w:rPr>
            </w:pPr>
            <w:r>
              <w:rPr>
                <w:b/>
                <w:color w:val="000000"/>
                <w:szCs w:val="20"/>
                <w:shd w:val="clear" w:color="auto" w:fill="FFFFFF"/>
                <w:lang w:eastAsia="en-US" w:bidi="ar-SA"/>
              </w:rPr>
              <w:t>15 (100%)</w:t>
            </w:r>
          </w:p>
        </w:tc>
      </w:tr>
      <w:tr w:rsidR="00A9251F">
        <w:trPr>
          <w:trHeight w:val="987"/>
        </w:trPr>
        <w:tc>
          <w:tcPr>
            <w:tcW w:w="1155" w:type="pct"/>
            <w:vMerge w:val="restart"/>
            <w:tcBorders>
              <w:top w:val="nil"/>
              <w:left w:val="single" w:sz="8" w:space="0" w:color="000000"/>
              <w:bottom w:val="single" w:sz="8" w:space="0" w:color="000000"/>
              <w:right w:val="single" w:sz="8" w:space="0" w:color="000000"/>
            </w:tcBorders>
            <w:shd w:val="clear" w:color="auto" w:fill="CCFFFF"/>
            <w:vAlign w:val="center"/>
          </w:tcPr>
          <w:p w:rsidR="00A9251F" w:rsidRDefault="00A93ACE">
            <w:pPr>
              <w:rPr>
                <w:b/>
                <w:color w:val="000000"/>
                <w:szCs w:val="20"/>
                <w:shd w:val="clear" w:color="auto" w:fill="FFFFFF"/>
                <w:lang w:eastAsia="en-US" w:bidi="ar-SA"/>
              </w:rPr>
            </w:pPr>
            <w:r>
              <w:rPr>
                <w:b/>
                <w:color w:val="000000"/>
                <w:szCs w:val="20"/>
                <w:shd w:val="clear" w:color="auto" w:fill="FFFFFF"/>
                <w:lang w:eastAsia="en-US" w:bidi="ar-SA"/>
              </w:rPr>
              <w:t xml:space="preserve">WSKAŹNIKI </w:t>
            </w:r>
            <w:r>
              <w:rPr>
                <w:b/>
                <w:color w:val="000000"/>
                <w:szCs w:val="20"/>
                <w:shd w:val="clear" w:color="auto" w:fill="FFFFFF"/>
                <w:lang w:eastAsia="en-US" w:bidi="ar-SA"/>
              </w:rPr>
              <w:t>PŁYNNOŚCI</w:t>
            </w:r>
          </w:p>
        </w:tc>
        <w:tc>
          <w:tcPr>
            <w:tcW w:w="2357" w:type="pct"/>
            <w:tcBorders>
              <w:top w:val="nil"/>
              <w:left w:val="nil"/>
              <w:bottom w:val="single" w:sz="4" w:space="0" w:color="000000"/>
              <w:right w:val="single" w:sz="8" w:space="0" w:color="000000"/>
            </w:tcBorders>
            <w:vAlign w:val="center"/>
          </w:tcPr>
          <w:p w:rsidR="00A9251F" w:rsidRDefault="00A93ACE">
            <w:pPr>
              <w:jc w:val="left"/>
              <w:rPr>
                <w:color w:val="000000"/>
                <w:szCs w:val="20"/>
                <w:shd w:val="clear" w:color="auto" w:fill="FFFFFF"/>
                <w:lang w:eastAsia="en-US" w:bidi="ar-SA"/>
              </w:rPr>
            </w:pPr>
            <w:r>
              <w:rPr>
                <w:color w:val="000000"/>
                <w:szCs w:val="20"/>
                <w:shd w:val="clear" w:color="auto" w:fill="FFFFFF"/>
                <w:lang w:eastAsia="en-US" w:bidi="ar-SA"/>
              </w:rPr>
              <w:t xml:space="preserve">bieżącej płynności                                           </w:t>
            </w:r>
          </w:p>
        </w:tc>
        <w:tc>
          <w:tcPr>
            <w:tcW w:w="716" w:type="pct"/>
            <w:tcBorders>
              <w:top w:val="nil"/>
              <w:left w:val="nil"/>
              <w:bottom w:val="single" w:sz="4" w:space="0" w:color="000000"/>
              <w:right w:val="single" w:sz="4" w:space="0" w:color="000000"/>
            </w:tcBorders>
            <w:vAlign w:val="center"/>
          </w:tcPr>
          <w:p w:rsidR="00A9251F" w:rsidRDefault="00A93ACE">
            <w:pPr>
              <w:rPr>
                <w:color w:val="000000"/>
                <w:szCs w:val="20"/>
                <w:shd w:val="clear" w:color="auto" w:fill="FFFFFF"/>
                <w:lang w:eastAsia="en-US" w:bidi="ar-SA"/>
              </w:rPr>
            </w:pPr>
            <w:r>
              <w:rPr>
                <w:color w:val="000000"/>
                <w:szCs w:val="20"/>
                <w:shd w:val="clear" w:color="auto" w:fill="FFFFFF"/>
                <w:lang w:eastAsia="en-US" w:bidi="ar-SA"/>
              </w:rPr>
              <w:t>2,33</w:t>
            </w:r>
          </w:p>
        </w:tc>
        <w:tc>
          <w:tcPr>
            <w:tcW w:w="772" w:type="pct"/>
            <w:tcBorders>
              <w:top w:val="nil"/>
              <w:left w:val="nil"/>
              <w:bottom w:val="single" w:sz="4" w:space="0" w:color="000000"/>
              <w:right w:val="single" w:sz="8" w:space="0" w:color="000000"/>
            </w:tcBorders>
            <w:shd w:val="clear" w:color="auto" w:fill="FFFFFF"/>
            <w:vAlign w:val="center"/>
          </w:tcPr>
          <w:p w:rsidR="00A9251F" w:rsidRDefault="00A93ACE">
            <w:pPr>
              <w:rPr>
                <w:color w:val="000000"/>
                <w:szCs w:val="20"/>
                <w:shd w:val="clear" w:color="auto" w:fill="FFFFFF"/>
                <w:lang w:eastAsia="en-US" w:bidi="ar-SA"/>
              </w:rPr>
            </w:pPr>
            <w:r>
              <w:rPr>
                <w:color w:val="000000"/>
                <w:szCs w:val="20"/>
                <w:shd w:val="clear" w:color="auto" w:fill="FFFFFF"/>
                <w:lang w:eastAsia="en-US" w:bidi="ar-SA"/>
              </w:rPr>
              <w:t>12</w:t>
            </w:r>
          </w:p>
        </w:tc>
      </w:tr>
      <w:tr w:rsidR="00A9251F">
        <w:trPr>
          <w:trHeight w:val="835"/>
        </w:trPr>
        <w:tc>
          <w:tcPr>
            <w:tcW w:w="1155" w:type="pct"/>
            <w:vMerge/>
            <w:tcBorders>
              <w:top w:val="nil"/>
              <w:left w:val="single" w:sz="8" w:space="0" w:color="000000"/>
              <w:bottom w:val="single" w:sz="8" w:space="0" w:color="000000"/>
              <w:right w:val="single" w:sz="8" w:space="0" w:color="000000"/>
            </w:tcBorders>
            <w:vAlign w:val="center"/>
          </w:tcPr>
          <w:p w:rsidR="00A9251F" w:rsidRDefault="00A9251F">
            <w:pPr>
              <w:jc w:val="left"/>
              <w:rPr>
                <w:b/>
                <w:color w:val="000000"/>
                <w:szCs w:val="20"/>
                <w:shd w:val="clear" w:color="auto" w:fill="FFFFFF"/>
                <w:lang w:eastAsia="en-US" w:bidi="ar-SA"/>
              </w:rPr>
            </w:pPr>
          </w:p>
        </w:tc>
        <w:tc>
          <w:tcPr>
            <w:tcW w:w="2357" w:type="pct"/>
            <w:tcBorders>
              <w:top w:val="nil"/>
              <w:left w:val="nil"/>
              <w:bottom w:val="single" w:sz="4" w:space="0" w:color="000000"/>
              <w:right w:val="single" w:sz="8" w:space="0" w:color="000000"/>
            </w:tcBorders>
            <w:vAlign w:val="center"/>
          </w:tcPr>
          <w:p w:rsidR="00A9251F" w:rsidRDefault="00A93ACE">
            <w:pPr>
              <w:jc w:val="left"/>
              <w:rPr>
                <w:color w:val="000000"/>
                <w:szCs w:val="20"/>
                <w:shd w:val="clear" w:color="auto" w:fill="FFFFFF"/>
                <w:lang w:eastAsia="en-US" w:bidi="ar-SA"/>
              </w:rPr>
            </w:pPr>
            <w:r>
              <w:rPr>
                <w:color w:val="000000"/>
                <w:szCs w:val="20"/>
                <w:shd w:val="clear" w:color="auto" w:fill="FFFFFF"/>
                <w:lang w:eastAsia="en-US" w:bidi="ar-SA"/>
              </w:rPr>
              <w:t>szybkiej płynności</w:t>
            </w:r>
          </w:p>
        </w:tc>
        <w:tc>
          <w:tcPr>
            <w:tcW w:w="716" w:type="pct"/>
            <w:tcBorders>
              <w:top w:val="nil"/>
              <w:left w:val="nil"/>
              <w:bottom w:val="single" w:sz="4" w:space="0" w:color="000000"/>
              <w:right w:val="single" w:sz="4" w:space="0" w:color="000000"/>
            </w:tcBorders>
            <w:vAlign w:val="center"/>
          </w:tcPr>
          <w:p w:rsidR="00A9251F" w:rsidRDefault="00A93ACE">
            <w:pPr>
              <w:rPr>
                <w:color w:val="000000"/>
                <w:szCs w:val="20"/>
                <w:shd w:val="clear" w:color="auto" w:fill="FFFFFF"/>
                <w:lang w:eastAsia="en-US" w:bidi="ar-SA"/>
              </w:rPr>
            </w:pPr>
            <w:r>
              <w:rPr>
                <w:color w:val="000000"/>
                <w:szCs w:val="20"/>
                <w:shd w:val="clear" w:color="auto" w:fill="FFFFFF"/>
                <w:lang w:eastAsia="en-US" w:bidi="ar-SA"/>
              </w:rPr>
              <w:t>2,29</w:t>
            </w:r>
          </w:p>
        </w:tc>
        <w:tc>
          <w:tcPr>
            <w:tcW w:w="772" w:type="pct"/>
            <w:tcBorders>
              <w:top w:val="nil"/>
              <w:left w:val="nil"/>
              <w:bottom w:val="single" w:sz="4" w:space="0" w:color="000000"/>
              <w:right w:val="single" w:sz="8" w:space="0" w:color="000000"/>
            </w:tcBorders>
            <w:shd w:val="clear" w:color="auto" w:fill="FFFFFF"/>
            <w:vAlign w:val="center"/>
          </w:tcPr>
          <w:p w:rsidR="00A9251F" w:rsidRDefault="00A93ACE">
            <w:pPr>
              <w:rPr>
                <w:color w:val="000000"/>
                <w:szCs w:val="20"/>
                <w:shd w:val="clear" w:color="auto" w:fill="FFFFFF"/>
                <w:lang w:eastAsia="en-US" w:bidi="ar-SA"/>
              </w:rPr>
            </w:pPr>
            <w:r>
              <w:rPr>
                <w:color w:val="000000"/>
                <w:szCs w:val="20"/>
                <w:shd w:val="clear" w:color="auto" w:fill="FFFFFF"/>
                <w:lang w:eastAsia="en-US" w:bidi="ar-SA"/>
              </w:rPr>
              <w:t>13</w:t>
            </w:r>
          </w:p>
        </w:tc>
      </w:tr>
      <w:tr w:rsidR="00A9251F">
        <w:trPr>
          <w:trHeight w:val="825"/>
        </w:trPr>
        <w:tc>
          <w:tcPr>
            <w:tcW w:w="3512" w:type="pct"/>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A9251F" w:rsidRDefault="00A93ACE">
            <w:pPr>
              <w:jc w:val="left"/>
              <w:rPr>
                <w:b/>
                <w:color w:val="000000"/>
                <w:szCs w:val="20"/>
                <w:shd w:val="clear" w:color="auto" w:fill="FFFFFF"/>
                <w:lang w:eastAsia="en-US" w:bidi="ar-SA"/>
              </w:rPr>
            </w:pPr>
            <w:r>
              <w:rPr>
                <w:b/>
                <w:color w:val="000000"/>
                <w:szCs w:val="20"/>
                <w:shd w:val="clear" w:color="auto" w:fill="FFFFFF"/>
                <w:lang w:eastAsia="en-US" w:bidi="ar-SA"/>
              </w:rPr>
              <w:t xml:space="preserve">Maksymalna ocena punktowa 25 </w:t>
            </w:r>
            <w:proofErr w:type="spellStart"/>
            <w:r>
              <w:rPr>
                <w:b/>
                <w:color w:val="000000"/>
                <w:szCs w:val="20"/>
                <w:shd w:val="clear" w:color="auto" w:fill="FFFFFF"/>
                <w:lang w:eastAsia="en-US" w:bidi="ar-SA"/>
              </w:rPr>
              <w:t>pkt</w:t>
            </w:r>
            <w:proofErr w:type="spellEnd"/>
          </w:p>
        </w:tc>
        <w:tc>
          <w:tcPr>
            <w:tcW w:w="716" w:type="pct"/>
            <w:tcBorders>
              <w:top w:val="single" w:sz="8" w:space="0" w:color="000000"/>
              <w:left w:val="nil"/>
              <w:bottom w:val="single" w:sz="8" w:space="0" w:color="000000"/>
              <w:right w:val="nil"/>
            </w:tcBorders>
            <w:shd w:val="clear" w:color="auto" w:fill="CCFFFF"/>
            <w:vAlign w:val="center"/>
          </w:tcPr>
          <w:p w:rsidR="00A9251F" w:rsidRDefault="00A93ACE">
            <w:pPr>
              <w:jc w:val="left"/>
              <w:rPr>
                <w:b/>
                <w:color w:val="000000"/>
                <w:szCs w:val="20"/>
                <w:shd w:val="clear" w:color="auto" w:fill="FFFFFF"/>
                <w:lang w:eastAsia="en-US" w:bidi="ar-SA"/>
              </w:rPr>
            </w:pPr>
            <w:r>
              <w:rPr>
                <w:b/>
                <w:color w:val="000000"/>
                <w:szCs w:val="20"/>
                <w:shd w:val="clear" w:color="auto" w:fill="FFFFFF"/>
                <w:lang w:eastAsia="en-US" w:bidi="ar-SA"/>
              </w:rPr>
              <w:t>Razem</w:t>
            </w:r>
          </w:p>
        </w:tc>
        <w:tc>
          <w:tcPr>
            <w:tcW w:w="772" w:type="pct"/>
            <w:tcBorders>
              <w:top w:val="single" w:sz="8" w:space="0" w:color="000000"/>
              <w:left w:val="nil"/>
              <w:bottom w:val="single" w:sz="8" w:space="0" w:color="000000"/>
              <w:right w:val="single" w:sz="8" w:space="0" w:color="000000"/>
            </w:tcBorders>
            <w:shd w:val="clear" w:color="auto" w:fill="CCFFFF"/>
            <w:vAlign w:val="center"/>
          </w:tcPr>
          <w:p w:rsidR="00A9251F" w:rsidRDefault="00A93ACE">
            <w:pPr>
              <w:jc w:val="left"/>
              <w:rPr>
                <w:b/>
                <w:color w:val="000000"/>
                <w:szCs w:val="20"/>
                <w:shd w:val="clear" w:color="auto" w:fill="FFFFFF"/>
                <w:lang w:eastAsia="en-US" w:bidi="ar-SA"/>
              </w:rPr>
            </w:pPr>
            <w:r>
              <w:rPr>
                <w:b/>
                <w:color w:val="000000"/>
                <w:szCs w:val="20"/>
                <w:shd w:val="clear" w:color="auto" w:fill="FFFFFF"/>
                <w:lang w:eastAsia="en-US" w:bidi="ar-SA"/>
              </w:rPr>
              <w:t>25 (100%)</w:t>
            </w:r>
          </w:p>
        </w:tc>
      </w:tr>
      <w:tr w:rsidR="00A9251F">
        <w:trPr>
          <w:trHeight w:val="815"/>
        </w:trPr>
        <w:tc>
          <w:tcPr>
            <w:tcW w:w="1155" w:type="pct"/>
            <w:vMerge w:val="restart"/>
            <w:tcBorders>
              <w:top w:val="nil"/>
              <w:left w:val="single" w:sz="8" w:space="0" w:color="000000"/>
              <w:bottom w:val="single" w:sz="8" w:space="0" w:color="000000"/>
              <w:right w:val="single" w:sz="8" w:space="0" w:color="000000"/>
            </w:tcBorders>
            <w:shd w:val="clear" w:color="auto" w:fill="CCFFCC"/>
            <w:vAlign w:val="center"/>
          </w:tcPr>
          <w:p w:rsidR="00A9251F" w:rsidRDefault="00A93ACE">
            <w:pPr>
              <w:rPr>
                <w:b/>
                <w:color w:val="000000"/>
                <w:szCs w:val="20"/>
                <w:shd w:val="clear" w:color="auto" w:fill="FFFFFF"/>
                <w:lang w:eastAsia="en-US" w:bidi="ar-SA"/>
              </w:rPr>
            </w:pPr>
            <w:r>
              <w:rPr>
                <w:b/>
                <w:color w:val="000000"/>
                <w:szCs w:val="20"/>
                <w:shd w:val="clear" w:color="auto" w:fill="FFFFFF"/>
                <w:lang w:eastAsia="en-US" w:bidi="ar-SA"/>
              </w:rPr>
              <w:t>WSKAŹNIKI EFEKTYWNOŚCI</w:t>
            </w:r>
          </w:p>
        </w:tc>
        <w:tc>
          <w:tcPr>
            <w:tcW w:w="2357" w:type="pct"/>
            <w:tcBorders>
              <w:top w:val="nil"/>
              <w:left w:val="nil"/>
              <w:bottom w:val="single" w:sz="4" w:space="0" w:color="000000"/>
              <w:right w:val="single" w:sz="8" w:space="0" w:color="000000"/>
            </w:tcBorders>
            <w:vAlign w:val="center"/>
          </w:tcPr>
          <w:p w:rsidR="00A9251F" w:rsidRDefault="00A93ACE">
            <w:pPr>
              <w:jc w:val="left"/>
              <w:rPr>
                <w:color w:val="000000"/>
                <w:szCs w:val="20"/>
                <w:shd w:val="clear" w:color="auto" w:fill="FFFFFF"/>
                <w:lang w:eastAsia="en-US" w:bidi="ar-SA"/>
              </w:rPr>
            </w:pPr>
            <w:r>
              <w:rPr>
                <w:color w:val="000000"/>
                <w:szCs w:val="20"/>
                <w:shd w:val="clear" w:color="auto" w:fill="FFFFFF"/>
                <w:lang w:eastAsia="en-US" w:bidi="ar-SA"/>
              </w:rPr>
              <w:t xml:space="preserve">rotacji należności (w dniach)                           </w:t>
            </w:r>
          </w:p>
        </w:tc>
        <w:tc>
          <w:tcPr>
            <w:tcW w:w="716" w:type="pct"/>
            <w:tcBorders>
              <w:top w:val="nil"/>
              <w:left w:val="nil"/>
              <w:bottom w:val="single" w:sz="4" w:space="0" w:color="000000"/>
              <w:right w:val="single" w:sz="4" w:space="0" w:color="000000"/>
            </w:tcBorders>
            <w:vAlign w:val="center"/>
          </w:tcPr>
          <w:p w:rsidR="00A9251F" w:rsidRDefault="00A93ACE">
            <w:pPr>
              <w:rPr>
                <w:color w:val="000000"/>
                <w:szCs w:val="20"/>
                <w:shd w:val="clear" w:color="auto" w:fill="FFFFFF"/>
                <w:lang w:eastAsia="en-US" w:bidi="ar-SA"/>
              </w:rPr>
            </w:pPr>
            <w:r>
              <w:rPr>
                <w:color w:val="000000"/>
                <w:szCs w:val="20"/>
                <w:shd w:val="clear" w:color="auto" w:fill="FFFFFF"/>
                <w:lang w:eastAsia="en-US" w:bidi="ar-SA"/>
              </w:rPr>
              <w:t>32</w:t>
            </w:r>
          </w:p>
        </w:tc>
        <w:tc>
          <w:tcPr>
            <w:tcW w:w="772" w:type="pct"/>
            <w:tcBorders>
              <w:top w:val="nil"/>
              <w:left w:val="nil"/>
              <w:bottom w:val="single" w:sz="4" w:space="0" w:color="000000"/>
              <w:right w:val="single" w:sz="8" w:space="0" w:color="000000"/>
            </w:tcBorders>
            <w:shd w:val="clear" w:color="auto" w:fill="FFFFFF"/>
            <w:vAlign w:val="center"/>
          </w:tcPr>
          <w:p w:rsidR="00A9251F" w:rsidRDefault="00A93ACE">
            <w:pPr>
              <w:rPr>
                <w:color w:val="000000"/>
                <w:szCs w:val="20"/>
                <w:shd w:val="clear" w:color="auto" w:fill="FFFFFF"/>
                <w:lang w:eastAsia="en-US" w:bidi="ar-SA"/>
              </w:rPr>
            </w:pPr>
            <w:r>
              <w:rPr>
                <w:color w:val="000000"/>
                <w:szCs w:val="20"/>
                <w:shd w:val="clear" w:color="auto" w:fill="FFFFFF"/>
                <w:lang w:eastAsia="en-US" w:bidi="ar-SA"/>
              </w:rPr>
              <w:t>3</w:t>
            </w:r>
          </w:p>
        </w:tc>
      </w:tr>
      <w:tr w:rsidR="00A9251F">
        <w:trPr>
          <w:trHeight w:val="932"/>
        </w:trPr>
        <w:tc>
          <w:tcPr>
            <w:tcW w:w="1155" w:type="pct"/>
            <w:vMerge/>
            <w:tcBorders>
              <w:top w:val="nil"/>
              <w:left w:val="single" w:sz="8" w:space="0" w:color="000000"/>
              <w:bottom w:val="single" w:sz="8" w:space="0" w:color="000000"/>
              <w:right w:val="single" w:sz="8" w:space="0" w:color="000000"/>
            </w:tcBorders>
            <w:vAlign w:val="center"/>
          </w:tcPr>
          <w:p w:rsidR="00A9251F" w:rsidRDefault="00A9251F">
            <w:pPr>
              <w:jc w:val="left"/>
              <w:rPr>
                <w:b/>
                <w:color w:val="000000"/>
                <w:szCs w:val="20"/>
                <w:shd w:val="clear" w:color="auto" w:fill="FFFFFF"/>
                <w:lang w:eastAsia="en-US" w:bidi="ar-SA"/>
              </w:rPr>
            </w:pPr>
          </w:p>
        </w:tc>
        <w:tc>
          <w:tcPr>
            <w:tcW w:w="2357" w:type="pct"/>
            <w:tcBorders>
              <w:top w:val="nil"/>
              <w:left w:val="nil"/>
              <w:bottom w:val="single" w:sz="4" w:space="0" w:color="000000"/>
              <w:right w:val="single" w:sz="8" w:space="0" w:color="000000"/>
            </w:tcBorders>
            <w:vAlign w:val="center"/>
          </w:tcPr>
          <w:p w:rsidR="00A9251F" w:rsidRDefault="00A93ACE">
            <w:pPr>
              <w:jc w:val="left"/>
              <w:rPr>
                <w:color w:val="000000"/>
                <w:szCs w:val="20"/>
                <w:shd w:val="clear" w:color="auto" w:fill="FFFFFF"/>
                <w:lang w:eastAsia="en-US" w:bidi="ar-SA"/>
              </w:rPr>
            </w:pPr>
            <w:r>
              <w:rPr>
                <w:color w:val="000000"/>
                <w:szCs w:val="20"/>
                <w:shd w:val="clear" w:color="auto" w:fill="FFFFFF"/>
                <w:lang w:eastAsia="en-US" w:bidi="ar-SA"/>
              </w:rPr>
              <w:t xml:space="preserve">rotacji </w:t>
            </w:r>
            <w:r>
              <w:rPr>
                <w:color w:val="000000"/>
                <w:szCs w:val="20"/>
                <w:shd w:val="clear" w:color="auto" w:fill="FFFFFF"/>
                <w:lang w:eastAsia="en-US" w:bidi="ar-SA"/>
              </w:rPr>
              <w:t>zobowiązań (w dniach)</w:t>
            </w:r>
          </w:p>
        </w:tc>
        <w:tc>
          <w:tcPr>
            <w:tcW w:w="716" w:type="pct"/>
            <w:tcBorders>
              <w:top w:val="nil"/>
              <w:left w:val="nil"/>
              <w:bottom w:val="single" w:sz="4" w:space="0" w:color="000000"/>
              <w:right w:val="single" w:sz="4" w:space="0" w:color="000000"/>
            </w:tcBorders>
            <w:vAlign w:val="center"/>
          </w:tcPr>
          <w:p w:rsidR="00A9251F" w:rsidRDefault="00A93ACE">
            <w:pPr>
              <w:rPr>
                <w:color w:val="000000"/>
                <w:szCs w:val="20"/>
                <w:shd w:val="clear" w:color="auto" w:fill="FFFFFF"/>
                <w:lang w:eastAsia="en-US" w:bidi="ar-SA"/>
              </w:rPr>
            </w:pPr>
            <w:r>
              <w:rPr>
                <w:color w:val="000000"/>
                <w:szCs w:val="20"/>
                <w:shd w:val="clear" w:color="auto" w:fill="FFFFFF"/>
                <w:lang w:eastAsia="en-US" w:bidi="ar-SA"/>
              </w:rPr>
              <w:t>14</w:t>
            </w:r>
          </w:p>
        </w:tc>
        <w:tc>
          <w:tcPr>
            <w:tcW w:w="772" w:type="pct"/>
            <w:tcBorders>
              <w:top w:val="nil"/>
              <w:left w:val="nil"/>
              <w:bottom w:val="single" w:sz="4" w:space="0" w:color="000000"/>
              <w:right w:val="single" w:sz="8" w:space="0" w:color="000000"/>
            </w:tcBorders>
            <w:shd w:val="clear" w:color="auto" w:fill="FFFFFF"/>
            <w:vAlign w:val="center"/>
          </w:tcPr>
          <w:p w:rsidR="00A9251F" w:rsidRDefault="00A93ACE">
            <w:pPr>
              <w:rPr>
                <w:color w:val="000000"/>
                <w:szCs w:val="20"/>
                <w:shd w:val="clear" w:color="auto" w:fill="FFFFFF"/>
                <w:lang w:eastAsia="en-US" w:bidi="ar-SA"/>
              </w:rPr>
            </w:pPr>
            <w:r>
              <w:rPr>
                <w:color w:val="000000"/>
                <w:szCs w:val="20"/>
                <w:shd w:val="clear" w:color="auto" w:fill="FFFFFF"/>
                <w:lang w:eastAsia="en-US" w:bidi="ar-SA"/>
              </w:rPr>
              <w:t>7</w:t>
            </w:r>
          </w:p>
        </w:tc>
      </w:tr>
      <w:tr w:rsidR="00A9251F">
        <w:trPr>
          <w:trHeight w:val="781"/>
        </w:trPr>
        <w:tc>
          <w:tcPr>
            <w:tcW w:w="3512" w:type="pct"/>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A9251F" w:rsidRDefault="00A93ACE">
            <w:pPr>
              <w:jc w:val="left"/>
              <w:rPr>
                <w:b/>
                <w:color w:val="000000"/>
                <w:szCs w:val="20"/>
                <w:shd w:val="clear" w:color="auto" w:fill="FFFFFF"/>
                <w:lang w:eastAsia="en-US" w:bidi="ar-SA"/>
              </w:rPr>
            </w:pPr>
            <w:r>
              <w:rPr>
                <w:b/>
                <w:color w:val="000000"/>
                <w:szCs w:val="20"/>
                <w:shd w:val="clear" w:color="auto" w:fill="FFFFFF"/>
                <w:lang w:eastAsia="en-US" w:bidi="ar-SA"/>
              </w:rPr>
              <w:t xml:space="preserve">Maksymalna ocena punktowa 10 </w:t>
            </w:r>
            <w:proofErr w:type="spellStart"/>
            <w:r>
              <w:rPr>
                <w:b/>
                <w:color w:val="000000"/>
                <w:szCs w:val="20"/>
                <w:shd w:val="clear" w:color="auto" w:fill="FFFFFF"/>
                <w:lang w:eastAsia="en-US" w:bidi="ar-SA"/>
              </w:rPr>
              <w:t>pkt</w:t>
            </w:r>
            <w:proofErr w:type="spellEnd"/>
          </w:p>
        </w:tc>
        <w:tc>
          <w:tcPr>
            <w:tcW w:w="716" w:type="pct"/>
            <w:tcBorders>
              <w:top w:val="single" w:sz="8" w:space="0" w:color="000000"/>
              <w:left w:val="nil"/>
              <w:bottom w:val="single" w:sz="8" w:space="0" w:color="000000"/>
              <w:right w:val="nil"/>
            </w:tcBorders>
            <w:shd w:val="clear" w:color="auto" w:fill="CCFFCC"/>
            <w:vAlign w:val="center"/>
          </w:tcPr>
          <w:p w:rsidR="00A9251F" w:rsidRDefault="00A93ACE">
            <w:pPr>
              <w:jc w:val="left"/>
              <w:rPr>
                <w:b/>
                <w:color w:val="000000"/>
                <w:szCs w:val="20"/>
                <w:shd w:val="clear" w:color="auto" w:fill="FFFFFF"/>
                <w:lang w:eastAsia="en-US" w:bidi="ar-SA"/>
              </w:rPr>
            </w:pPr>
            <w:r>
              <w:rPr>
                <w:b/>
                <w:color w:val="000000"/>
                <w:szCs w:val="20"/>
                <w:shd w:val="clear" w:color="auto" w:fill="FFFFFF"/>
                <w:lang w:eastAsia="en-US" w:bidi="ar-SA"/>
              </w:rPr>
              <w:t>Razem</w:t>
            </w:r>
          </w:p>
        </w:tc>
        <w:tc>
          <w:tcPr>
            <w:tcW w:w="772" w:type="pct"/>
            <w:tcBorders>
              <w:top w:val="single" w:sz="8" w:space="0" w:color="000000"/>
              <w:left w:val="nil"/>
              <w:bottom w:val="single" w:sz="8" w:space="0" w:color="000000"/>
              <w:right w:val="single" w:sz="8" w:space="0" w:color="000000"/>
            </w:tcBorders>
            <w:shd w:val="clear" w:color="auto" w:fill="CCFFCC"/>
            <w:vAlign w:val="center"/>
          </w:tcPr>
          <w:p w:rsidR="00A9251F" w:rsidRDefault="00A93ACE">
            <w:pPr>
              <w:jc w:val="left"/>
              <w:rPr>
                <w:b/>
                <w:color w:val="000000"/>
                <w:szCs w:val="20"/>
                <w:shd w:val="clear" w:color="auto" w:fill="FFFFFF"/>
                <w:lang w:eastAsia="en-US" w:bidi="ar-SA"/>
              </w:rPr>
            </w:pPr>
            <w:r>
              <w:rPr>
                <w:b/>
                <w:color w:val="000000"/>
                <w:szCs w:val="20"/>
                <w:shd w:val="clear" w:color="auto" w:fill="FFFFFF"/>
                <w:lang w:eastAsia="en-US" w:bidi="ar-SA"/>
              </w:rPr>
              <w:t>10 (100%)</w:t>
            </w:r>
          </w:p>
        </w:tc>
      </w:tr>
      <w:tr w:rsidR="00A9251F">
        <w:trPr>
          <w:trHeight w:val="785"/>
        </w:trPr>
        <w:tc>
          <w:tcPr>
            <w:tcW w:w="1155" w:type="pct"/>
            <w:vMerge w:val="restart"/>
            <w:tcBorders>
              <w:top w:val="nil"/>
              <w:left w:val="single" w:sz="8" w:space="0" w:color="000000"/>
              <w:bottom w:val="single" w:sz="8" w:space="0" w:color="000000"/>
              <w:right w:val="single" w:sz="8" w:space="0" w:color="000000"/>
            </w:tcBorders>
            <w:shd w:val="clear" w:color="auto" w:fill="CCFFFF"/>
            <w:vAlign w:val="center"/>
          </w:tcPr>
          <w:p w:rsidR="00A9251F" w:rsidRDefault="00A93ACE">
            <w:pPr>
              <w:rPr>
                <w:b/>
                <w:color w:val="000000"/>
                <w:szCs w:val="20"/>
                <w:shd w:val="clear" w:color="auto" w:fill="FFFFFF"/>
                <w:lang w:eastAsia="en-US" w:bidi="ar-SA"/>
              </w:rPr>
            </w:pPr>
            <w:r>
              <w:rPr>
                <w:b/>
                <w:color w:val="000000"/>
                <w:szCs w:val="20"/>
                <w:shd w:val="clear" w:color="auto" w:fill="FFFFFF"/>
                <w:lang w:eastAsia="en-US" w:bidi="ar-SA"/>
              </w:rPr>
              <w:t>WSKAŹNIKI ZADŁUŻENIA</w:t>
            </w:r>
          </w:p>
        </w:tc>
        <w:tc>
          <w:tcPr>
            <w:tcW w:w="2357" w:type="pct"/>
            <w:tcBorders>
              <w:top w:val="nil"/>
              <w:left w:val="nil"/>
              <w:bottom w:val="single" w:sz="4" w:space="0" w:color="000000"/>
              <w:right w:val="single" w:sz="8" w:space="0" w:color="000000"/>
            </w:tcBorders>
            <w:vAlign w:val="center"/>
          </w:tcPr>
          <w:p w:rsidR="00A9251F" w:rsidRDefault="00A93ACE">
            <w:pPr>
              <w:jc w:val="left"/>
              <w:rPr>
                <w:color w:val="000000"/>
                <w:szCs w:val="20"/>
                <w:shd w:val="clear" w:color="auto" w:fill="FFFFFF"/>
                <w:lang w:eastAsia="en-US" w:bidi="ar-SA"/>
              </w:rPr>
            </w:pPr>
            <w:r>
              <w:rPr>
                <w:color w:val="000000"/>
                <w:szCs w:val="20"/>
                <w:shd w:val="clear" w:color="auto" w:fill="FFFFFF"/>
                <w:lang w:eastAsia="en-US" w:bidi="ar-SA"/>
              </w:rPr>
              <w:t xml:space="preserve">zadłużenia aktywów (%)                          </w:t>
            </w:r>
          </w:p>
        </w:tc>
        <w:tc>
          <w:tcPr>
            <w:tcW w:w="716" w:type="pct"/>
            <w:tcBorders>
              <w:top w:val="nil"/>
              <w:left w:val="nil"/>
              <w:bottom w:val="single" w:sz="4" w:space="0" w:color="000000"/>
              <w:right w:val="single" w:sz="4" w:space="0" w:color="000000"/>
            </w:tcBorders>
            <w:vAlign w:val="center"/>
          </w:tcPr>
          <w:p w:rsidR="00A9251F" w:rsidRDefault="00A93ACE">
            <w:pPr>
              <w:rPr>
                <w:color w:val="000000"/>
                <w:szCs w:val="20"/>
                <w:shd w:val="clear" w:color="auto" w:fill="FFFFFF"/>
                <w:lang w:eastAsia="en-US" w:bidi="ar-SA"/>
              </w:rPr>
            </w:pPr>
            <w:r>
              <w:rPr>
                <w:color w:val="000000"/>
                <w:szCs w:val="20"/>
                <w:shd w:val="clear" w:color="auto" w:fill="FFFFFF"/>
                <w:lang w:eastAsia="en-US" w:bidi="ar-SA"/>
              </w:rPr>
              <w:t>12%</w:t>
            </w:r>
          </w:p>
        </w:tc>
        <w:tc>
          <w:tcPr>
            <w:tcW w:w="772" w:type="pct"/>
            <w:tcBorders>
              <w:top w:val="nil"/>
              <w:left w:val="nil"/>
              <w:bottom w:val="single" w:sz="4" w:space="0" w:color="000000"/>
              <w:right w:val="single" w:sz="8" w:space="0" w:color="000000"/>
            </w:tcBorders>
            <w:shd w:val="clear" w:color="auto" w:fill="FFFFFF"/>
            <w:vAlign w:val="center"/>
          </w:tcPr>
          <w:p w:rsidR="00A9251F" w:rsidRDefault="00A93ACE">
            <w:pPr>
              <w:rPr>
                <w:color w:val="000000"/>
                <w:szCs w:val="20"/>
                <w:shd w:val="clear" w:color="auto" w:fill="FFFFFF"/>
                <w:lang w:eastAsia="en-US" w:bidi="ar-SA"/>
              </w:rPr>
            </w:pPr>
            <w:r>
              <w:rPr>
                <w:color w:val="000000"/>
                <w:szCs w:val="20"/>
                <w:shd w:val="clear" w:color="auto" w:fill="FFFFFF"/>
                <w:lang w:eastAsia="en-US" w:bidi="ar-SA"/>
              </w:rPr>
              <w:t>10</w:t>
            </w:r>
          </w:p>
        </w:tc>
      </w:tr>
      <w:tr w:rsidR="00A9251F">
        <w:trPr>
          <w:trHeight w:val="620"/>
        </w:trPr>
        <w:tc>
          <w:tcPr>
            <w:tcW w:w="1155" w:type="pct"/>
            <w:vMerge/>
            <w:tcBorders>
              <w:top w:val="nil"/>
              <w:left w:val="single" w:sz="8" w:space="0" w:color="000000"/>
              <w:bottom w:val="single" w:sz="8" w:space="0" w:color="000000"/>
              <w:right w:val="single" w:sz="8" w:space="0" w:color="000000"/>
            </w:tcBorders>
            <w:vAlign w:val="center"/>
          </w:tcPr>
          <w:p w:rsidR="00A9251F" w:rsidRDefault="00A9251F">
            <w:pPr>
              <w:jc w:val="left"/>
              <w:rPr>
                <w:b/>
                <w:color w:val="000000"/>
                <w:szCs w:val="20"/>
                <w:shd w:val="clear" w:color="auto" w:fill="FFFFFF"/>
                <w:lang w:eastAsia="en-US" w:bidi="ar-SA"/>
              </w:rPr>
            </w:pPr>
          </w:p>
        </w:tc>
        <w:tc>
          <w:tcPr>
            <w:tcW w:w="2357" w:type="pct"/>
            <w:tcBorders>
              <w:top w:val="nil"/>
              <w:left w:val="nil"/>
              <w:bottom w:val="single" w:sz="4" w:space="0" w:color="000000"/>
              <w:right w:val="single" w:sz="8" w:space="0" w:color="000000"/>
            </w:tcBorders>
            <w:vAlign w:val="center"/>
          </w:tcPr>
          <w:p w:rsidR="00A9251F" w:rsidRDefault="00A93ACE">
            <w:pPr>
              <w:jc w:val="left"/>
              <w:rPr>
                <w:color w:val="000000"/>
                <w:szCs w:val="20"/>
                <w:shd w:val="clear" w:color="auto" w:fill="FFFFFF"/>
                <w:lang w:eastAsia="en-US" w:bidi="ar-SA"/>
              </w:rPr>
            </w:pPr>
            <w:r>
              <w:rPr>
                <w:color w:val="000000"/>
                <w:szCs w:val="20"/>
                <w:shd w:val="clear" w:color="auto" w:fill="FFFFFF"/>
                <w:lang w:eastAsia="en-US" w:bidi="ar-SA"/>
              </w:rPr>
              <w:t>wypłacalności</w:t>
            </w:r>
          </w:p>
        </w:tc>
        <w:tc>
          <w:tcPr>
            <w:tcW w:w="716" w:type="pct"/>
            <w:tcBorders>
              <w:top w:val="nil"/>
              <w:left w:val="nil"/>
              <w:bottom w:val="single" w:sz="4" w:space="0" w:color="000000"/>
              <w:right w:val="single" w:sz="4" w:space="0" w:color="000000"/>
            </w:tcBorders>
            <w:vAlign w:val="center"/>
          </w:tcPr>
          <w:p w:rsidR="00A9251F" w:rsidRDefault="00A93ACE">
            <w:pPr>
              <w:rPr>
                <w:color w:val="000000"/>
                <w:szCs w:val="20"/>
                <w:shd w:val="clear" w:color="auto" w:fill="FFFFFF"/>
                <w:lang w:eastAsia="en-US" w:bidi="ar-SA"/>
              </w:rPr>
            </w:pPr>
            <w:r>
              <w:rPr>
                <w:color w:val="000000"/>
                <w:szCs w:val="20"/>
                <w:shd w:val="clear" w:color="auto" w:fill="FFFFFF"/>
                <w:lang w:eastAsia="en-US" w:bidi="ar-SA"/>
              </w:rPr>
              <w:t>0,2</w:t>
            </w:r>
          </w:p>
        </w:tc>
        <w:tc>
          <w:tcPr>
            <w:tcW w:w="772" w:type="pct"/>
            <w:tcBorders>
              <w:top w:val="nil"/>
              <w:left w:val="nil"/>
              <w:bottom w:val="single" w:sz="4" w:space="0" w:color="000000"/>
              <w:right w:val="single" w:sz="8" w:space="0" w:color="000000"/>
            </w:tcBorders>
            <w:shd w:val="clear" w:color="auto" w:fill="FFFFFF"/>
            <w:vAlign w:val="center"/>
          </w:tcPr>
          <w:p w:rsidR="00A9251F" w:rsidRDefault="00A93ACE">
            <w:pPr>
              <w:rPr>
                <w:color w:val="000000"/>
                <w:szCs w:val="20"/>
                <w:shd w:val="clear" w:color="auto" w:fill="FFFFFF"/>
                <w:lang w:eastAsia="en-US" w:bidi="ar-SA"/>
              </w:rPr>
            </w:pPr>
            <w:r>
              <w:rPr>
                <w:color w:val="000000"/>
                <w:szCs w:val="20"/>
                <w:shd w:val="clear" w:color="auto" w:fill="FFFFFF"/>
                <w:lang w:eastAsia="en-US" w:bidi="ar-SA"/>
              </w:rPr>
              <w:t>10</w:t>
            </w:r>
          </w:p>
        </w:tc>
      </w:tr>
      <w:tr w:rsidR="00A9251F">
        <w:trPr>
          <w:trHeight w:val="609"/>
        </w:trPr>
        <w:tc>
          <w:tcPr>
            <w:tcW w:w="3512" w:type="pct"/>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A9251F" w:rsidRDefault="00A93ACE">
            <w:pPr>
              <w:jc w:val="left"/>
              <w:rPr>
                <w:b/>
                <w:color w:val="000000"/>
                <w:szCs w:val="20"/>
                <w:shd w:val="clear" w:color="auto" w:fill="FFFFFF"/>
                <w:lang w:eastAsia="en-US" w:bidi="ar-SA"/>
              </w:rPr>
            </w:pPr>
            <w:r>
              <w:rPr>
                <w:b/>
                <w:color w:val="000000"/>
                <w:szCs w:val="20"/>
                <w:shd w:val="clear" w:color="auto" w:fill="FFFFFF"/>
                <w:lang w:eastAsia="en-US" w:bidi="ar-SA"/>
              </w:rPr>
              <w:t xml:space="preserve">Maksymalna ocena punktowa 20 </w:t>
            </w:r>
            <w:proofErr w:type="spellStart"/>
            <w:r>
              <w:rPr>
                <w:b/>
                <w:color w:val="000000"/>
                <w:szCs w:val="20"/>
                <w:shd w:val="clear" w:color="auto" w:fill="FFFFFF"/>
                <w:lang w:eastAsia="en-US" w:bidi="ar-SA"/>
              </w:rPr>
              <w:t>pkt</w:t>
            </w:r>
            <w:proofErr w:type="spellEnd"/>
          </w:p>
        </w:tc>
        <w:tc>
          <w:tcPr>
            <w:tcW w:w="716" w:type="pct"/>
            <w:tcBorders>
              <w:top w:val="single" w:sz="8" w:space="0" w:color="000000"/>
              <w:left w:val="nil"/>
              <w:bottom w:val="single" w:sz="8" w:space="0" w:color="000000"/>
              <w:right w:val="nil"/>
            </w:tcBorders>
            <w:shd w:val="clear" w:color="auto" w:fill="CCFFFF"/>
            <w:vAlign w:val="center"/>
          </w:tcPr>
          <w:p w:rsidR="00A9251F" w:rsidRDefault="00A93ACE">
            <w:pPr>
              <w:jc w:val="left"/>
              <w:rPr>
                <w:b/>
                <w:color w:val="000000"/>
                <w:szCs w:val="20"/>
                <w:shd w:val="clear" w:color="auto" w:fill="FFFFFF"/>
                <w:lang w:eastAsia="en-US" w:bidi="ar-SA"/>
              </w:rPr>
            </w:pPr>
            <w:r>
              <w:rPr>
                <w:b/>
                <w:color w:val="000000"/>
                <w:szCs w:val="20"/>
                <w:shd w:val="clear" w:color="auto" w:fill="FFFFFF"/>
                <w:lang w:eastAsia="en-US" w:bidi="ar-SA"/>
              </w:rPr>
              <w:t>Razem</w:t>
            </w:r>
          </w:p>
        </w:tc>
        <w:tc>
          <w:tcPr>
            <w:tcW w:w="772" w:type="pct"/>
            <w:tcBorders>
              <w:top w:val="single" w:sz="8" w:space="0" w:color="000000"/>
              <w:left w:val="nil"/>
              <w:bottom w:val="single" w:sz="8" w:space="0" w:color="000000"/>
              <w:right w:val="single" w:sz="8" w:space="0" w:color="000000"/>
            </w:tcBorders>
            <w:shd w:val="clear" w:color="auto" w:fill="CCFFFF"/>
            <w:vAlign w:val="center"/>
          </w:tcPr>
          <w:p w:rsidR="00A9251F" w:rsidRDefault="00A93ACE">
            <w:pPr>
              <w:jc w:val="left"/>
              <w:rPr>
                <w:b/>
                <w:color w:val="000000"/>
                <w:szCs w:val="20"/>
                <w:shd w:val="clear" w:color="auto" w:fill="FFFFFF"/>
                <w:lang w:eastAsia="en-US" w:bidi="ar-SA"/>
              </w:rPr>
            </w:pPr>
            <w:r>
              <w:rPr>
                <w:b/>
                <w:color w:val="000000"/>
                <w:szCs w:val="20"/>
                <w:shd w:val="clear" w:color="auto" w:fill="FFFFFF"/>
                <w:lang w:eastAsia="en-US" w:bidi="ar-SA"/>
              </w:rPr>
              <w:t>20 (100%)</w:t>
            </w:r>
          </w:p>
        </w:tc>
      </w:tr>
      <w:tr w:rsidR="00A9251F">
        <w:trPr>
          <w:trHeight w:val="493"/>
        </w:trPr>
        <w:tc>
          <w:tcPr>
            <w:tcW w:w="3512" w:type="pct"/>
            <w:gridSpan w:val="2"/>
            <w:tcBorders>
              <w:top w:val="single" w:sz="8" w:space="0" w:color="000000"/>
              <w:left w:val="single" w:sz="8" w:space="0" w:color="000000"/>
              <w:bottom w:val="single" w:sz="8" w:space="0" w:color="000000"/>
              <w:right w:val="single" w:sz="8" w:space="0" w:color="000000"/>
            </w:tcBorders>
            <w:shd w:val="clear" w:color="auto" w:fill="FFFF99"/>
            <w:noWrap/>
            <w:vAlign w:val="center"/>
          </w:tcPr>
          <w:p w:rsidR="00A9251F" w:rsidRDefault="00A93ACE">
            <w:pPr>
              <w:rPr>
                <w:b/>
                <w:color w:val="000000"/>
                <w:szCs w:val="20"/>
                <w:shd w:val="clear" w:color="auto" w:fill="FFFFFF"/>
                <w:lang w:eastAsia="en-US" w:bidi="ar-SA"/>
              </w:rPr>
            </w:pPr>
            <w:r>
              <w:rPr>
                <w:b/>
                <w:color w:val="000000"/>
                <w:szCs w:val="20"/>
                <w:shd w:val="clear" w:color="auto" w:fill="FFFFFF"/>
                <w:lang w:eastAsia="en-US" w:bidi="ar-SA"/>
              </w:rPr>
              <w:t xml:space="preserve">Łączna wartość punktów </w:t>
            </w:r>
            <w:r>
              <w:rPr>
                <w:b/>
                <w:color w:val="000000"/>
                <w:szCs w:val="20"/>
                <w:shd w:val="clear" w:color="auto" w:fill="FFFFFF"/>
                <w:lang w:eastAsia="en-US" w:bidi="ar-SA"/>
              </w:rPr>
              <w:t>osiągniętych</w:t>
            </w:r>
          </w:p>
        </w:tc>
        <w:tc>
          <w:tcPr>
            <w:tcW w:w="1488" w:type="pct"/>
            <w:gridSpan w:val="2"/>
            <w:tcBorders>
              <w:top w:val="single" w:sz="8" w:space="0" w:color="000000"/>
              <w:left w:val="nil"/>
              <w:bottom w:val="single" w:sz="8" w:space="0" w:color="000000"/>
              <w:right w:val="single" w:sz="8" w:space="0" w:color="000000"/>
            </w:tcBorders>
            <w:shd w:val="clear" w:color="auto" w:fill="FFFF99"/>
            <w:vAlign w:val="center"/>
          </w:tcPr>
          <w:p w:rsidR="00A9251F" w:rsidRDefault="00A93ACE">
            <w:pPr>
              <w:rPr>
                <w:b/>
                <w:color w:val="000000"/>
                <w:szCs w:val="20"/>
                <w:shd w:val="clear" w:color="auto" w:fill="FFFFFF"/>
                <w:lang w:eastAsia="en-US" w:bidi="ar-SA"/>
              </w:rPr>
            </w:pPr>
            <w:r>
              <w:rPr>
                <w:b/>
                <w:color w:val="000000"/>
                <w:szCs w:val="20"/>
                <w:shd w:val="clear" w:color="auto" w:fill="FFFFFF"/>
                <w:lang w:eastAsia="en-US" w:bidi="ar-SA"/>
              </w:rPr>
              <w:t>70 (100%)</w:t>
            </w:r>
          </w:p>
        </w:tc>
      </w:tr>
      <w:tr w:rsidR="00A9251F">
        <w:trPr>
          <w:trHeight w:val="557"/>
        </w:trPr>
        <w:tc>
          <w:tcPr>
            <w:tcW w:w="3512" w:type="pct"/>
            <w:gridSpan w:val="2"/>
            <w:tcBorders>
              <w:top w:val="single" w:sz="8" w:space="0" w:color="000000"/>
              <w:left w:val="single" w:sz="8" w:space="0" w:color="000000"/>
              <w:bottom w:val="single" w:sz="8" w:space="0" w:color="000000"/>
              <w:right w:val="single" w:sz="8" w:space="0" w:color="000000"/>
            </w:tcBorders>
            <w:shd w:val="clear" w:color="auto" w:fill="FFFF00"/>
            <w:noWrap/>
            <w:vAlign w:val="center"/>
          </w:tcPr>
          <w:p w:rsidR="00A9251F" w:rsidRDefault="00A93ACE">
            <w:pPr>
              <w:rPr>
                <w:b/>
                <w:color w:val="000000"/>
                <w:szCs w:val="20"/>
                <w:shd w:val="clear" w:color="auto" w:fill="FFFFFF"/>
                <w:lang w:eastAsia="en-US" w:bidi="ar-SA"/>
              </w:rPr>
            </w:pPr>
            <w:r>
              <w:rPr>
                <w:b/>
                <w:color w:val="000000"/>
                <w:szCs w:val="20"/>
                <w:shd w:val="clear" w:color="auto" w:fill="FFFFFF"/>
                <w:lang w:eastAsia="en-US" w:bidi="ar-SA"/>
              </w:rPr>
              <w:t>Maksymalna wartość punktów możliwych do osiągnięcia</w:t>
            </w:r>
          </w:p>
        </w:tc>
        <w:tc>
          <w:tcPr>
            <w:tcW w:w="1488" w:type="pct"/>
            <w:gridSpan w:val="2"/>
            <w:tcBorders>
              <w:top w:val="single" w:sz="8" w:space="0" w:color="000000"/>
              <w:left w:val="nil"/>
              <w:bottom w:val="single" w:sz="8" w:space="0" w:color="000000"/>
              <w:right w:val="single" w:sz="8" w:space="0" w:color="000000"/>
            </w:tcBorders>
            <w:shd w:val="clear" w:color="auto" w:fill="FFFF00"/>
            <w:vAlign w:val="center"/>
          </w:tcPr>
          <w:p w:rsidR="00A9251F" w:rsidRDefault="00A93ACE">
            <w:pPr>
              <w:rPr>
                <w:b/>
                <w:color w:val="000000"/>
                <w:szCs w:val="20"/>
                <w:shd w:val="clear" w:color="auto" w:fill="FFFFFF"/>
                <w:lang w:eastAsia="en-US" w:bidi="ar-SA"/>
              </w:rPr>
            </w:pPr>
            <w:r>
              <w:rPr>
                <w:b/>
                <w:color w:val="000000"/>
                <w:szCs w:val="20"/>
                <w:shd w:val="clear" w:color="auto" w:fill="FFFFFF"/>
                <w:lang w:eastAsia="en-US" w:bidi="ar-SA"/>
              </w:rPr>
              <w:t xml:space="preserve"> 70 (100%)</w:t>
            </w:r>
          </w:p>
        </w:tc>
      </w:tr>
    </w:tbl>
    <w:p w:rsidR="00A9251F" w:rsidRDefault="00A9251F">
      <w:pPr>
        <w:spacing w:before="240" w:after="240" w:line="276" w:lineRule="auto"/>
        <w:jc w:val="both"/>
        <w:rPr>
          <w:color w:val="000000"/>
          <w:szCs w:val="20"/>
          <w:shd w:val="clear" w:color="auto" w:fill="FFFFFF"/>
          <w:lang w:eastAsia="en-US" w:bidi="ar-SA"/>
        </w:rPr>
      </w:pPr>
    </w:p>
    <w:p w:rsidR="00A9251F" w:rsidRDefault="00A93ACE">
      <w:pPr>
        <w:spacing w:line="276" w:lineRule="auto"/>
        <w:jc w:val="both"/>
        <w:rPr>
          <w:color w:val="000000"/>
          <w:szCs w:val="20"/>
          <w:shd w:val="clear" w:color="auto" w:fill="FFFFFF"/>
          <w:lang w:eastAsia="en-US" w:bidi="ar-SA"/>
        </w:rPr>
      </w:pPr>
      <w:r>
        <w:rPr>
          <w:color w:val="000000"/>
          <w:szCs w:val="20"/>
          <w:shd w:val="clear" w:color="auto" w:fill="FFFFFF"/>
          <w:lang w:eastAsia="en-US" w:bidi="ar-SA"/>
        </w:rPr>
        <w:lastRenderedPageBreak/>
        <w:t>W 2021 rok</w:t>
      </w:r>
      <w:r>
        <w:rPr>
          <w:color w:val="000000"/>
          <w:szCs w:val="20"/>
          <w:shd w:val="clear" w:color="auto" w:fill="FFFFFF"/>
        </w:rPr>
        <w:t>u</w:t>
      </w:r>
      <w:r>
        <w:rPr>
          <w:color w:val="000000"/>
          <w:szCs w:val="20"/>
          <w:shd w:val="clear" w:color="auto" w:fill="FFFFFF"/>
          <w:lang w:eastAsia="en-US" w:bidi="ar-SA"/>
        </w:rPr>
        <w:t xml:space="preserve"> MCM „Polesie” w Łodzi osiągnęło wynik finansowy netto w wysokości 1.838.562 zł (większy o 3.868.323 zł</w:t>
      </w:r>
      <w:r>
        <w:rPr>
          <w:color w:val="000000"/>
          <w:sz w:val="20"/>
          <w:szCs w:val="20"/>
          <w:shd w:val="clear" w:color="auto" w:fill="FFFFFF"/>
          <w:lang w:eastAsia="en-US" w:bidi="ar-SA"/>
        </w:rPr>
        <w:t xml:space="preserve"> </w:t>
      </w:r>
      <w:r>
        <w:rPr>
          <w:color w:val="000000"/>
          <w:szCs w:val="20"/>
          <w:shd w:val="clear" w:color="auto" w:fill="FFFFFF"/>
          <w:lang w:eastAsia="en-US" w:bidi="ar-SA"/>
        </w:rPr>
        <w:t>niż w 2020 roku). Po dodaniu kosztów amortyzacji wzrósł on do poziomu 2.704.438 zł. Z samej działalności operacyjnej jednostka osiągnęła wynik finansowy w wysokości 1.849.478 zł (większy o 3.887.059 zł od osiągniętego w 2020 roku). W 2021 roku jednostka re</w:t>
      </w:r>
      <w:r>
        <w:rPr>
          <w:color w:val="000000"/>
          <w:szCs w:val="20"/>
          <w:shd w:val="clear" w:color="auto" w:fill="FFFFFF"/>
          <w:lang w:eastAsia="en-US" w:bidi="ar-SA"/>
        </w:rPr>
        <w:t xml:space="preserve">alizowała Program </w:t>
      </w:r>
      <w:r>
        <w:rPr>
          <w:color w:val="000000"/>
          <w:szCs w:val="20"/>
          <w:shd w:val="clear" w:color="auto" w:fill="FFFFFF"/>
        </w:rPr>
        <w:t>n</w:t>
      </w:r>
      <w:proofErr w:type="spellStart"/>
      <w:r>
        <w:rPr>
          <w:color w:val="000000"/>
          <w:szCs w:val="20"/>
          <w:shd w:val="clear" w:color="auto" w:fill="FFFFFF"/>
          <w:lang w:eastAsia="en-US" w:bidi="ar-SA"/>
        </w:rPr>
        <w:t>aprawczy</w:t>
      </w:r>
      <w:proofErr w:type="spellEnd"/>
      <w:r>
        <w:rPr>
          <w:color w:val="000000"/>
          <w:szCs w:val="20"/>
          <w:shd w:val="clear" w:color="auto" w:fill="FFFFFF"/>
          <w:lang w:eastAsia="en-US" w:bidi="ar-SA"/>
        </w:rPr>
        <w:t xml:space="preserve"> (uchwała</w:t>
      </w:r>
      <w:r>
        <w:rPr>
          <w:color w:val="000000"/>
          <w:szCs w:val="20"/>
          <w:shd w:val="clear" w:color="auto" w:fill="FFFFFF"/>
        </w:rPr>
        <w:t xml:space="preserve"> Nr XLI/1285/21</w:t>
      </w:r>
      <w:r>
        <w:rPr>
          <w:color w:val="000000"/>
          <w:szCs w:val="20"/>
          <w:shd w:val="clear" w:color="auto" w:fill="FFFFFF"/>
          <w:lang w:eastAsia="en-US" w:bidi="ar-SA"/>
        </w:rPr>
        <w:t xml:space="preserve"> Rady Miejskiej w Łodzi w dniu 14 kwietnia 2021 roku </w:t>
      </w:r>
      <w:r>
        <w:rPr>
          <w:color w:val="000000"/>
          <w:szCs w:val="20"/>
          <w:shd w:val="clear" w:color="auto" w:fill="FFFFFF"/>
        </w:rPr>
        <w:t>w sprawie zatwierdzenia Programu naprawczego Miejskiego Centrum Medycznego „Polesie” w Łodzi na lata 2020-2021).</w:t>
      </w:r>
      <w:r>
        <w:rPr>
          <w:color w:val="000000"/>
          <w:szCs w:val="20"/>
          <w:shd w:val="clear" w:color="auto" w:fill="FFFFFF"/>
          <w:lang w:eastAsia="en-US" w:bidi="ar-SA"/>
        </w:rPr>
        <w:t xml:space="preserve"> Wygenerowany w tym okresie zysk, zgodni</w:t>
      </w:r>
      <w:r>
        <w:rPr>
          <w:color w:val="000000"/>
          <w:szCs w:val="20"/>
          <w:shd w:val="clear" w:color="auto" w:fill="FFFFFF"/>
          <w:lang w:eastAsia="en-US" w:bidi="ar-SA"/>
        </w:rPr>
        <w:t>e z regulacją art. 57 ust. 1 ustawy</w:t>
      </w:r>
      <w:r>
        <w:rPr>
          <w:color w:val="000000"/>
          <w:szCs w:val="20"/>
          <w:shd w:val="clear" w:color="auto" w:fill="FFFFFF"/>
        </w:rPr>
        <w:t xml:space="preserve"> z dnia 15 lutego 2011 r.</w:t>
      </w:r>
      <w:r>
        <w:rPr>
          <w:color w:val="000000"/>
          <w:szCs w:val="20"/>
          <w:shd w:val="clear" w:color="auto" w:fill="FFFFFF"/>
          <w:lang w:eastAsia="en-US" w:bidi="ar-SA"/>
        </w:rPr>
        <w:t xml:space="preserve"> o działalności leczniczej, zwiększy fundusz zakładu (kapitał zapasowy) jednostki </w:t>
      </w:r>
      <w:r>
        <w:rPr>
          <w:color w:val="000000"/>
          <w:szCs w:val="20"/>
          <w:shd w:val="clear" w:color="auto" w:fill="FFFFFF"/>
        </w:rPr>
        <w:br/>
      </w:r>
      <w:r>
        <w:rPr>
          <w:color w:val="000000"/>
          <w:szCs w:val="20"/>
          <w:shd w:val="clear" w:color="auto" w:fill="FFFFFF"/>
          <w:lang w:eastAsia="en-US" w:bidi="ar-SA"/>
        </w:rPr>
        <w:t>i pokryje nierozliczone straty z lat ubiegłych.</w:t>
      </w:r>
    </w:p>
    <w:p w:rsidR="00A9251F" w:rsidRDefault="00A93ACE">
      <w:pPr>
        <w:spacing w:line="276" w:lineRule="auto"/>
        <w:jc w:val="both"/>
        <w:rPr>
          <w:color w:val="000000"/>
          <w:szCs w:val="20"/>
          <w:shd w:val="clear" w:color="auto" w:fill="FFFFFF"/>
          <w:lang w:eastAsia="en-US" w:bidi="ar-SA"/>
        </w:rPr>
      </w:pPr>
      <w:r>
        <w:rPr>
          <w:color w:val="000000"/>
          <w:szCs w:val="20"/>
          <w:shd w:val="clear" w:color="auto" w:fill="FFFFFF"/>
          <w:lang w:eastAsia="en-US" w:bidi="ar-SA"/>
        </w:rPr>
        <w:t xml:space="preserve"> </w:t>
      </w:r>
      <w:r>
        <w:rPr>
          <w:color w:val="000000"/>
          <w:szCs w:val="20"/>
          <w:shd w:val="clear" w:color="auto" w:fill="FFFFFF"/>
          <w:lang w:eastAsia="en-US" w:bidi="ar-SA"/>
        </w:rPr>
        <w:br/>
        <w:t>Poziom realizacji programu naprawczego przedstawia poniższa tab</w:t>
      </w:r>
      <w:r>
        <w:rPr>
          <w:color w:val="000000"/>
          <w:szCs w:val="20"/>
          <w:shd w:val="clear" w:color="auto" w:fill="FFFFFF"/>
          <w:lang w:eastAsia="en-US" w:bidi="ar-SA"/>
        </w:rPr>
        <w:t>ela.</w:t>
      </w:r>
    </w:p>
    <w:tbl>
      <w:tblPr>
        <w:tblW w:w="94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0"/>
        <w:gridCol w:w="1935"/>
        <w:gridCol w:w="1770"/>
        <w:gridCol w:w="2010"/>
        <w:gridCol w:w="2010"/>
      </w:tblGrid>
      <w:tr w:rsidR="00A9251F">
        <w:trPr>
          <w:trHeight w:val="978"/>
        </w:trPr>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9251F" w:rsidRDefault="00A93ACE">
            <w:pPr>
              <w:rPr>
                <w:b/>
                <w:color w:val="000000"/>
                <w:szCs w:val="20"/>
                <w:shd w:val="clear" w:color="auto" w:fill="FFFFFF"/>
                <w:lang w:eastAsia="en-US" w:bidi="ar-SA"/>
              </w:rPr>
            </w:pPr>
            <w:r>
              <w:rPr>
                <w:b/>
                <w:color w:val="000000"/>
                <w:szCs w:val="20"/>
                <w:shd w:val="clear" w:color="auto" w:fill="FFFFFF"/>
                <w:lang w:eastAsia="en-US" w:bidi="ar-SA"/>
              </w:rPr>
              <w:t>Zakładane rezultaty</w:t>
            </w:r>
          </w:p>
        </w:tc>
        <w:tc>
          <w:tcPr>
            <w:tcW w:w="19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9251F" w:rsidRDefault="00A93ACE">
            <w:pPr>
              <w:rPr>
                <w:b/>
                <w:color w:val="000000"/>
                <w:szCs w:val="20"/>
                <w:shd w:val="clear" w:color="auto" w:fill="FFFFFF"/>
                <w:lang w:eastAsia="en-US" w:bidi="ar-SA"/>
              </w:rPr>
            </w:pPr>
            <w:r>
              <w:rPr>
                <w:b/>
                <w:color w:val="000000"/>
                <w:szCs w:val="20"/>
                <w:shd w:val="clear" w:color="auto" w:fill="FFFFFF"/>
                <w:lang w:eastAsia="en-US" w:bidi="ar-SA"/>
              </w:rPr>
              <w:t>Osiągnięty wynik na koniec I kwartału 2021</w:t>
            </w:r>
          </w:p>
        </w:tc>
        <w:tc>
          <w:tcPr>
            <w:tcW w:w="17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9251F" w:rsidRDefault="00A93ACE">
            <w:pPr>
              <w:rPr>
                <w:b/>
                <w:color w:val="000000"/>
                <w:szCs w:val="20"/>
                <w:shd w:val="clear" w:color="auto" w:fill="FFFFFF"/>
                <w:lang w:eastAsia="en-US" w:bidi="ar-SA"/>
              </w:rPr>
            </w:pPr>
            <w:r>
              <w:rPr>
                <w:b/>
                <w:color w:val="000000"/>
                <w:szCs w:val="20"/>
                <w:shd w:val="clear" w:color="auto" w:fill="FFFFFF"/>
                <w:lang w:eastAsia="en-US" w:bidi="ar-SA"/>
              </w:rPr>
              <w:t>Osiągnięty wynik na koniec II kwartału 2021</w:t>
            </w:r>
          </w:p>
        </w:tc>
        <w:tc>
          <w:tcPr>
            <w:tcW w:w="20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9251F" w:rsidRDefault="00A93ACE">
            <w:pPr>
              <w:rPr>
                <w:b/>
                <w:color w:val="000000"/>
                <w:szCs w:val="20"/>
                <w:shd w:val="clear" w:color="auto" w:fill="FFFFFF"/>
                <w:lang w:eastAsia="en-US" w:bidi="ar-SA"/>
              </w:rPr>
            </w:pPr>
            <w:r>
              <w:rPr>
                <w:b/>
                <w:color w:val="000000"/>
                <w:szCs w:val="20"/>
                <w:shd w:val="clear" w:color="auto" w:fill="FFFFFF"/>
                <w:lang w:eastAsia="en-US" w:bidi="ar-SA"/>
              </w:rPr>
              <w:t>Osiągnięty wynik na koniec III kwartału 2021</w:t>
            </w:r>
          </w:p>
        </w:tc>
        <w:tc>
          <w:tcPr>
            <w:tcW w:w="2010" w:type="dxa"/>
            <w:tcBorders>
              <w:top w:val="single" w:sz="4" w:space="0" w:color="000000"/>
              <w:left w:val="single" w:sz="4" w:space="0" w:color="000000"/>
              <w:bottom w:val="single" w:sz="4" w:space="0" w:color="000000"/>
              <w:right w:val="single" w:sz="4" w:space="0" w:color="000000"/>
            </w:tcBorders>
            <w:shd w:val="clear" w:color="auto" w:fill="D9D9D9"/>
          </w:tcPr>
          <w:p w:rsidR="00A9251F" w:rsidRDefault="00A93ACE">
            <w:pPr>
              <w:rPr>
                <w:b/>
                <w:color w:val="000000"/>
                <w:szCs w:val="20"/>
                <w:shd w:val="clear" w:color="auto" w:fill="FFFFFF"/>
                <w:lang w:eastAsia="en-US" w:bidi="ar-SA"/>
              </w:rPr>
            </w:pPr>
            <w:r>
              <w:rPr>
                <w:b/>
                <w:color w:val="000000"/>
                <w:szCs w:val="20"/>
                <w:shd w:val="clear" w:color="auto" w:fill="FFFFFF"/>
                <w:lang w:eastAsia="en-US" w:bidi="ar-SA"/>
              </w:rPr>
              <w:t>Osiągnięty wynik na koniec IV kwartału 2021</w:t>
            </w:r>
          </w:p>
        </w:tc>
      </w:tr>
      <w:tr w:rsidR="00A9251F">
        <w:tc>
          <w:tcPr>
            <w:tcW w:w="9435" w:type="dxa"/>
            <w:gridSpan w:val="5"/>
            <w:tcBorders>
              <w:top w:val="single" w:sz="4" w:space="0" w:color="000000"/>
              <w:left w:val="single" w:sz="4" w:space="0" w:color="000000"/>
              <w:bottom w:val="single" w:sz="4" w:space="0" w:color="000000"/>
              <w:right w:val="single" w:sz="4" w:space="0" w:color="000000"/>
            </w:tcBorders>
            <w:shd w:val="clear" w:color="auto" w:fill="BFBFBF"/>
          </w:tcPr>
          <w:p w:rsidR="00A9251F" w:rsidRDefault="00A93ACE">
            <w:pPr>
              <w:numPr>
                <w:ilvl w:val="0"/>
                <w:numId w:val="3"/>
              </w:numPr>
              <w:contextualSpacing/>
              <w:jc w:val="left"/>
              <w:rPr>
                <w:rFonts w:ascii="Calibri" w:hAnsi="Calibri"/>
                <w:b/>
                <w:szCs w:val="20"/>
                <w:lang w:val="en-US" w:eastAsia="en-US" w:bidi="en-US"/>
              </w:rPr>
            </w:pPr>
            <w:proofErr w:type="spellStart"/>
            <w:r>
              <w:rPr>
                <w:rFonts w:ascii="Calibri" w:hAnsi="Calibri"/>
                <w:b/>
                <w:szCs w:val="20"/>
                <w:lang w:val="en-US" w:eastAsia="en-US" w:bidi="en-US"/>
              </w:rPr>
              <w:t>Przychody</w:t>
            </w:r>
            <w:proofErr w:type="spellEnd"/>
            <w:r>
              <w:rPr>
                <w:rFonts w:ascii="Calibri" w:hAnsi="Calibri"/>
                <w:b/>
                <w:szCs w:val="20"/>
                <w:lang w:val="en-US" w:eastAsia="en-US" w:bidi="en-US"/>
              </w:rPr>
              <w:t xml:space="preserve"> z </w:t>
            </w:r>
            <w:proofErr w:type="spellStart"/>
            <w:r>
              <w:rPr>
                <w:rFonts w:ascii="Calibri" w:hAnsi="Calibri"/>
                <w:b/>
                <w:szCs w:val="20"/>
                <w:lang w:val="en-US" w:eastAsia="en-US" w:bidi="en-US"/>
              </w:rPr>
              <w:t>realizacji</w:t>
            </w:r>
            <w:proofErr w:type="spellEnd"/>
            <w:r>
              <w:rPr>
                <w:rFonts w:ascii="Calibri" w:hAnsi="Calibri"/>
                <w:b/>
                <w:szCs w:val="20"/>
                <w:lang w:val="en-US" w:eastAsia="en-US" w:bidi="en-US"/>
              </w:rPr>
              <w:t xml:space="preserve"> </w:t>
            </w:r>
            <w:proofErr w:type="spellStart"/>
            <w:r>
              <w:rPr>
                <w:rFonts w:ascii="Calibri" w:hAnsi="Calibri"/>
                <w:b/>
                <w:szCs w:val="20"/>
                <w:lang w:val="en-US" w:eastAsia="en-US" w:bidi="en-US"/>
              </w:rPr>
              <w:t>świadczeń</w:t>
            </w:r>
            <w:proofErr w:type="spellEnd"/>
            <w:r>
              <w:rPr>
                <w:rFonts w:ascii="Calibri" w:hAnsi="Calibri"/>
                <w:b/>
                <w:szCs w:val="20"/>
                <w:lang w:val="en-US" w:eastAsia="en-US" w:bidi="en-US"/>
              </w:rPr>
              <w:t xml:space="preserve"> </w:t>
            </w:r>
            <w:proofErr w:type="spellStart"/>
            <w:r>
              <w:rPr>
                <w:rFonts w:ascii="Calibri" w:hAnsi="Calibri"/>
                <w:b/>
                <w:szCs w:val="20"/>
                <w:lang w:val="en-US" w:eastAsia="en-US" w:bidi="en-US"/>
              </w:rPr>
              <w:t>opieki</w:t>
            </w:r>
            <w:proofErr w:type="spellEnd"/>
            <w:r>
              <w:rPr>
                <w:rFonts w:ascii="Calibri" w:hAnsi="Calibri"/>
                <w:b/>
                <w:szCs w:val="20"/>
                <w:lang w:val="en-US" w:eastAsia="en-US" w:bidi="en-US"/>
              </w:rPr>
              <w:t xml:space="preserve"> </w:t>
            </w:r>
            <w:proofErr w:type="spellStart"/>
            <w:r>
              <w:rPr>
                <w:rFonts w:ascii="Calibri" w:hAnsi="Calibri"/>
                <w:b/>
                <w:szCs w:val="20"/>
                <w:lang w:val="en-US" w:eastAsia="en-US" w:bidi="en-US"/>
              </w:rPr>
              <w:t>zdrowotnej</w:t>
            </w:r>
            <w:proofErr w:type="spellEnd"/>
          </w:p>
        </w:tc>
      </w:tr>
      <w:tr w:rsidR="00A9251F">
        <w:trPr>
          <w:trHeight w:val="1038"/>
        </w:trPr>
        <w:tc>
          <w:tcPr>
            <w:tcW w:w="1710" w:type="dxa"/>
            <w:tcBorders>
              <w:top w:val="single" w:sz="4" w:space="0" w:color="000000"/>
              <w:left w:val="single" w:sz="4" w:space="0" w:color="000000"/>
              <w:bottom w:val="single" w:sz="4" w:space="0" w:color="000000"/>
              <w:right w:val="single" w:sz="4" w:space="0" w:color="000000"/>
            </w:tcBorders>
            <w:vAlign w:val="center"/>
          </w:tcPr>
          <w:p w:rsidR="00A9251F" w:rsidRDefault="00A93ACE">
            <w:pPr>
              <w:jc w:val="left"/>
              <w:rPr>
                <w:color w:val="000000"/>
                <w:szCs w:val="20"/>
                <w:shd w:val="clear" w:color="auto" w:fill="FFFFFF"/>
                <w:lang w:eastAsia="en-US" w:bidi="ar-SA"/>
              </w:rPr>
            </w:pPr>
            <w:r>
              <w:rPr>
                <w:color w:val="000000"/>
                <w:szCs w:val="20"/>
                <w:shd w:val="clear" w:color="auto" w:fill="FFFFFF"/>
                <w:lang w:eastAsia="en-US" w:bidi="ar-SA"/>
              </w:rPr>
              <w:t xml:space="preserve">Zwiększenie przychodów </w:t>
            </w:r>
            <w:r>
              <w:rPr>
                <w:color w:val="000000"/>
                <w:szCs w:val="20"/>
                <w:shd w:val="clear" w:color="auto" w:fill="FFFFFF"/>
                <w:lang w:eastAsia="en-US" w:bidi="ar-SA"/>
              </w:rPr>
              <w:br/>
              <w:t xml:space="preserve">z umów z NFZ </w:t>
            </w:r>
            <w:r>
              <w:rPr>
                <w:color w:val="000000"/>
                <w:szCs w:val="20"/>
                <w:shd w:val="clear" w:color="auto" w:fill="FFFFFF"/>
                <w:lang w:eastAsia="en-US" w:bidi="ar-SA"/>
              </w:rPr>
              <w:br/>
              <w:t xml:space="preserve">w zakresie AOS </w:t>
            </w:r>
            <w:r>
              <w:rPr>
                <w:color w:val="000000"/>
                <w:szCs w:val="20"/>
                <w:shd w:val="clear" w:color="auto" w:fill="FFFFFF"/>
                <w:lang w:eastAsia="en-US" w:bidi="ar-SA"/>
              </w:rPr>
              <w:br/>
              <w:t>o 10% w stosunku do 2019 roku</w:t>
            </w:r>
          </w:p>
        </w:tc>
        <w:tc>
          <w:tcPr>
            <w:tcW w:w="1935" w:type="dxa"/>
            <w:tcBorders>
              <w:top w:val="single" w:sz="4" w:space="0" w:color="000000"/>
              <w:left w:val="single" w:sz="4" w:space="0" w:color="000000"/>
              <w:bottom w:val="single" w:sz="4" w:space="0" w:color="000000"/>
              <w:right w:val="single" w:sz="4" w:space="0" w:color="000000"/>
            </w:tcBorders>
            <w:vAlign w:val="center"/>
          </w:tcPr>
          <w:p w:rsidR="00A9251F" w:rsidRDefault="00A93ACE">
            <w:pPr>
              <w:jc w:val="left"/>
              <w:rPr>
                <w:color w:val="000000"/>
                <w:szCs w:val="20"/>
                <w:shd w:val="clear" w:color="auto" w:fill="FFFFFF"/>
                <w:lang w:eastAsia="en-US" w:bidi="ar-SA"/>
              </w:rPr>
            </w:pPr>
            <w:r>
              <w:rPr>
                <w:color w:val="000000"/>
                <w:szCs w:val="20"/>
                <w:shd w:val="clear" w:color="auto" w:fill="FFFFFF"/>
                <w:lang w:eastAsia="en-US" w:bidi="ar-SA"/>
              </w:rPr>
              <w:t>Zwiększenie przychodów z AOS o 59,25%</w:t>
            </w:r>
          </w:p>
        </w:tc>
        <w:tc>
          <w:tcPr>
            <w:tcW w:w="1770" w:type="dxa"/>
            <w:tcBorders>
              <w:top w:val="single" w:sz="4" w:space="0" w:color="000000"/>
              <w:left w:val="single" w:sz="4" w:space="0" w:color="000000"/>
              <w:bottom w:val="single" w:sz="4" w:space="0" w:color="000000"/>
              <w:right w:val="single" w:sz="4" w:space="0" w:color="000000"/>
            </w:tcBorders>
            <w:vAlign w:val="center"/>
          </w:tcPr>
          <w:p w:rsidR="00A9251F" w:rsidRDefault="00A93ACE">
            <w:pPr>
              <w:jc w:val="left"/>
              <w:rPr>
                <w:color w:val="000000"/>
                <w:szCs w:val="20"/>
                <w:shd w:val="clear" w:color="auto" w:fill="FFFFFF"/>
                <w:lang w:eastAsia="en-US" w:bidi="ar-SA"/>
              </w:rPr>
            </w:pPr>
            <w:r>
              <w:rPr>
                <w:color w:val="000000"/>
                <w:szCs w:val="20"/>
                <w:shd w:val="clear" w:color="auto" w:fill="FFFFFF"/>
                <w:lang w:eastAsia="en-US" w:bidi="ar-SA"/>
              </w:rPr>
              <w:t>Zwiększenie przychodów z AOS o 56,01%</w:t>
            </w:r>
          </w:p>
        </w:tc>
        <w:tc>
          <w:tcPr>
            <w:tcW w:w="2010" w:type="dxa"/>
            <w:tcBorders>
              <w:top w:val="single" w:sz="4" w:space="0" w:color="000000"/>
              <w:left w:val="single" w:sz="4" w:space="0" w:color="000000"/>
              <w:bottom w:val="single" w:sz="4" w:space="0" w:color="000000"/>
              <w:right w:val="single" w:sz="4" w:space="0" w:color="000000"/>
            </w:tcBorders>
            <w:vAlign w:val="center"/>
          </w:tcPr>
          <w:p w:rsidR="00A9251F" w:rsidRDefault="00A93ACE">
            <w:pPr>
              <w:jc w:val="left"/>
              <w:rPr>
                <w:b/>
                <w:color w:val="000000"/>
                <w:szCs w:val="20"/>
                <w:shd w:val="clear" w:color="auto" w:fill="FFFFFF"/>
                <w:lang w:eastAsia="en-US" w:bidi="ar-SA"/>
              </w:rPr>
            </w:pPr>
            <w:r>
              <w:rPr>
                <w:color w:val="000000"/>
                <w:szCs w:val="20"/>
                <w:shd w:val="clear" w:color="auto" w:fill="FFFFFF"/>
                <w:lang w:eastAsia="en-US" w:bidi="ar-SA"/>
              </w:rPr>
              <w:t>Zwiększenie przychodów z AOS o 132,78%</w:t>
            </w:r>
          </w:p>
        </w:tc>
        <w:tc>
          <w:tcPr>
            <w:tcW w:w="2010" w:type="dxa"/>
            <w:tcBorders>
              <w:top w:val="single" w:sz="4" w:space="0" w:color="000000"/>
              <w:left w:val="single" w:sz="4" w:space="0" w:color="000000"/>
              <w:bottom w:val="single" w:sz="4" w:space="0" w:color="000000"/>
              <w:right w:val="single" w:sz="4" w:space="0" w:color="000000"/>
            </w:tcBorders>
            <w:vAlign w:val="center"/>
          </w:tcPr>
          <w:p w:rsidR="00A9251F" w:rsidRDefault="00A93ACE">
            <w:pPr>
              <w:jc w:val="left"/>
              <w:rPr>
                <w:color w:val="000000"/>
                <w:szCs w:val="20"/>
                <w:shd w:val="clear" w:color="auto" w:fill="FFFFFF"/>
                <w:lang w:eastAsia="en-US" w:bidi="ar-SA"/>
              </w:rPr>
            </w:pPr>
            <w:r>
              <w:rPr>
                <w:color w:val="000000"/>
                <w:szCs w:val="20"/>
                <w:shd w:val="clear" w:color="auto" w:fill="FFFFFF"/>
                <w:lang w:eastAsia="en-US" w:bidi="ar-SA"/>
              </w:rPr>
              <w:t>Zwiększenie przychodów z AOS o 115,86%</w:t>
            </w:r>
          </w:p>
        </w:tc>
      </w:tr>
      <w:tr w:rsidR="00A9251F">
        <w:tc>
          <w:tcPr>
            <w:tcW w:w="1710" w:type="dxa"/>
            <w:tcBorders>
              <w:top w:val="single" w:sz="4" w:space="0" w:color="000000"/>
              <w:left w:val="single" w:sz="4" w:space="0" w:color="000000"/>
              <w:bottom w:val="single" w:sz="4" w:space="0" w:color="000000"/>
              <w:right w:val="single" w:sz="4" w:space="0" w:color="000000"/>
            </w:tcBorders>
            <w:vAlign w:val="center"/>
          </w:tcPr>
          <w:p w:rsidR="00A9251F" w:rsidRDefault="00A93ACE">
            <w:pPr>
              <w:jc w:val="left"/>
              <w:rPr>
                <w:color w:val="000000"/>
                <w:szCs w:val="20"/>
                <w:shd w:val="clear" w:color="auto" w:fill="FFFFFF"/>
                <w:lang w:eastAsia="en-US" w:bidi="ar-SA"/>
              </w:rPr>
            </w:pPr>
            <w:r>
              <w:rPr>
                <w:color w:val="000000"/>
                <w:szCs w:val="20"/>
                <w:shd w:val="clear" w:color="auto" w:fill="FFFFFF"/>
                <w:lang w:eastAsia="en-US" w:bidi="ar-SA"/>
              </w:rPr>
              <w:t xml:space="preserve">Zwiększenie przychodów z NFZ w pozostałych zakresach o 5% </w:t>
            </w:r>
            <w:r>
              <w:rPr>
                <w:color w:val="000000"/>
                <w:szCs w:val="20"/>
                <w:shd w:val="clear" w:color="auto" w:fill="FFFFFF"/>
                <w:lang w:eastAsia="en-US" w:bidi="ar-SA"/>
              </w:rPr>
              <w:br/>
              <w:t>w stosunku do 2019 roku</w:t>
            </w:r>
          </w:p>
        </w:tc>
        <w:tc>
          <w:tcPr>
            <w:tcW w:w="1935" w:type="dxa"/>
            <w:tcBorders>
              <w:top w:val="single" w:sz="4" w:space="0" w:color="000000"/>
              <w:left w:val="single" w:sz="4" w:space="0" w:color="000000"/>
              <w:bottom w:val="single" w:sz="4" w:space="0" w:color="000000"/>
              <w:right w:val="single" w:sz="4" w:space="0" w:color="000000"/>
            </w:tcBorders>
            <w:vAlign w:val="center"/>
          </w:tcPr>
          <w:p w:rsidR="00A9251F" w:rsidRDefault="00A93ACE">
            <w:pPr>
              <w:jc w:val="left"/>
              <w:rPr>
                <w:color w:val="000000"/>
                <w:szCs w:val="20"/>
                <w:shd w:val="clear" w:color="auto" w:fill="FFFFFF"/>
                <w:lang w:eastAsia="en-US" w:bidi="ar-SA"/>
              </w:rPr>
            </w:pPr>
            <w:r>
              <w:rPr>
                <w:color w:val="000000"/>
                <w:szCs w:val="20"/>
                <w:shd w:val="clear" w:color="auto" w:fill="FFFFFF"/>
                <w:lang w:eastAsia="en-US" w:bidi="ar-SA"/>
              </w:rPr>
              <w:t>Zwiększenie przychodów z POZ o 9,11%</w:t>
            </w:r>
          </w:p>
          <w:p w:rsidR="00A9251F" w:rsidRDefault="00A93ACE">
            <w:pPr>
              <w:jc w:val="left"/>
              <w:rPr>
                <w:color w:val="000000"/>
                <w:szCs w:val="20"/>
                <w:shd w:val="clear" w:color="auto" w:fill="FFFFFF"/>
                <w:lang w:eastAsia="en-US" w:bidi="ar-SA"/>
              </w:rPr>
            </w:pPr>
            <w:r>
              <w:rPr>
                <w:color w:val="000000"/>
                <w:szCs w:val="20"/>
                <w:shd w:val="clear" w:color="auto" w:fill="FFFFFF"/>
                <w:lang w:eastAsia="en-US" w:bidi="ar-SA"/>
              </w:rPr>
              <w:t>Zwiększenie przychodów z REH o 49,77%</w:t>
            </w:r>
          </w:p>
        </w:tc>
        <w:tc>
          <w:tcPr>
            <w:tcW w:w="1770" w:type="dxa"/>
            <w:tcBorders>
              <w:top w:val="single" w:sz="4" w:space="0" w:color="000000"/>
              <w:left w:val="single" w:sz="4" w:space="0" w:color="000000"/>
              <w:bottom w:val="single" w:sz="4" w:space="0" w:color="000000"/>
              <w:right w:val="single" w:sz="4" w:space="0" w:color="000000"/>
            </w:tcBorders>
            <w:vAlign w:val="center"/>
          </w:tcPr>
          <w:p w:rsidR="00A9251F" w:rsidRDefault="00A93ACE">
            <w:pPr>
              <w:jc w:val="left"/>
              <w:rPr>
                <w:color w:val="000000"/>
                <w:szCs w:val="20"/>
                <w:shd w:val="clear" w:color="auto" w:fill="FFFFFF"/>
                <w:lang w:eastAsia="en-US" w:bidi="ar-SA"/>
              </w:rPr>
            </w:pPr>
            <w:r>
              <w:rPr>
                <w:color w:val="000000"/>
                <w:szCs w:val="20"/>
                <w:shd w:val="clear" w:color="auto" w:fill="FFFFFF"/>
                <w:lang w:eastAsia="en-US" w:bidi="ar-SA"/>
              </w:rPr>
              <w:t>Zwiększenie przychodów z POZ o 11,29%</w:t>
            </w:r>
          </w:p>
          <w:p w:rsidR="00A9251F" w:rsidRDefault="00A93ACE">
            <w:pPr>
              <w:jc w:val="left"/>
              <w:rPr>
                <w:color w:val="000000"/>
                <w:szCs w:val="20"/>
                <w:shd w:val="clear" w:color="auto" w:fill="FFFFFF"/>
                <w:lang w:eastAsia="en-US" w:bidi="ar-SA"/>
              </w:rPr>
            </w:pPr>
            <w:r>
              <w:rPr>
                <w:color w:val="000000"/>
                <w:szCs w:val="20"/>
                <w:shd w:val="clear" w:color="auto" w:fill="FFFFFF"/>
                <w:lang w:eastAsia="en-US" w:bidi="ar-SA"/>
              </w:rPr>
              <w:t>Zwiększenie przychodów z REH o 77,77%</w:t>
            </w:r>
          </w:p>
        </w:tc>
        <w:tc>
          <w:tcPr>
            <w:tcW w:w="2010" w:type="dxa"/>
            <w:tcBorders>
              <w:top w:val="single" w:sz="4" w:space="0" w:color="000000"/>
              <w:left w:val="single" w:sz="4" w:space="0" w:color="000000"/>
              <w:bottom w:val="single" w:sz="4" w:space="0" w:color="000000"/>
              <w:right w:val="single" w:sz="4" w:space="0" w:color="000000"/>
            </w:tcBorders>
            <w:vAlign w:val="center"/>
          </w:tcPr>
          <w:p w:rsidR="00A9251F" w:rsidRDefault="00A93ACE">
            <w:pPr>
              <w:jc w:val="left"/>
              <w:rPr>
                <w:color w:val="000000"/>
                <w:szCs w:val="20"/>
                <w:shd w:val="clear" w:color="auto" w:fill="FFFFFF"/>
                <w:lang w:eastAsia="en-US" w:bidi="ar-SA"/>
              </w:rPr>
            </w:pPr>
            <w:r>
              <w:rPr>
                <w:color w:val="000000"/>
                <w:szCs w:val="20"/>
                <w:shd w:val="clear" w:color="auto" w:fill="FFFFFF"/>
                <w:lang w:eastAsia="en-US" w:bidi="ar-SA"/>
              </w:rPr>
              <w:t>Zwiększenie przychodów</w:t>
            </w:r>
            <w:r>
              <w:rPr>
                <w:color w:val="000000"/>
                <w:szCs w:val="20"/>
                <w:shd w:val="clear" w:color="auto" w:fill="FFFFFF"/>
                <w:lang w:eastAsia="en-US" w:bidi="ar-SA"/>
              </w:rPr>
              <w:t xml:space="preserve"> z POZ o 9,09%</w:t>
            </w:r>
          </w:p>
          <w:p w:rsidR="00A9251F" w:rsidRDefault="00A93ACE">
            <w:pPr>
              <w:jc w:val="left"/>
              <w:rPr>
                <w:b/>
                <w:color w:val="000000"/>
                <w:szCs w:val="20"/>
                <w:shd w:val="clear" w:color="auto" w:fill="FFFFFF"/>
                <w:lang w:eastAsia="en-US" w:bidi="ar-SA"/>
              </w:rPr>
            </w:pPr>
            <w:r>
              <w:rPr>
                <w:color w:val="000000"/>
                <w:szCs w:val="20"/>
                <w:shd w:val="clear" w:color="auto" w:fill="FFFFFF"/>
                <w:lang w:eastAsia="en-US" w:bidi="ar-SA"/>
              </w:rPr>
              <w:t>Zwiększenie przychodów z REH o 122,25%</w:t>
            </w:r>
          </w:p>
        </w:tc>
        <w:tc>
          <w:tcPr>
            <w:tcW w:w="2010" w:type="dxa"/>
            <w:tcBorders>
              <w:top w:val="single" w:sz="4" w:space="0" w:color="000000"/>
              <w:left w:val="single" w:sz="4" w:space="0" w:color="000000"/>
              <w:bottom w:val="single" w:sz="4" w:space="0" w:color="000000"/>
              <w:right w:val="single" w:sz="4" w:space="0" w:color="000000"/>
            </w:tcBorders>
            <w:vAlign w:val="center"/>
          </w:tcPr>
          <w:p w:rsidR="00A9251F" w:rsidRDefault="00A93ACE">
            <w:pPr>
              <w:jc w:val="left"/>
              <w:rPr>
                <w:color w:val="000000"/>
                <w:szCs w:val="20"/>
                <w:shd w:val="clear" w:color="auto" w:fill="FFFFFF"/>
                <w:lang w:eastAsia="en-US" w:bidi="ar-SA"/>
              </w:rPr>
            </w:pPr>
            <w:r>
              <w:rPr>
                <w:color w:val="000000"/>
                <w:szCs w:val="20"/>
                <w:shd w:val="clear" w:color="auto" w:fill="FFFFFF"/>
                <w:lang w:eastAsia="en-US" w:bidi="ar-SA"/>
              </w:rPr>
              <w:t>Zwiększenie przychodów z POZ o 12,77%</w:t>
            </w:r>
          </w:p>
          <w:p w:rsidR="00A9251F" w:rsidRDefault="00A93ACE">
            <w:pPr>
              <w:jc w:val="left"/>
              <w:rPr>
                <w:color w:val="000000"/>
                <w:szCs w:val="20"/>
                <w:shd w:val="clear" w:color="auto" w:fill="FFFFFF"/>
                <w:lang w:eastAsia="en-US" w:bidi="ar-SA"/>
              </w:rPr>
            </w:pPr>
            <w:r>
              <w:rPr>
                <w:color w:val="000000"/>
                <w:szCs w:val="20"/>
                <w:shd w:val="clear" w:color="auto" w:fill="FFFFFF"/>
                <w:lang w:eastAsia="en-US" w:bidi="ar-SA"/>
              </w:rPr>
              <w:t>Zwiększenie przychodów z REH o 177,99%</w:t>
            </w:r>
          </w:p>
        </w:tc>
      </w:tr>
      <w:tr w:rsidR="00A9251F">
        <w:tc>
          <w:tcPr>
            <w:tcW w:w="9435"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rsidR="00A9251F" w:rsidRDefault="00A93ACE">
            <w:pPr>
              <w:numPr>
                <w:ilvl w:val="0"/>
                <w:numId w:val="3"/>
              </w:numPr>
              <w:contextualSpacing/>
              <w:jc w:val="left"/>
              <w:rPr>
                <w:rFonts w:ascii="Calibri" w:hAnsi="Calibri"/>
                <w:b/>
                <w:szCs w:val="20"/>
                <w:lang w:val="en-US" w:eastAsia="en-US" w:bidi="en-US"/>
              </w:rPr>
            </w:pPr>
            <w:proofErr w:type="spellStart"/>
            <w:r>
              <w:rPr>
                <w:rFonts w:ascii="Calibri" w:hAnsi="Calibri"/>
                <w:b/>
                <w:szCs w:val="20"/>
                <w:lang w:val="en-US" w:eastAsia="en-US" w:bidi="en-US"/>
              </w:rPr>
              <w:t>Przychody</w:t>
            </w:r>
            <w:proofErr w:type="spellEnd"/>
            <w:r>
              <w:rPr>
                <w:rFonts w:ascii="Calibri" w:hAnsi="Calibri"/>
                <w:b/>
                <w:szCs w:val="20"/>
                <w:lang w:val="en-US" w:eastAsia="en-US" w:bidi="en-US"/>
              </w:rPr>
              <w:t xml:space="preserve"> z </w:t>
            </w:r>
            <w:proofErr w:type="spellStart"/>
            <w:r>
              <w:rPr>
                <w:rFonts w:ascii="Calibri" w:hAnsi="Calibri"/>
                <w:b/>
                <w:szCs w:val="20"/>
                <w:lang w:val="en-US" w:eastAsia="en-US" w:bidi="en-US"/>
              </w:rPr>
              <w:t>odpłatnej</w:t>
            </w:r>
            <w:proofErr w:type="spellEnd"/>
            <w:r>
              <w:rPr>
                <w:rFonts w:ascii="Calibri" w:hAnsi="Calibri"/>
                <w:b/>
                <w:szCs w:val="20"/>
                <w:lang w:val="en-US" w:eastAsia="en-US" w:bidi="en-US"/>
              </w:rPr>
              <w:t xml:space="preserve"> </w:t>
            </w:r>
            <w:proofErr w:type="spellStart"/>
            <w:r>
              <w:rPr>
                <w:rFonts w:ascii="Calibri" w:hAnsi="Calibri"/>
                <w:b/>
                <w:szCs w:val="20"/>
                <w:lang w:val="en-US" w:eastAsia="en-US" w:bidi="en-US"/>
              </w:rPr>
              <w:t>działalności</w:t>
            </w:r>
            <w:proofErr w:type="spellEnd"/>
            <w:r>
              <w:rPr>
                <w:rFonts w:ascii="Calibri" w:hAnsi="Calibri"/>
                <w:b/>
                <w:szCs w:val="20"/>
                <w:lang w:val="en-US" w:eastAsia="en-US" w:bidi="en-US"/>
              </w:rPr>
              <w:t xml:space="preserve"> </w:t>
            </w:r>
            <w:proofErr w:type="spellStart"/>
            <w:r>
              <w:rPr>
                <w:rFonts w:ascii="Calibri" w:hAnsi="Calibri"/>
                <w:b/>
                <w:szCs w:val="20"/>
                <w:lang w:val="en-US" w:eastAsia="en-US" w:bidi="en-US"/>
              </w:rPr>
              <w:t>leczniczej</w:t>
            </w:r>
            <w:proofErr w:type="spellEnd"/>
          </w:p>
        </w:tc>
      </w:tr>
      <w:tr w:rsidR="00A9251F">
        <w:tc>
          <w:tcPr>
            <w:tcW w:w="1710" w:type="dxa"/>
            <w:tcBorders>
              <w:top w:val="single" w:sz="4" w:space="0" w:color="000000"/>
              <w:left w:val="single" w:sz="4" w:space="0" w:color="000000"/>
              <w:bottom w:val="single" w:sz="4" w:space="0" w:color="000000"/>
              <w:right w:val="single" w:sz="4" w:space="0" w:color="000000"/>
            </w:tcBorders>
            <w:vAlign w:val="center"/>
          </w:tcPr>
          <w:p w:rsidR="00A9251F" w:rsidRDefault="00A93ACE">
            <w:pPr>
              <w:jc w:val="left"/>
              <w:rPr>
                <w:color w:val="000000"/>
                <w:szCs w:val="20"/>
                <w:shd w:val="clear" w:color="auto" w:fill="FFFFFF"/>
                <w:lang w:eastAsia="en-US" w:bidi="ar-SA"/>
              </w:rPr>
            </w:pPr>
            <w:r>
              <w:rPr>
                <w:color w:val="000000"/>
                <w:szCs w:val="20"/>
                <w:shd w:val="clear" w:color="auto" w:fill="FFFFFF"/>
                <w:lang w:eastAsia="en-US" w:bidi="ar-SA"/>
              </w:rPr>
              <w:t xml:space="preserve">Zwiększenie przychodów </w:t>
            </w:r>
            <w:r>
              <w:rPr>
                <w:color w:val="000000"/>
                <w:szCs w:val="20"/>
                <w:shd w:val="clear" w:color="auto" w:fill="FFFFFF"/>
                <w:lang w:eastAsia="en-US" w:bidi="ar-SA"/>
              </w:rPr>
              <w:br/>
              <w:t xml:space="preserve">z działalności komercyjnej </w:t>
            </w:r>
            <w:r>
              <w:rPr>
                <w:color w:val="000000"/>
                <w:szCs w:val="20"/>
                <w:shd w:val="clear" w:color="auto" w:fill="FFFFFF"/>
                <w:lang w:eastAsia="en-US" w:bidi="ar-SA"/>
              </w:rPr>
              <w:br/>
              <w:t>o 25%</w:t>
            </w:r>
          </w:p>
        </w:tc>
        <w:tc>
          <w:tcPr>
            <w:tcW w:w="1935" w:type="dxa"/>
            <w:tcBorders>
              <w:top w:val="single" w:sz="4" w:space="0" w:color="000000"/>
              <w:left w:val="single" w:sz="4" w:space="0" w:color="000000"/>
              <w:bottom w:val="single" w:sz="4" w:space="0" w:color="000000"/>
              <w:right w:val="single" w:sz="4" w:space="0" w:color="000000"/>
            </w:tcBorders>
            <w:vAlign w:val="center"/>
          </w:tcPr>
          <w:p w:rsidR="00A9251F" w:rsidRDefault="00A93ACE">
            <w:pPr>
              <w:jc w:val="left"/>
              <w:rPr>
                <w:color w:val="000000"/>
                <w:szCs w:val="20"/>
                <w:shd w:val="clear" w:color="auto" w:fill="FFFFFF"/>
                <w:lang w:eastAsia="en-US" w:bidi="ar-SA"/>
              </w:rPr>
            </w:pPr>
            <w:r>
              <w:rPr>
                <w:color w:val="000000"/>
                <w:szCs w:val="20"/>
                <w:shd w:val="clear" w:color="auto" w:fill="FFFFFF"/>
                <w:lang w:eastAsia="en-US" w:bidi="ar-SA"/>
              </w:rPr>
              <w:t xml:space="preserve">Przychody niższe o </w:t>
            </w:r>
            <w:r>
              <w:rPr>
                <w:color w:val="000000"/>
                <w:szCs w:val="20"/>
                <w:shd w:val="clear" w:color="auto" w:fill="FFFFFF"/>
                <w:lang w:eastAsia="en-US" w:bidi="ar-SA"/>
              </w:rPr>
              <w:t>44,28%</w:t>
            </w:r>
          </w:p>
        </w:tc>
        <w:tc>
          <w:tcPr>
            <w:tcW w:w="1770" w:type="dxa"/>
            <w:tcBorders>
              <w:top w:val="single" w:sz="4" w:space="0" w:color="000000"/>
              <w:left w:val="single" w:sz="4" w:space="0" w:color="000000"/>
              <w:bottom w:val="single" w:sz="4" w:space="0" w:color="000000"/>
              <w:right w:val="single" w:sz="4" w:space="0" w:color="000000"/>
            </w:tcBorders>
            <w:vAlign w:val="center"/>
          </w:tcPr>
          <w:p w:rsidR="00A9251F" w:rsidRDefault="00A93ACE">
            <w:pPr>
              <w:jc w:val="left"/>
              <w:rPr>
                <w:color w:val="000000"/>
                <w:szCs w:val="20"/>
                <w:shd w:val="clear" w:color="auto" w:fill="FFFFFF"/>
                <w:lang w:eastAsia="en-US" w:bidi="ar-SA"/>
              </w:rPr>
            </w:pPr>
            <w:r>
              <w:rPr>
                <w:color w:val="000000"/>
                <w:szCs w:val="20"/>
                <w:shd w:val="clear" w:color="auto" w:fill="FFFFFF"/>
                <w:lang w:eastAsia="en-US" w:bidi="ar-SA"/>
              </w:rPr>
              <w:t>Przychody niższe o 30%</w:t>
            </w:r>
          </w:p>
        </w:tc>
        <w:tc>
          <w:tcPr>
            <w:tcW w:w="2010" w:type="dxa"/>
            <w:tcBorders>
              <w:top w:val="single" w:sz="4" w:space="0" w:color="000000"/>
              <w:left w:val="single" w:sz="4" w:space="0" w:color="000000"/>
              <w:bottom w:val="single" w:sz="4" w:space="0" w:color="000000"/>
              <w:right w:val="single" w:sz="4" w:space="0" w:color="000000"/>
            </w:tcBorders>
            <w:vAlign w:val="center"/>
          </w:tcPr>
          <w:p w:rsidR="00A9251F" w:rsidRDefault="00A93ACE">
            <w:pPr>
              <w:jc w:val="left"/>
              <w:rPr>
                <w:b/>
                <w:color w:val="000000"/>
                <w:szCs w:val="20"/>
                <w:shd w:val="clear" w:color="auto" w:fill="FFFFFF"/>
                <w:lang w:eastAsia="en-US" w:bidi="ar-SA"/>
              </w:rPr>
            </w:pPr>
            <w:r>
              <w:rPr>
                <w:color w:val="000000"/>
                <w:szCs w:val="20"/>
                <w:shd w:val="clear" w:color="auto" w:fill="FFFFFF"/>
                <w:lang w:eastAsia="en-US" w:bidi="ar-SA"/>
              </w:rPr>
              <w:t>Przychody niższe o 26,78%</w:t>
            </w:r>
          </w:p>
        </w:tc>
        <w:tc>
          <w:tcPr>
            <w:tcW w:w="2010" w:type="dxa"/>
            <w:tcBorders>
              <w:top w:val="single" w:sz="4" w:space="0" w:color="000000"/>
              <w:left w:val="single" w:sz="4" w:space="0" w:color="000000"/>
              <w:bottom w:val="single" w:sz="4" w:space="0" w:color="000000"/>
              <w:right w:val="single" w:sz="4" w:space="0" w:color="000000"/>
            </w:tcBorders>
            <w:vAlign w:val="center"/>
          </w:tcPr>
          <w:p w:rsidR="00A9251F" w:rsidRDefault="00A93ACE">
            <w:pPr>
              <w:jc w:val="left"/>
              <w:rPr>
                <w:color w:val="000000"/>
                <w:szCs w:val="20"/>
                <w:shd w:val="clear" w:color="auto" w:fill="FFFFFF"/>
                <w:lang w:eastAsia="en-US" w:bidi="ar-SA"/>
              </w:rPr>
            </w:pPr>
            <w:r>
              <w:rPr>
                <w:color w:val="000000"/>
                <w:szCs w:val="20"/>
                <w:shd w:val="clear" w:color="auto" w:fill="FFFFFF"/>
                <w:lang w:eastAsia="en-US" w:bidi="ar-SA"/>
              </w:rPr>
              <w:t>Przychody niższe o 24,20%</w:t>
            </w:r>
          </w:p>
        </w:tc>
      </w:tr>
      <w:tr w:rsidR="00A9251F">
        <w:tc>
          <w:tcPr>
            <w:tcW w:w="9435"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rsidR="00A9251F" w:rsidRDefault="00A93ACE">
            <w:pPr>
              <w:numPr>
                <w:ilvl w:val="0"/>
                <w:numId w:val="3"/>
              </w:numPr>
              <w:contextualSpacing/>
              <w:jc w:val="left"/>
              <w:rPr>
                <w:rFonts w:ascii="Calibri" w:hAnsi="Calibri"/>
                <w:b/>
                <w:szCs w:val="20"/>
                <w:lang w:val="en-US" w:eastAsia="en-US" w:bidi="en-US"/>
              </w:rPr>
            </w:pPr>
            <w:proofErr w:type="spellStart"/>
            <w:r>
              <w:rPr>
                <w:rFonts w:ascii="Calibri" w:hAnsi="Calibri"/>
                <w:b/>
                <w:szCs w:val="20"/>
                <w:lang w:val="en-US" w:eastAsia="en-US" w:bidi="en-US"/>
              </w:rPr>
              <w:t>Pozyskanie</w:t>
            </w:r>
            <w:proofErr w:type="spellEnd"/>
            <w:r>
              <w:rPr>
                <w:rFonts w:ascii="Calibri" w:hAnsi="Calibri"/>
                <w:b/>
                <w:szCs w:val="20"/>
                <w:lang w:val="en-US" w:eastAsia="en-US" w:bidi="en-US"/>
              </w:rPr>
              <w:t xml:space="preserve"> </w:t>
            </w:r>
            <w:proofErr w:type="spellStart"/>
            <w:r>
              <w:rPr>
                <w:rFonts w:ascii="Calibri" w:hAnsi="Calibri"/>
                <w:b/>
                <w:szCs w:val="20"/>
                <w:lang w:val="en-US" w:eastAsia="en-US" w:bidi="en-US"/>
              </w:rPr>
              <w:t>zewnętrznego</w:t>
            </w:r>
            <w:proofErr w:type="spellEnd"/>
            <w:r>
              <w:rPr>
                <w:rFonts w:ascii="Calibri" w:hAnsi="Calibri"/>
                <w:b/>
                <w:szCs w:val="20"/>
                <w:lang w:val="en-US" w:eastAsia="en-US" w:bidi="en-US"/>
              </w:rPr>
              <w:t xml:space="preserve"> </w:t>
            </w:r>
            <w:proofErr w:type="spellStart"/>
            <w:r>
              <w:rPr>
                <w:rFonts w:ascii="Calibri" w:hAnsi="Calibri"/>
                <w:b/>
                <w:szCs w:val="20"/>
                <w:lang w:val="en-US" w:eastAsia="en-US" w:bidi="en-US"/>
              </w:rPr>
              <w:t>finansowania</w:t>
            </w:r>
            <w:proofErr w:type="spellEnd"/>
          </w:p>
        </w:tc>
      </w:tr>
      <w:tr w:rsidR="00A9251F">
        <w:tc>
          <w:tcPr>
            <w:tcW w:w="1710" w:type="dxa"/>
            <w:tcBorders>
              <w:top w:val="single" w:sz="4" w:space="0" w:color="000000"/>
              <w:left w:val="single" w:sz="4" w:space="0" w:color="000000"/>
              <w:bottom w:val="single" w:sz="4" w:space="0" w:color="000000"/>
              <w:right w:val="single" w:sz="4" w:space="0" w:color="000000"/>
            </w:tcBorders>
            <w:vAlign w:val="center"/>
          </w:tcPr>
          <w:p w:rsidR="00A9251F" w:rsidRDefault="00A93ACE">
            <w:pPr>
              <w:jc w:val="left"/>
              <w:rPr>
                <w:i/>
                <w:color w:val="000000"/>
                <w:szCs w:val="20"/>
                <w:shd w:val="clear" w:color="auto" w:fill="FFFFFF"/>
                <w:lang w:eastAsia="en-US" w:bidi="ar-SA"/>
              </w:rPr>
            </w:pPr>
            <w:r>
              <w:rPr>
                <w:i/>
                <w:color w:val="000000"/>
                <w:szCs w:val="20"/>
                <w:shd w:val="clear" w:color="auto" w:fill="FFFFFF"/>
                <w:lang w:eastAsia="en-US" w:bidi="ar-SA"/>
              </w:rPr>
              <w:t>(nie zdefiniowano założeń)</w:t>
            </w:r>
          </w:p>
        </w:tc>
        <w:tc>
          <w:tcPr>
            <w:tcW w:w="1935" w:type="dxa"/>
            <w:tcBorders>
              <w:top w:val="single" w:sz="4" w:space="0" w:color="000000"/>
              <w:left w:val="single" w:sz="4" w:space="0" w:color="000000"/>
              <w:bottom w:val="single" w:sz="4" w:space="0" w:color="000000"/>
              <w:right w:val="single" w:sz="4" w:space="0" w:color="000000"/>
            </w:tcBorders>
            <w:vAlign w:val="center"/>
          </w:tcPr>
          <w:p w:rsidR="00A9251F" w:rsidRDefault="00A93ACE">
            <w:pPr>
              <w:jc w:val="left"/>
              <w:rPr>
                <w:color w:val="000000"/>
                <w:szCs w:val="20"/>
                <w:shd w:val="clear" w:color="auto" w:fill="FFFFFF"/>
                <w:lang w:eastAsia="en-US" w:bidi="ar-SA"/>
              </w:rPr>
            </w:pPr>
            <w:r>
              <w:rPr>
                <w:color w:val="000000"/>
                <w:szCs w:val="20"/>
                <w:shd w:val="clear" w:color="auto" w:fill="FFFFFF"/>
                <w:lang w:eastAsia="en-US" w:bidi="ar-SA"/>
              </w:rPr>
              <w:t>Otrzymane darowizny:</w:t>
            </w:r>
          </w:p>
          <w:p w:rsidR="00A9251F" w:rsidRDefault="00A93ACE">
            <w:pPr>
              <w:jc w:val="left"/>
              <w:rPr>
                <w:color w:val="000000"/>
                <w:szCs w:val="20"/>
                <w:shd w:val="clear" w:color="auto" w:fill="FFFFFF"/>
                <w:lang w:eastAsia="en-US" w:bidi="ar-SA"/>
              </w:rPr>
            </w:pPr>
            <w:r>
              <w:rPr>
                <w:color w:val="000000"/>
                <w:szCs w:val="20"/>
                <w:shd w:val="clear" w:color="auto" w:fill="FFFFFF"/>
                <w:lang w:eastAsia="en-US" w:bidi="ar-SA"/>
              </w:rPr>
              <w:t>37.310,52 zł</w:t>
            </w:r>
          </w:p>
        </w:tc>
        <w:tc>
          <w:tcPr>
            <w:tcW w:w="1770" w:type="dxa"/>
            <w:tcBorders>
              <w:top w:val="single" w:sz="4" w:space="0" w:color="000000"/>
              <w:left w:val="single" w:sz="4" w:space="0" w:color="000000"/>
              <w:bottom w:val="single" w:sz="4" w:space="0" w:color="000000"/>
              <w:right w:val="single" w:sz="4" w:space="0" w:color="000000"/>
            </w:tcBorders>
            <w:vAlign w:val="center"/>
          </w:tcPr>
          <w:p w:rsidR="00A9251F" w:rsidRDefault="00A9251F">
            <w:pPr>
              <w:jc w:val="left"/>
              <w:rPr>
                <w:color w:val="000000"/>
                <w:szCs w:val="20"/>
                <w:shd w:val="clear" w:color="auto" w:fill="FFFFFF"/>
                <w:lang w:eastAsia="en-US" w:bidi="ar-SA"/>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A9251F" w:rsidRDefault="00A93ACE">
            <w:pPr>
              <w:jc w:val="left"/>
              <w:rPr>
                <w:color w:val="000000"/>
                <w:szCs w:val="20"/>
                <w:shd w:val="clear" w:color="auto" w:fill="FFFFFF"/>
                <w:lang w:eastAsia="en-US" w:bidi="ar-SA"/>
              </w:rPr>
            </w:pPr>
            <w:r>
              <w:rPr>
                <w:color w:val="000000"/>
                <w:szCs w:val="20"/>
                <w:shd w:val="clear" w:color="auto" w:fill="FFFFFF"/>
                <w:lang w:eastAsia="en-US" w:bidi="ar-SA"/>
              </w:rPr>
              <w:t>Otrzymane darowizny:</w:t>
            </w:r>
          </w:p>
          <w:p w:rsidR="00A9251F" w:rsidRDefault="00A93ACE">
            <w:pPr>
              <w:jc w:val="left"/>
              <w:rPr>
                <w:b/>
                <w:color w:val="000000"/>
                <w:szCs w:val="20"/>
                <w:shd w:val="clear" w:color="auto" w:fill="FFFFFF"/>
                <w:lang w:eastAsia="en-US" w:bidi="ar-SA"/>
              </w:rPr>
            </w:pPr>
            <w:r>
              <w:rPr>
                <w:color w:val="000000"/>
                <w:szCs w:val="20"/>
                <w:shd w:val="clear" w:color="auto" w:fill="FFFFFF"/>
                <w:lang w:eastAsia="en-US" w:bidi="ar-SA"/>
              </w:rPr>
              <w:t>55.397,73 zł.</w:t>
            </w:r>
          </w:p>
        </w:tc>
        <w:tc>
          <w:tcPr>
            <w:tcW w:w="2010" w:type="dxa"/>
            <w:tcBorders>
              <w:top w:val="single" w:sz="4" w:space="0" w:color="000000"/>
              <w:left w:val="single" w:sz="4" w:space="0" w:color="000000"/>
              <w:bottom w:val="single" w:sz="4" w:space="0" w:color="000000"/>
              <w:right w:val="single" w:sz="4" w:space="0" w:color="000000"/>
            </w:tcBorders>
            <w:vAlign w:val="center"/>
          </w:tcPr>
          <w:p w:rsidR="00A9251F" w:rsidRDefault="00A9251F">
            <w:pPr>
              <w:jc w:val="left"/>
              <w:rPr>
                <w:b/>
                <w:color w:val="000000"/>
                <w:szCs w:val="20"/>
                <w:shd w:val="clear" w:color="auto" w:fill="FFFFFF"/>
                <w:lang w:eastAsia="en-US" w:bidi="ar-SA"/>
              </w:rPr>
            </w:pPr>
          </w:p>
        </w:tc>
      </w:tr>
      <w:tr w:rsidR="00A9251F">
        <w:tc>
          <w:tcPr>
            <w:tcW w:w="9435"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rsidR="00A9251F" w:rsidRDefault="00A93ACE">
            <w:pPr>
              <w:numPr>
                <w:ilvl w:val="0"/>
                <w:numId w:val="3"/>
              </w:numPr>
              <w:contextualSpacing/>
              <w:jc w:val="left"/>
              <w:rPr>
                <w:rFonts w:ascii="Calibri" w:hAnsi="Calibri"/>
                <w:b/>
                <w:szCs w:val="20"/>
                <w:lang w:val="en-US" w:eastAsia="en-US" w:bidi="en-US"/>
              </w:rPr>
            </w:pPr>
            <w:proofErr w:type="spellStart"/>
            <w:r>
              <w:rPr>
                <w:rFonts w:ascii="Calibri" w:hAnsi="Calibri"/>
                <w:b/>
                <w:szCs w:val="20"/>
                <w:lang w:val="en-US" w:eastAsia="en-US" w:bidi="en-US"/>
              </w:rPr>
              <w:t>Optymalizacja</w:t>
            </w:r>
            <w:proofErr w:type="spellEnd"/>
            <w:r>
              <w:rPr>
                <w:rFonts w:ascii="Calibri" w:hAnsi="Calibri"/>
                <w:b/>
                <w:szCs w:val="20"/>
                <w:lang w:val="en-US" w:eastAsia="en-US" w:bidi="en-US"/>
              </w:rPr>
              <w:t xml:space="preserve"> </w:t>
            </w:r>
            <w:proofErr w:type="spellStart"/>
            <w:r>
              <w:rPr>
                <w:rFonts w:ascii="Calibri" w:hAnsi="Calibri"/>
                <w:b/>
                <w:szCs w:val="20"/>
                <w:lang w:val="en-US" w:eastAsia="en-US" w:bidi="en-US"/>
              </w:rPr>
              <w:t>kosztów</w:t>
            </w:r>
            <w:proofErr w:type="spellEnd"/>
          </w:p>
        </w:tc>
      </w:tr>
      <w:tr w:rsidR="00A9251F">
        <w:trPr>
          <w:trHeight w:val="186"/>
        </w:trPr>
        <w:tc>
          <w:tcPr>
            <w:tcW w:w="1710" w:type="dxa"/>
            <w:tcBorders>
              <w:top w:val="single" w:sz="4" w:space="0" w:color="000000"/>
              <w:left w:val="single" w:sz="4" w:space="0" w:color="000000"/>
              <w:bottom w:val="single" w:sz="4" w:space="0" w:color="000000"/>
              <w:right w:val="single" w:sz="4" w:space="0" w:color="000000"/>
            </w:tcBorders>
            <w:vAlign w:val="center"/>
          </w:tcPr>
          <w:p w:rsidR="00A9251F" w:rsidRDefault="00A93ACE">
            <w:pPr>
              <w:jc w:val="left"/>
              <w:rPr>
                <w:color w:val="000000"/>
                <w:szCs w:val="20"/>
                <w:shd w:val="clear" w:color="auto" w:fill="FFFFFF"/>
                <w:lang w:eastAsia="en-US" w:bidi="ar-SA"/>
              </w:rPr>
            </w:pPr>
            <w:r>
              <w:rPr>
                <w:color w:val="000000"/>
                <w:szCs w:val="20"/>
                <w:shd w:val="clear" w:color="auto" w:fill="FFFFFF"/>
                <w:lang w:eastAsia="en-US" w:bidi="ar-SA"/>
              </w:rPr>
              <w:t xml:space="preserve">IV.1. </w:t>
            </w:r>
            <w:r>
              <w:rPr>
                <w:color w:val="000000"/>
                <w:szCs w:val="20"/>
                <w:shd w:val="clear" w:color="auto" w:fill="FFFFFF"/>
                <w:lang w:eastAsia="en-US" w:bidi="ar-SA"/>
              </w:rPr>
              <w:t>Redukcja zatrudnienia</w:t>
            </w:r>
          </w:p>
        </w:tc>
        <w:tc>
          <w:tcPr>
            <w:tcW w:w="1935" w:type="dxa"/>
            <w:tcBorders>
              <w:top w:val="single" w:sz="4" w:space="0" w:color="000000"/>
              <w:left w:val="single" w:sz="4" w:space="0" w:color="000000"/>
              <w:bottom w:val="single" w:sz="4" w:space="0" w:color="000000"/>
              <w:right w:val="single" w:sz="4" w:space="0" w:color="000000"/>
            </w:tcBorders>
            <w:vAlign w:val="center"/>
          </w:tcPr>
          <w:p w:rsidR="00A9251F" w:rsidRDefault="00A93ACE">
            <w:pPr>
              <w:jc w:val="left"/>
              <w:rPr>
                <w:color w:val="000000"/>
                <w:szCs w:val="20"/>
                <w:shd w:val="clear" w:color="auto" w:fill="FFFFFF"/>
                <w:lang w:eastAsia="en-US" w:bidi="ar-SA"/>
              </w:rPr>
            </w:pPr>
            <w:r>
              <w:rPr>
                <w:color w:val="000000"/>
                <w:szCs w:val="20"/>
                <w:shd w:val="clear" w:color="auto" w:fill="FFFFFF"/>
                <w:lang w:eastAsia="en-US" w:bidi="ar-SA"/>
              </w:rPr>
              <w:t>+ 2,75 etatu</w:t>
            </w:r>
          </w:p>
        </w:tc>
        <w:tc>
          <w:tcPr>
            <w:tcW w:w="1770" w:type="dxa"/>
            <w:tcBorders>
              <w:top w:val="single" w:sz="4" w:space="0" w:color="000000"/>
              <w:left w:val="single" w:sz="4" w:space="0" w:color="000000"/>
              <w:bottom w:val="single" w:sz="4" w:space="0" w:color="000000"/>
              <w:right w:val="single" w:sz="4" w:space="0" w:color="000000"/>
            </w:tcBorders>
            <w:vAlign w:val="center"/>
          </w:tcPr>
          <w:p w:rsidR="00A9251F" w:rsidRDefault="00A93ACE">
            <w:pPr>
              <w:jc w:val="left"/>
              <w:rPr>
                <w:color w:val="000000"/>
                <w:szCs w:val="20"/>
                <w:shd w:val="clear" w:color="auto" w:fill="FFFFFF"/>
                <w:lang w:eastAsia="en-US" w:bidi="ar-SA"/>
              </w:rPr>
            </w:pPr>
            <w:r>
              <w:rPr>
                <w:color w:val="000000"/>
                <w:szCs w:val="20"/>
                <w:shd w:val="clear" w:color="auto" w:fill="FFFFFF"/>
                <w:lang w:eastAsia="en-US" w:bidi="ar-SA"/>
              </w:rPr>
              <w:t>-0,4 etatu</w:t>
            </w:r>
          </w:p>
        </w:tc>
        <w:tc>
          <w:tcPr>
            <w:tcW w:w="2010" w:type="dxa"/>
            <w:tcBorders>
              <w:top w:val="single" w:sz="4" w:space="0" w:color="000000"/>
              <w:left w:val="single" w:sz="4" w:space="0" w:color="000000"/>
              <w:bottom w:val="single" w:sz="4" w:space="0" w:color="000000"/>
              <w:right w:val="single" w:sz="4" w:space="0" w:color="000000"/>
            </w:tcBorders>
            <w:vAlign w:val="center"/>
          </w:tcPr>
          <w:p w:rsidR="00A9251F" w:rsidRDefault="00A93ACE">
            <w:pPr>
              <w:jc w:val="left"/>
              <w:rPr>
                <w:color w:val="000000"/>
                <w:szCs w:val="20"/>
                <w:shd w:val="clear" w:color="auto" w:fill="FFFFFF"/>
                <w:lang w:eastAsia="en-US" w:bidi="ar-SA"/>
              </w:rPr>
            </w:pPr>
            <w:r>
              <w:rPr>
                <w:color w:val="000000"/>
                <w:szCs w:val="20"/>
                <w:shd w:val="clear" w:color="auto" w:fill="FFFFFF"/>
                <w:lang w:eastAsia="en-US" w:bidi="ar-SA"/>
              </w:rPr>
              <w:t>-3,4 etatu</w:t>
            </w:r>
          </w:p>
        </w:tc>
        <w:tc>
          <w:tcPr>
            <w:tcW w:w="2010" w:type="dxa"/>
            <w:tcBorders>
              <w:top w:val="single" w:sz="4" w:space="0" w:color="000000"/>
              <w:left w:val="single" w:sz="4" w:space="0" w:color="000000"/>
              <w:bottom w:val="single" w:sz="4" w:space="0" w:color="000000"/>
              <w:right w:val="single" w:sz="4" w:space="0" w:color="000000"/>
            </w:tcBorders>
            <w:vAlign w:val="center"/>
          </w:tcPr>
          <w:p w:rsidR="00A9251F" w:rsidRDefault="00A93ACE">
            <w:pPr>
              <w:jc w:val="left"/>
              <w:rPr>
                <w:color w:val="000000"/>
                <w:szCs w:val="20"/>
                <w:shd w:val="clear" w:color="auto" w:fill="FFFFFF"/>
                <w:lang w:eastAsia="en-US" w:bidi="ar-SA"/>
              </w:rPr>
            </w:pPr>
            <w:r>
              <w:rPr>
                <w:color w:val="000000"/>
                <w:szCs w:val="20"/>
                <w:shd w:val="clear" w:color="auto" w:fill="FFFFFF"/>
                <w:lang w:eastAsia="en-US" w:bidi="ar-SA"/>
              </w:rPr>
              <w:t>- 5,25 etatu</w:t>
            </w:r>
          </w:p>
        </w:tc>
      </w:tr>
      <w:tr w:rsidR="00A9251F">
        <w:trPr>
          <w:trHeight w:val="1881"/>
        </w:trPr>
        <w:tc>
          <w:tcPr>
            <w:tcW w:w="1710" w:type="dxa"/>
            <w:tcBorders>
              <w:top w:val="single" w:sz="4" w:space="0" w:color="000000"/>
              <w:left w:val="single" w:sz="4" w:space="0" w:color="000000"/>
              <w:bottom w:val="single" w:sz="4" w:space="0" w:color="000000"/>
              <w:right w:val="single" w:sz="4" w:space="0" w:color="000000"/>
            </w:tcBorders>
            <w:vAlign w:val="center"/>
          </w:tcPr>
          <w:p w:rsidR="00A9251F" w:rsidRDefault="00A93ACE">
            <w:pPr>
              <w:jc w:val="left"/>
              <w:rPr>
                <w:color w:val="000000"/>
                <w:szCs w:val="20"/>
                <w:shd w:val="clear" w:color="auto" w:fill="FFFFFF"/>
                <w:lang w:eastAsia="en-US" w:bidi="ar-SA"/>
              </w:rPr>
            </w:pPr>
            <w:r>
              <w:rPr>
                <w:color w:val="000000"/>
                <w:szCs w:val="20"/>
                <w:shd w:val="clear" w:color="auto" w:fill="FFFFFF"/>
                <w:lang w:eastAsia="en-US" w:bidi="ar-SA"/>
              </w:rPr>
              <w:lastRenderedPageBreak/>
              <w:t>IV.2. Zmniejszenie kosztów stałych wynagrodzeń i pochodnych</w:t>
            </w:r>
          </w:p>
        </w:tc>
        <w:tc>
          <w:tcPr>
            <w:tcW w:w="1935" w:type="dxa"/>
            <w:tcBorders>
              <w:top w:val="single" w:sz="4" w:space="0" w:color="000000"/>
              <w:left w:val="single" w:sz="4" w:space="0" w:color="000000"/>
              <w:bottom w:val="single" w:sz="4" w:space="0" w:color="000000"/>
              <w:right w:val="single" w:sz="4" w:space="0" w:color="000000"/>
            </w:tcBorders>
            <w:vAlign w:val="center"/>
          </w:tcPr>
          <w:p w:rsidR="00A9251F" w:rsidRDefault="00A93ACE">
            <w:pPr>
              <w:jc w:val="left"/>
              <w:rPr>
                <w:color w:val="000000"/>
                <w:szCs w:val="20"/>
                <w:shd w:val="clear" w:color="auto" w:fill="FFFFFF"/>
                <w:lang w:eastAsia="en-US" w:bidi="ar-SA"/>
              </w:rPr>
            </w:pPr>
            <w:r>
              <w:rPr>
                <w:color w:val="000000"/>
                <w:szCs w:val="20"/>
                <w:shd w:val="clear" w:color="auto" w:fill="FFFFFF"/>
                <w:lang w:eastAsia="en-US" w:bidi="ar-SA"/>
              </w:rPr>
              <w:t>Koszty w ujęciu średnio-kwartalnym w stosunku do 2019 roku niższe o</w:t>
            </w:r>
          </w:p>
          <w:p w:rsidR="00A9251F" w:rsidRDefault="00A93ACE">
            <w:pPr>
              <w:jc w:val="left"/>
              <w:rPr>
                <w:color w:val="000000"/>
                <w:szCs w:val="20"/>
                <w:shd w:val="clear" w:color="auto" w:fill="FFFFFF"/>
                <w:lang w:eastAsia="en-US" w:bidi="ar-SA"/>
              </w:rPr>
            </w:pPr>
            <w:r>
              <w:rPr>
                <w:color w:val="000000"/>
                <w:szCs w:val="20"/>
                <w:shd w:val="clear" w:color="auto" w:fill="FFFFFF"/>
                <w:lang w:eastAsia="en-US" w:bidi="ar-SA"/>
              </w:rPr>
              <w:t>(-) 640.882 zł</w:t>
            </w:r>
          </w:p>
          <w:p w:rsidR="00A9251F" w:rsidRDefault="00A9251F">
            <w:pPr>
              <w:jc w:val="left"/>
              <w:rPr>
                <w:color w:val="000000"/>
                <w:szCs w:val="20"/>
                <w:shd w:val="clear" w:color="auto" w:fill="FFFFFF"/>
                <w:lang w:eastAsia="en-US" w:bidi="ar-SA"/>
              </w:rPr>
            </w:pPr>
          </w:p>
        </w:tc>
        <w:tc>
          <w:tcPr>
            <w:tcW w:w="1770" w:type="dxa"/>
            <w:tcBorders>
              <w:top w:val="single" w:sz="4" w:space="0" w:color="000000"/>
              <w:left w:val="single" w:sz="4" w:space="0" w:color="000000"/>
              <w:bottom w:val="single" w:sz="4" w:space="0" w:color="000000"/>
              <w:right w:val="single" w:sz="4" w:space="0" w:color="000000"/>
            </w:tcBorders>
            <w:vAlign w:val="center"/>
          </w:tcPr>
          <w:p w:rsidR="00A9251F" w:rsidRDefault="00A93ACE">
            <w:pPr>
              <w:jc w:val="left"/>
              <w:rPr>
                <w:color w:val="000000"/>
                <w:szCs w:val="20"/>
                <w:shd w:val="clear" w:color="auto" w:fill="FFFFFF"/>
                <w:lang w:eastAsia="en-US" w:bidi="ar-SA"/>
              </w:rPr>
            </w:pPr>
            <w:r>
              <w:rPr>
                <w:color w:val="000000"/>
                <w:szCs w:val="20"/>
                <w:shd w:val="clear" w:color="auto" w:fill="FFFFFF"/>
                <w:lang w:eastAsia="en-US" w:bidi="ar-SA"/>
              </w:rPr>
              <w:t xml:space="preserve">Koszty w ujęciu średnio-kwartalnym w </w:t>
            </w:r>
            <w:r>
              <w:rPr>
                <w:color w:val="000000"/>
                <w:szCs w:val="20"/>
                <w:shd w:val="clear" w:color="auto" w:fill="FFFFFF"/>
                <w:lang w:eastAsia="en-US" w:bidi="ar-SA"/>
              </w:rPr>
              <w:t>stosunku do 2019 roku niższe o</w:t>
            </w:r>
          </w:p>
          <w:p w:rsidR="00A9251F" w:rsidRDefault="00A93ACE">
            <w:pPr>
              <w:jc w:val="left"/>
              <w:rPr>
                <w:color w:val="000000"/>
                <w:szCs w:val="20"/>
                <w:shd w:val="clear" w:color="auto" w:fill="FFFFFF"/>
                <w:lang w:eastAsia="en-US" w:bidi="ar-SA"/>
              </w:rPr>
            </w:pPr>
            <w:r>
              <w:rPr>
                <w:color w:val="000000"/>
                <w:szCs w:val="20"/>
                <w:shd w:val="clear" w:color="auto" w:fill="FFFFFF"/>
                <w:lang w:eastAsia="en-US" w:bidi="ar-SA"/>
              </w:rPr>
              <w:t>(-) 497.580,46 zł</w:t>
            </w:r>
          </w:p>
          <w:p w:rsidR="00A9251F" w:rsidRDefault="00A9251F">
            <w:pPr>
              <w:jc w:val="left"/>
              <w:rPr>
                <w:color w:val="000000"/>
                <w:szCs w:val="20"/>
                <w:shd w:val="clear" w:color="auto" w:fill="FFFFFF"/>
                <w:lang w:eastAsia="en-US" w:bidi="ar-SA"/>
              </w:rPr>
            </w:pPr>
          </w:p>
        </w:tc>
        <w:tc>
          <w:tcPr>
            <w:tcW w:w="2010" w:type="dxa"/>
            <w:tcBorders>
              <w:top w:val="single" w:sz="4" w:space="0" w:color="000000"/>
              <w:left w:val="single" w:sz="4" w:space="0" w:color="000000"/>
              <w:bottom w:val="single" w:sz="4" w:space="0" w:color="000000"/>
              <w:right w:val="single" w:sz="4" w:space="0" w:color="000000"/>
            </w:tcBorders>
            <w:vAlign w:val="center"/>
          </w:tcPr>
          <w:p w:rsidR="00A9251F" w:rsidRDefault="00A93ACE">
            <w:pPr>
              <w:jc w:val="left"/>
              <w:rPr>
                <w:color w:val="000000"/>
                <w:szCs w:val="20"/>
                <w:shd w:val="clear" w:color="auto" w:fill="FFFFFF"/>
                <w:lang w:eastAsia="en-US" w:bidi="ar-SA"/>
              </w:rPr>
            </w:pPr>
            <w:r>
              <w:rPr>
                <w:color w:val="000000"/>
                <w:szCs w:val="20"/>
                <w:shd w:val="clear" w:color="auto" w:fill="FFFFFF"/>
                <w:lang w:eastAsia="en-US" w:bidi="ar-SA"/>
              </w:rPr>
              <w:t>Koszty w ujęciu średnio-kwartalnym w stosunku do 2019 roku niższe o</w:t>
            </w:r>
          </w:p>
          <w:p w:rsidR="00A9251F" w:rsidRDefault="00A93ACE">
            <w:pPr>
              <w:jc w:val="left"/>
              <w:rPr>
                <w:color w:val="000000"/>
                <w:szCs w:val="20"/>
                <w:shd w:val="clear" w:color="auto" w:fill="FFFFFF"/>
                <w:lang w:eastAsia="en-US" w:bidi="ar-SA"/>
              </w:rPr>
            </w:pPr>
            <w:r>
              <w:rPr>
                <w:color w:val="000000"/>
                <w:szCs w:val="20"/>
                <w:shd w:val="clear" w:color="auto" w:fill="FFFFFF"/>
                <w:lang w:eastAsia="en-US" w:bidi="ar-SA"/>
              </w:rPr>
              <w:t>(-) 442.072,60 zł</w:t>
            </w:r>
          </w:p>
        </w:tc>
        <w:tc>
          <w:tcPr>
            <w:tcW w:w="2010" w:type="dxa"/>
            <w:tcBorders>
              <w:top w:val="single" w:sz="4" w:space="0" w:color="000000"/>
              <w:left w:val="single" w:sz="4" w:space="0" w:color="000000"/>
              <w:bottom w:val="single" w:sz="4" w:space="0" w:color="000000"/>
              <w:right w:val="single" w:sz="4" w:space="0" w:color="000000"/>
            </w:tcBorders>
            <w:vAlign w:val="center"/>
          </w:tcPr>
          <w:p w:rsidR="00A9251F" w:rsidRDefault="00A93ACE">
            <w:pPr>
              <w:jc w:val="left"/>
              <w:rPr>
                <w:color w:val="000000"/>
                <w:szCs w:val="20"/>
                <w:shd w:val="clear" w:color="auto" w:fill="FFFFFF"/>
                <w:lang w:eastAsia="en-US" w:bidi="ar-SA"/>
              </w:rPr>
            </w:pPr>
            <w:r>
              <w:rPr>
                <w:color w:val="000000"/>
                <w:szCs w:val="20"/>
                <w:shd w:val="clear" w:color="auto" w:fill="FFFFFF"/>
                <w:lang w:eastAsia="en-US" w:bidi="ar-SA"/>
              </w:rPr>
              <w:t>Koszty w ujęciu średnio-kwartalnym w stosunku do 2019 roku niższe o</w:t>
            </w:r>
          </w:p>
          <w:p w:rsidR="00A9251F" w:rsidRDefault="00A93ACE">
            <w:pPr>
              <w:jc w:val="left"/>
              <w:rPr>
                <w:color w:val="000000"/>
                <w:szCs w:val="20"/>
                <w:shd w:val="clear" w:color="auto" w:fill="FFFFFF"/>
                <w:lang w:eastAsia="en-US" w:bidi="ar-SA"/>
              </w:rPr>
            </w:pPr>
            <w:r>
              <w:rPr>
                <w:color w:val="000000"/>
                <w:szCs w:val="20"/>
                <w:shd w:val="clear" w:color="auto" w:fill="FFFFFF"/>
                <w:lang w:eastAsia="en-US" w:bidi="ar-SA"/>
              </w:rPr>
              <w:t>(-) 452.919 zł</w:t>
            </w:r>
          </w:p>
        </w:tc>
      </w:tr>
    </w:tbl>
    <w:p w:rsidR="00A9251F" w:rsidRDefault="00A9251F">
      <w:pPr>
        <w:spacing w:after="200" w:line="276" w:lineRule="auto"/>
        <w:jc w:val="both"/>
        <w:rPr>
          <w:color w:val="000000"/>
          <w:szCs w:val="20"/>
          <w:shd w:val="clear" w:color="auto" w:fill="FFFFFF"/>
          <w:lang w:eastAsia="en-US" w:bidi="ar-SA"/>
        </w:rPr>
      </w:pPr>
    </w:p>
    <w:p w:rsidR="00A9251F" w:rsidRDefault="00A93ACE">
      <w:pPr>
        <w:spacing w:after="120" w:line="276" w:lineRule="auto"/>
        <w:jc w:val="both"/>
        <w:rPr>
          <w:color w:val="000000"/>
          <w:szCs w:val="20"/>
          <w:shd w:val="clear" w:color="auto" w:fill="FFFFFF"/>
          <w:lang w:eastAsia="en-US" w:bidi="ar-SA"/>
        </w:rPr>
      </w:pPr>
      <w:r>
        <w:rPr>
          <w:color w:val="000000"/>
          <w:szCs w:val="20"/>
          <w:shd w:val="clear" w:color="auto" w:fill="FFFFFF"/>
          <w:lang w:eastAsia="en-US" w:bidi="ar-SA"/>
        </w:rPr>
        <w:t xml:space="preserve">Za 2021 rok, podmiot osiągnął 15 na 15 punktów w skumulowanej skali </w:t>
      </w:r>
      <w:r>
        <w:rPr>
          <w:b/>
          <w:color w:val="000000"/>
          <w:szCs w:val="20"/>
          <w:shd w:val="clear" w:color="auto" w:fill="FFFFFF"/>
          <w:lang w:eastAsia="en-US" w:bidi="ar-SA"/>
        </w:rPr>
        <w:t>wskaźników zyskowności</w:t>
      </w:r>
      <w:r>
        <w:rPr>
          <w:color w:val="000000"/>
          <w:szCs w:val="20"/>
          <w:shd w:val="clear" w:color="auto" w:fill="FFFFFF"/>
          <w:lang w:eastAsia="en-US" w:bidi="ar-SA"/>
        </w:rPr>
        <w:t xml:space="preserve"> za 2021 rok co</w:t>
      </w:r>
      <w:r>
        <w:rPr>
          <w:b/>
          <w:color w:val="000000"/>
          <w:szCs w:val="20"/>
          <w:shd w:val="clear" w:color="auto" w:fill="FFFFFF"/>
          <w:lang w:eastAsia="en-US" w:bidi="ar-SA"/>
        </w:rPr>
        <w:t xml:space="preserve"> </w:t>
      </w:r>
      <w:r>
        <w:rPr>
          <w:color w:val="000000"/>
          <w:szCs w:val="20"/>
          <w:shd w:val="clear" w:color="auto" w:fill="FFFFFF"/>
          <w:lang w:eastAsia="en-US" w:bidi="ar-SA"/>
        </w:rPr>
        <w:t xml:space="preserve">potwierdza jego rentowność. W danym roku obrotowym przychody ogółem wyniosły 23.527.830 zł, co stanowi wzrost w stosunku do 2020 roku (20.098.330 zł) </w:t>
      </w:r>
      <w:r>
        <w:rPr>
          <w:color w:val="000000"/>
          <w:szCs w:val="20"/>
          <w:shd w:val="clear" w:color="auto" w:fill="FFFFFF"/>
          <w:lang w:eastAsia="en-US" w:bidi="ar-SA"/>
        </w:rPr>
        <w:t>o 3.429.500 zł. W przypadków kosztów MCM „Polesi</w:t>
      </w:r>
      <w:r>
        <w:rPr>
          <w:color w:val="000000"/>
          <w:szCs w:val="20"/>
          <w:shd w:val="clear" w:color="auto" w:fill="FFFFFF"/>
        </w:rPr>
        <w:t>e</w:t>
      </w:r>
      <w:r>
        <w:rPr>
          <w:color w:val="000000"/>
          <w:szCs w:val="20"/>
          <w:shd w:val="clear" w:color="auto" w:fill="FFFFFF"/>
          <w:lang w:eastAsia="en-US" w:bidi="ar-SA"/>
        </w:rPr>
        <w:t>”</w:t>
      </w:r>
      <w:r>
        <w:rPr>
          <w:color w:val="000000"/>
          <w:szCs w:val="20"/>
          <w:shd w:val="clear" w:color="auto" w:fill="FFFFFF"/>
        </w:rPr>
        <w:t xml:space="preserve"> w Łodzi</w:t>
      </w:r>
      <w:r>
        <w:rPr>
          <w:color w:val="000000"/>
          <w:szCs w:val="20"/>
          <w:shd w:val="clear" w:color="auto" w:fill="FFFFFF"/>
          <w:lang w:eastAsia="en-US" w:bidi="ar-SA"/>
        </w:rPr>
        <w:t xml:space="preserve"> ich wysokość w 2021 roku wyniosła 21.689.268 zł i była mniejsza niż w 2020 roku (22.128.092 zł) o 438.823 zł.</w:t>
      </w:r>
    </w:p>
    <w:p w:rsidR="00A9251F" w:rsidRDefault="00A93ACE">
      <w:pPr>
        <w:spacing w:after="120" w:line="276" w:lineRule="auto"/>
        <w:jc w:val="both"/>
        <w:rPr>
          <w:color w:val="000000"/>
          <w:szCs w:val="20"/>
          <w:shd w:val="clear" w:color="auto" w:fill="FFFFFF"/>
          <w:lang w:eastAsia="en-US" w:bidi="ar-SA"/>
        </w:rPr>
      </w:pPr>
      <w:r>
        <w:rPr>
          <w:color w:val="000000"/>
          <w:szCs w:val="20"/>
          <w:shd w:val="clear" w:color="auto" w:fill="FFFFFF"/>
          <w:lang w:eastAsia="en-US" w:bidi="ar-SA"/>
        </w:rPr>
        <w:t>W zakresie wysokości osiągniętych w 2021 roku przychodów, w stosunku do poprzedniego ok</w:t>
      </w:r>
      <w:r>
        <w:rPr>
          <w:color w:val="000000"/>
          <w:szCs w:val="20"/>
          <w:shd w:val="clear" w:color="auto" w:fill="FFFFFF"/>
          <w:lang w:eastAsia="en-US" w:bidi="ar-SA"/>
        </w:rPr>
        <w:t>resu rozliczeniowego, wzrost nastąpił w ramach umowy z NFZ z 17.738.126 zł</w:t>
      </w:r>
      <w:r>
        <w:rPr>
          <w:color w:val="000000"/>
          <w:szCs w:val="20"/>
          <w:shd w:val="clear" w:color="auto" w:fill="FFFFFF"/>
          <w:lang w:eastAsia="en-US" w:bidi="ar-SA"/>
        </w:rPr>
        <w:br/>
        <w:t xml:space="preserve">(2020 rok) do 21.263.298 zł (wzrost o 3.525.172 zł) i dotyczyły świadczeń w ramach </w:t>
      </w:r>
      <w:r>
        <w:rPr>
          <w:color w:val="000000"/>
          <w:szCs w:val="20"/>
          <w:shd w:val="clear" w:color="auto" w:fill="FFFFFF"/>
          <w:lang w:eastAsia="en-US" w:bidi="ar-SA"/>
        </w:rPr>
        <w:br/>
        <w:t>(w relacji 2020 do 2021 roku):</w:t>
      </w:r>
    </w:p>
    <w:p w:rsidR="00A9251F" w:rsidRDefault="00A93ACE">
      <w:pPr>
        <w:spacing w:line="276" w:lineRule="auto"/>
        <w:jc w:val="both"/>
        <w:rPr>
          <w:color w:val="000000"/>
          <w:szCs w:val="20"/>
          <w:shd w:val="clear" w:color="auto" w:fill="FFFFFF"/>
          <w:lang w:eastAsia="en-US" w:bidi="ar-SA"/>
        </w:rPr>
      </w:pPr>
      <w:r>
        <w:rPr>
          <w:b/>
          <w:color w:val="000000"/>
          <w:szCs w:val="20"/>
          <w:shd w:val="clear" w:color="auto" w:fill="FFFFFF"/>
        </w:rPr>
        <w:t xml:space="preserve">1) </w:t>
      </w:r>
      <w:r>
        <w:rPr>
          <w:b/>
          <w:color w:val="000000"/>
          <w:szCs w:val="20"/>
          <w:shd w:val="clear" w:color="auto" w:fill="FFFFFF"/>
          <w:lang w:eastAsia="en-US" w:bidi="ar-SA"/>
        </w:rPr>
        <w:t>POZ</w:t>
      </w:r>
      <w:r>
        <w:rPr>
          <w:color w:val="000000"/>
          <w:szCs w:val="20"/>
          <w:shd w:val="clear" w:color="auto" w:fill="FFFFFF"/>
          <w:lang w:eastAsia="en-US" w:bidi="ar-SA"/>
        </w:rPr>
        <w:t xml:space="preserve"> – wzrost z 16.043.238 zł do 17.863.337 zł, czyli o 1.820.09</w:t>
      </w:r>
      <w:r>
        <w:rPr>
          <w:color w:val="000000"/>
          <w:szCs w:val="20"/>
          <w:shd w:val="clear" w:color="auto" w:fill="FFFFFF"/>
          <w:lang w:eastAsia="en-US" w:bidi="ar-SA"/>
        </w:rPr>
        <w:t>9 zł;</w:t>
      </w:r>
    </w:p>
    <w:p w:rsidR="00A9251F" w:rsidRDefault="00A93ACE">
      <w:pPr>
        <w:spacing w:line="276" w:lineRule="auto"/>
        <w:jc w:val="both"/>
        <w:rPr>
          <w:color w:val="000000"/>
          <w:szCs w:val="20"/>
          <w:shd w:val="clear" w:color="auto" w:fill="FFFFFF"/>
          <w:lang w:eastAsia="en-US" w:bidi="ar-SA"/>
        </w:rPr>
      </w:pPr>
      <w:r>
        <w:rPr>
          <w:b/>
          <w:color w:val="000000"/>
          <w:szCs w:val="20"/>
          <w:shd w:val="clear" w:color="auto" w:fill="FFFFFF"/>
        </w:rPr>
        <w:t>2) </w:t>
      </w:r>
      <w:r>
        <w:rPr>
          <w:b/>
          <w:color w:val="000000"/>
          <w:szCs w:val="20"/>
          <w:shd w:val="clear" w:color="auto" w:fill="FFFFFF"/>
          <w:lang w:eastAsia="en-US" w:bidi="ar-SA"/>
        </w:rPr>
        <w:t>AOS</w:t>
      </w:r>
      <w:r>
        <w:rPr>
          <w:color w:val="000000"/>
          <w:szCs w:val="20"/>
          <w:shd w:val="clear" w:color="auto" w:fill="FFFFFF"/>
          <w:lang w:eastAsia="en-US" w:bidi="ar-SA"/>
        </w:rPr>
        <w:t xml:space="preserve"> – wzrost z 1.077.029 zł do 2.052.279 zł, czyli o 975.250 zł;</w:t>
      </w:r>
    </w:p>
    <w:p w:rsidR="00A9251F" w:rsidRDefault="00A93ACE">
      <w:pPr>
        <w:jc w:val="left"/>
        <w:rPr>
          <w:color w:val="000000"/>
          <w:szCs w:val="20"/>
          <w:shd w:val="clear" w:color="auto" w:fill="FFFFFF"/>
          <w:lang w:eastAsia="en-US" w:bidi="ar-SA"/>
        </w:rPr>
      </w:pPr>
      <w:r>
        <w:rPr>
          <w:b/>
          <w:color w:val="000000"/>
          <w:szCs w:val="20"/>
          <w:shd w:val="clear" w:color="auto" w:fill="FFFFFF"/>
        </w:rPr>
        <w:t>3) </w:t>
      </w:r>
      <w:r>
        <w:rPr>
          <w:b/>
          <w:color w:val="000000"/>
          <w:szCs w:val="20"/>
          <w:shd w:val="clear" w:color="auto" w:fill="FFFFFF"/>
          <w:lang w:eastAsia="en-US" w:bidi="ar-SA"/>
        </w:rPr>
        <w:t xml:space="preserve">Rehabilitacji </w:t>
      </w:r>
      <w:r>
        <w:rPr>
          <w:color w:val="000000"/>
          <w:szCs w:val="20"/>
          <w:shd w:val="clear" w:color="auto" w:fill="FFFFFF"/>
          <w:lang w:eastAsia="en-US" w:bidi="ar-SA"/>
        </w:rPr>
        <w:t>– wzrost z 271.756 zł do 817.855 zł, czyli o 546.099 zł;</w:t>
      </w:r>
    </w:p>
    <w:p w:rsidR="00A9251F" w:rsidRDefault="00A93ACE">
      <w:pPr>
        <w:spacing w:line="276" w:lineRule="auto"/>
        <w:jc w:val="both"/>
        <w:rPr>
          <w:color w:val="000000"/>
          <w:szCs w:val="20"/>
          <w:shd w:val="clear" w:color="auto" w:fill="FFFFFF"/>
          <w:lang w:eastAsia="en-US" w:bidi="ar-SA"/>
        </w:rPr>
      </w:pPr>
      <w:r>
        <w:rPr>
          <w:b/>
          <w:color w:val="000000"/>
          <w:szCs w:val="20"/>
          <w:shd w:val="clear" w:color="auto" w:fill="FFFFFF"/>
        </w:rPr>
        <w:t>4) </w:t>
      </w:r>
      <w:r>
        <w:rPr>
          <w:b/>
          <w:color w:val="000000"/>
          <w:szCs w:val="20"/>
          <w:shd w:val="clear" w:color="auto" w:fill="FFFFFF"/>
          <w:lang w:eastAsia="en-US" w:bidi="ar-SA"/>
        </w:rPr>
        <w:t>Stomatologii</w:t>
      </w:r>
      <w:r>
        <w:rPr>
          <w:color w:val="000000"/>
          <w:szCs w:val="20"/>
          <w:shd w:val="clear" w:color="auto" w:fill="FFFFFF"/>
          <w:lang w:eastAsia="en-US" w:bidi="ar-SA"/>
        </w:rPr>
        <w:t xml:space="preserve"> – wzrost z 346.102 zł do 529.827 zł, czyli o 183.725 zł.</w:t>
      </w:r>
    </w:p>
    <w:p w:rsidR="00A9251F" w:rsidRDefault="00A93ACE">
      <w:pPr>
        <w:spacing w:before="120" w:line="276" w:lineRule="auto"/>
        <w:jc w:val="both"/>
        <w:rPr>
          <w:color w:val="000000"/>
          <w:szCs w:val="20"/>
          <w:shd w:val="clear" w:color="auto" w:fill="FFFFFF"/>
          <w:lang w:eastAsia="en-US" w:bidi="ar-SA"/>
        </w:rPr>
      </w:pPr>
      <w:r>
        <w:rPr>
          <w:color w:val="000000"/>
          <w:szCs w:val="20"/>
          <w:shd w:val="clear" w:color="auto" w:fill="FFFFFF"/>
          <w:lang w:eastAsia="en-US" w:bidi="ar-SA"/>
        </w:rPr>
        <w:t>Spadek przychodów w relacji rocznej</w:t>
      </w:r>
      <w:r>
        <w:rPr>
          <w:color w:val="000000"/>
          <w:szCs w:val="20"/>
          <w:shd w:val="clear" w:color="auto" w:fill="FFFFFF"/>
          <w:lang w:eastAsia="en-US" w:bidi="ar-SA"/>
        </w:rPr>
        <w:t xml:space="preserve"> odnotowano jedynie w przypadku </w:t>
      </w:r>
      <w:r>
        <w:rPr>
          <w:b/>
          <w:color w:val="000000"/>
          <w:szCs w:val="20"/>
          <w:shd w:val="clear" w:color="auto" w:fill="FFFFFF"/>
          <w:lang w:eastAsia="en-US" w:bidi="ar-SA"/>
        </w:rPr>
        <w:t>programów profilaktycznych Miast</w:t>
      </w:r>
      <w:r>
        <w:rPr>
          <w:b/>
          <w:color w:val="000000"/>
          <w:szCs w:val="20"/>
          <w:shd w:val="clear" w:color="auto" w:fill="FFFFFF"/>
        </w:rPr>
        <w:t>a</w:t>
      </w:r>
      <w:r>
        <w:rPr>
          <w:b/>
          <w:color w:val="000000"/>
          <w:szCs w:val="20"/>
          <w:shd w:val="clear" w:color="auto" w:fill="FFFFFF"/>
          <w:lang w:eastAsia="en-US" w:bidi="ar-SA"/>
        </w:rPr>
        <w:t xml:space="preserve"> Ł</w:t>
      </w:r>
      <w:r>
        <w:rPr>
          <w:b/>
          <w:color w:val="000000"/>
          <w:szCs w:val="20"/>
          <w:shd w:val="clear" w:color="auto" w:fill="FFFFFF"/>
        </w:rPr>
        <w:t>odzi</w:t>
      </w:r>
      <w:r>
        <w:rPr>
          <w:color w:val="000000"/>
          <w:szCs w:val="20"/>
          <w:shd w:val="clear" w:color="auto" w:fill="FFFFFF"/>
          <w:lang w:eastAsia="en-US" w:bidi="ar-SA"/>
        </w:rPr>
        <w:t xml:space="preserve"> – spadek z 329.000 zł do 67.500 zł, czyli o 261.500 zł.</w:t>
      </w:r>
    </w:p>
    <w:p w:rsidR="00A9251F" w:rsidRDefault="00A93ACE">
      <w:pPr>
        <w:spacing w:before="240" w:line="276" w:lineRule="auto"/>
        <w:jc w:val="both"/>
        <w:rPr>
          <w:color w:val="000000"/>
          <w:szCs w:val="20"/>
          <w:shd w:val="clear" w:color="auto" w:fill="FFFFFF"/>
          <w:lang w:eastAsia="en-US" w:bidi="ar-SA"/>
        </w:rPr>
      </w:pPr>
      <w:r>
        <w:rPr>
          <w:color w:val="000000"/>
          <w:szCs w:val="20"/>
          <w:shd w:val="clear" w:color="auto" w:fill="FFFFFF"/>
          <w:lang w:eastAsia="en-US" w:bidi="ar-SA"/>
        </w:rPr>
        <w:t xml:space="preserve">W zakresie przychodów, jednostka wskazuje na niski poziom przychodów z </w:t>
      </w:r>
      <w:r>
        <w:rPr>
          <w:b/>
          <w:color w:val="000000"/>
          <w:szCs w:val="20"/>
          <w:shd w:val="clear" w:color="auto" w:fill="FFFFFF"/>
          <w:lang w:eastAsia="en-US" w:bidi="ar-SA"/>
        </w:rPr>
        <w:t xml:space="preserve">usług medycznych odpłatnych </w:t>
      </w:r>
      <w:r>
        <w:rPr>
          <w:color w:val="000000"/>
          <w:szCs w:val="20"/>
          <w:shd w:val="clear" w:color="auto" w:fill="FFFFFF"/>
          <w:lang w:eastAsia="en-US" w:bidi="ar-SA"/>
        </w:rPr>
        <w:t xml:space="preserve">(w 2020 roku 331.970 zł, w </w:t>
      </w:r>
      <w:r>
        <w:rPr>
          <w:color w:val="000000"/>
          <w:szCs w:val="20"/>
          <w:shd w:val="clear" w:color="auto" w:fill="FFFFFF"/>
          <w:lang w:eastAsia="en-US" w:bidi="ar-SA"/>
        </w:rPr>
        <w:t>2021 rok</w:t>
      </w:r>
      <w:r>
        <w:rPr>
          <w:color w:val="000000"/>
          <w:szCs w:val="20"/>
          <w:shd w:val="clear" w:color="auto" w:fill="FFFFFF"/>
        </w:rPr>
        <w:t>u</w:t>
      </w:r>
      <w:r>
        <w:rPr>
          <w:color w:val="000000"/>
          <w:szCs w:val="20"/>
          <w:shd w:val="clear" w:color="auto" w:fill="FFFFFF"/>
          <w:lang w:eastAsia="en-US" w:bidi="ar-SA"/>
        </w:rPr>
        <w:t xml:space="preserve"> 455.042 zł), </w:t>
      </w:r>
      <w:r>
        <w:rPr>
          <w:color w:val="000000"/>
          <w:szCs w:val="20"/>
          <w:shd w:val="clear" w:color="auto" w:fill="FFFFFF"/>
          <w:lang w:eastAsia="en-US" w:bidi="ar-SA"/>
        </w:rPr>
        <w:br/>
        <w:t xml:space="preserve">w tym diagnostyki, gdyż pandemia spowodowała obniżenie zainteresowania pacjentów usługami komercyjnymi. Osiągnięty w 2021 roku poziom sprzedaży w tym zakresie były </w:t>
      </w:r>
      <w:r>
        <w:rPr>
          <w:color w:val="000000"/>
          <w:szCs w:val="20"/>
          <w:shd w:val="clear" w:color="auto" w:fill="FFFFFF"/>
          <w:lang w:eastAsia="en-US" w:bidi="ar-SA"/>
        </w:rPr>
        <w:br/>
        <w:t xml:space="preserve">o 37% wyższe niż w 2020 roku, to stanowił jedynie 75,8% przychodów </w:t>
      </w:r>
      <w:r>
        <w:rPr>
          <w:color w:val="000000"/>
          <w:szCs w:val="20"/>
          <w:shd w:val="clear" w:color="auto" w:fill="FFFFFF"/>
          <w:lang w:eastAsia="en-US" w:bidi="ar-SA"/>
        </w:rPr>
        <w:t xml:space="preserve">z tego tytułu uzyskanych w 2019 roku. Z drugiej strony działania podjęte przez jednostkę przeciwko COVID-19 wygenerowały dodatkowe przychody z tytułu: </w:t>
      </w:r>
    </w:p>
    <w:p w:rsidR="00A9251F" w:rsidRDefault="00A93ACE">
      <w:pPr>
        <w:spacing w:before="120" w:after="120" w:line="259" w:lineRule="auto"/>
        <w:ind w:left="643" w:hanging="283"/>
        <w:contextualSpacing/>
        <w:jc w:val="both"/>
        <w:rPr>
          <w:szCs w:val="20"/>
          <w:lang w:val="en-US" w:eastAsia="en-US" w:bidi="en-US"/>
        </w:rPr>
      </w:pPr>
      <w:r>
        <w:rPr>
          <w:szCs w:val="20"/>
        </w:rPr>
        <w:t>1)</w:t>
      </w:r>
      <w:r>
        <w:rPr>
          <w:b/>
          <w:szCs w:val="20"/>
        </w:rPr>
        <w:t> </w:t>
      </w:r>
      <w:proofErr w:type="spellStart"/>
      <w:r>
        <w:rPr>
          <w:b/>
          <w:szCs w:val="20"/>
          <w:lang w:val="en-US" w:eastAsia="en-US" w:bidi="en-US"/>
        </w:rPr>
        <w:t>teleporad</w:t>
      </w:r>
      <w:proofErr w:type="spellEnd"/>
      <w:r>
        <w:rPr>
          <w:szCs w:val="20"/>
          <w:lang w:val="en-US" w:eastAsia="en-US" w:bidi="en-US"/>
        </w:rPr>
        <w:t xml:space="preserve"> </w:t>
      </w:r>
      <w:proofErr w:type="spellStart"/>
      <w:r>
        <w:rPr>
          <w:szCs w:val="20"/>
          <w:lang w:val="en-US" w:eastAsia="en-US" w:bidi="en-US"/>
        </w:rPr>
        <w:t>udzielanych</w:t>
      </w:r>
      <w:proofErr w:type="spellEnd"/>
      <w:r>
        <w:rPr>
          <w:szCs w:val="20"/>
          <w:lang w:val="en-US" w:eastAsia="en-US" w:bidi="en-US"/>
        </w:rPr>
        <w:t xml:space="preserve"> </w:t>
      </w:r>
      <w:proofErr w:type="spellStart"/>
      <w:r>
        <w:rPr>
          <w:szCs w:val="20"/>
          <w:lang w:val="en-US" w:eastAsia="en-US" w:bidi="en-US"/>
        </w:rPr>
        <w:t>pacjentom</w:t>
      </w:r>
      <w:proofErr w:type="spellEnd"/>
      <w:r>
        <w:rPr>
          <w:szCs w:val="20"/>
          <w:lang w:val="en-US" w:eastAsia="en-US" w:bidi="en-US"/>
        </w:rPr>
        <w:t xml:space="preserve"> z </w:t>
      </w:r>
      <w:proofErr w:type="spellStart"/>
      <w:r>
        <w:rPr>
          <w:szCs w:val="20"/>
          <w:lang w:val="en-US" w:eastAsia="en-US" w:bidi="en-US"/>
        </w:rPr>
        <w:t>pozytywnym</w:t>
      </w:r>
      <w:proofErr w:type="spellEnd"/>
      <w:r>
        <w:rPr>
          <w:szCs w:val="20"/>
          <w:lang w:val="en-US" w:eastAsia="en-US" w:bidi="en-US"/>
        </w:rPr>
        <w:t xml:space="preserve"> </w:t>
      </w:r>
      <w:proofErr w:type="spellStart"/>
      <w:r>
        <w:rPr>
          <w:szCs w:val="20"/>
          <w:lang w:val="en-US" w:eastAsia="en-US" w:bidi="en-US"/>
        </w:rPr>
        <w:t>wynikiem</w:t>
      </w:r>
      <w:proofErr w:type="spellEnd"/>
      <w:r>
        <w:rPr>
          <w:szCs w:val="20"/>
          <w:lang w:val="en-US" w:eastAsia="en-US" w:bidi="en-US"/>
        </w:rPr>
        <w:t xml:space="preserve"> </w:t>
      </w:r>
      <w:proofErr w:type="spellStart"/>
      <w:r>
        <w:rPr>
          <w:szCs w:val="20"/>
          <w:lang w:val="en-US" w:eastAsia="en-US" w:bidi="en-US"/>
        </w:rPr>
        <w:t>testu</w:t>
      </w:r>
      <w:proofErr w:type="spellEnd"/>
      <w:r>
        <w:rPr>
          <w:szCs w:val="20"/>
          <w:lang w:val="en-US" w:eastAsia="en-US" w:bidi="en-US"/>
        </w:rPr>
        <w:t xml:space="preserve"> </w:t>
      </w:r>
      <w:proofErr w:type="spellStart"/>
      <w:r>
        <w:rPr>
          <w:szCs w:val="20"/>
          <w:lang w:val="en-US" w:eastAsia="en-US" w:bidi="en-US"/>
        </w:rPr>
        <w:t>na</w:t>
      </w:r>
      <w:proofErr w:type="spellEnd"/>
      <w:r>
        <w:rPr>
          <w:szCs w:val="20"/>
          <w:lang w:val="en-US" w:eastAsia="en-US" w:bidi="en-US"/>
        </w:rPr>
        <w:t xml:space="preserve"> COVID-19 </w:t>
      </w:r>
      <w:r>
        <w:rPr>
          <w:szCs w:val="20"/>
          <w:lang w:val="en-US" w:eastAsia="en-US" w:bidi="en-US"/>
        </w:rPr>
        <w:br/>
        <w:t xml:space="preserve">w </w:t>
      </w:r>
      <w:proofErr w:type="spellStart"/>
      <w:r>
        <w:rPr>
          <w:szCs w:val="20"/>
          <w:lang w:val="en-US" w:eastAsia="en-US" w:bidi="en-US"/>
        </w:rPr>
        <w:t>kwocie</w:t>
      </w:r>
      <w:proofErr w:type="spellEnd"/>
      <w:r>
        <w:rPr>
          <w:szCs w:val="20"/>
          <w:lang w:val="en-US" w:eastAsia="en-US" w:bidi="en-US"/>
        </w:rPr>
        <w:t xml:space="preserve"> </w:t>
      </w:r>
      <w:r>
        <w:rPr>
          <w:b/>
          <w:szCs w:val="20"/>
          <w:lang w:val="en-US" w:eastAsia="en-US" w:bidi="en-US"/>
        </w:rPr>
        <w:t xml:space="preserve">171.435,00 </w:t>
      </w:r>
      <w:proofErr w:type="spellStart"/>
      <w:r>
        <w:rPr>
          <w:b/>
          <w:szCs w:val="20"/>
          <w:lang w:val="en-US" w:eastAsia="en-US" w:bidi="en-US"/>
        </w:rPr>
        <w:t>zł</w:t>
      </w:r>
      <w:proofErr w:type="spellEnd"/>
      <w:r>
        <w:rPr>
          <w:b/>
          <w:szCs w:val="20"/>
        </w:rPr>
        <w:t>;</w:t>
      </w:r>
    </w:p>
    <w:p w:rsidR="00A9251F" w:rsidRDefault="00A93ACE">
      <w:pPr>
        <w:spacing w:after="160" w:line="259" w:lineRule="auto"/>
        <w:ind w:left="643" w:hanging="283"/>
        <w:contextualSpacing/>
        <w:jc w:val="both"/>
        <w:rPr>
          <w:szCs w:val="20"/>
          <w:lang w:val="en-US" w:eastAsia="en-US" w:bidi="en-US"/>
        </w:rPr>
      </w:pPr>
      <w:r>
        <w:rPr>
          <w:szCs w:val="20"/>
        </w:rPr>
        <w:t>2) </w:t>
      </w:r>
      <w:proofErr w:type="spellStart"/>
      <w:r>
        <w:rPr>
          <w:szCs w:val="20"/>
          <w:lang w:val="en-US" w:eastAsia="en-US" w:bidi="en-US"/>
        </w:rPr>
        <w:t>dodatkowej</w:t>
      </w:r>
      <w:proofErr w:type="spellEnd"/>
      <w:r>
        <w:rPr>
          <w:szCs w:val="20"/>
          <w:lang w:val="en-US" w:eastAsia="en-US" w:bidi="en-US"/>
        </w:rPr>
        <w:t xml:space="preserve"> </w:t>
      </w:r>
      <w:proofErr w:type="spellStart"/>
      <w:r>
        <w:rPr>
          <w:b/>
          <w:szCs w:val="20"/>
          <w:lang w:val="en-US" w:eastAsia="en-US" w:bidi="en-US"/>
        </w:rPr>
        <w:t>opłaty</w:t>
      </w:r>
      <w:proofErr w:type="spellEnd"/>
      <w:r>
        <w:rPr>
          <w:b/>
          <w:szCs w:val="20"/>
          <w:lang w:val="en-US" w:eastAsia="en-US" w:bidi="en-US"/>
        </w:rPr>
        <w:t xml:space="preserve"> </w:t>
      </w:r>
      <w:proofErr w:type="spellStart"/>
      <w:r>
        <w:rPr>
          <w:b/>
          <w:szCs w:val="20"/>
          <w:lang w:val="en-US" w:eastAsia="en-US" w:bidi="en-US"/>
        </w:rPr>
        <w:t>ryczałtowej</w:t>
      </w:r>
      <w:proofErr w:type="spellEnd"/>
      <w:r>
        <w:rPr>
          <w:b/>
          <w:szCs w:val="20"/>
          <w:lang w:val="en-US" w:eastAsia="en-US" w:bidi="en-US"/>
        </w:rPr>
        <w:t xml:space="preserve"> </w:t>
      </w:r>
      <w:proofErr w:type="spellStart"/>
      <w:r>
        <w:rPr>
          <w:b/>
          <w:szCs w:val="20"/>
          <w:lang w:val="en-US" w:eastAsia="en-US" w:bidi="en-US"/>
        </w:rPr>
        <w:t>za</w:t>
      </w:r>
      <w:proofErr w:type="spellEnd"/>
      <w:r>
        <w:rPr>
          <w:b/>
          <w:szCs w:val="20"/>
          <w:lang w:val="en-US" w:eastAsia="en-US" w:bidi="en-US"/>
        </w:rPr>
        <w:t xml:space="preserve"> </w:t>
      </w:r>
      <w:proofErr w:type="spellStart"/>
      <w:r>
        <w:rPr>
          <w:b/>
          <w:szCs w:val="20"/>
          <w:lang w:val="en-US" w:eastAsia="en-US" w:bidi="en-US"/>
        </w:rPr>
        <w:t>gotowość</w:t>
      </w:r>
      <w:proofErr w:type="spellEnd"/>
      <w:r>
        <w:rPr>
          <w:b/>
          <w:szCs w:val="20"/>
          <w:lang w:val="en-US" w:eastAsia="en-US" w:bidi="en-US"/>
        </w:rPr>
        <w:t xml:space="preserve"> </w:t>
      </w:r>
      <w:r>
        <w:rPr>
          <w:szCs w:val="20"/>
          <w:lang w:val="en-US" w:eastAsia="en-US" w:bidi="en-US"/>
        </w:rPr>
        <w:t xml:space="preserve">do </w:t>
      </w:r>
      <w:proofErr w:type="spellStart"/>
      <w:r>
        <w:rPr>
          <w:szCs w:val="20"/>
          <w:lang w:val="en-US" w:eastAsia="en-US" w:bidi="en-US"/>
        </w:rPr>
        <w:t>udzielania</w:t>
      </w:r>
      <w:proofErr w:type="spellEnd"/>
      <w:r>
        <w:rPr>
          <w:szCs w:val="20"/>
          <w:lang w:val="en-US" w:eastAsia="en-US" w:bidi="en-US"/>
        </w:rPr>
        <w:t xml:space="preserve"> </w:t>
      </w:r>
      <w:proofErr w:type="spellStart"/>
      <w:r>
        <w:rPr>
          <w:szCs w:val="20"/>
          <w:lang w:val="en-US" w:eastAsia="en-US" w:bidi="en-US"/>
        </w:rPr>
        <w:t>świadczeń</w:t>
      </w:r>
      <w:proofErr w:type="spellEnd"/>
      <w:r>
        <w:rPr>
          <w:szCs w:val="20"/>
          <w:lang w:val="en-US" w:eastAsia="en-US" w:bidi="en-US"/>
        </w:rPr>
        <w:t xml:space="preserve"> </w:t>
      </w:r>
      <w:r>
        <w:rPr>
          <w:szCs w:val="20"/>
          <w:lang w:val="en-US" w:eastAsia="en-US" w:bidi="en-US"/>
        </w:rPr>
        <w:br/>
        <w:t xml:space="preserve">we </w:t>
      </w:r>
      <w:proofErr w:type="spellStart"/>
      <w:r>
        <w:rPr>
          <w:szCs w:val="20"/>
          <w:lang w:val="en-US" w:eastAsia="en-US" w:bidi="en-US"/>
        </w:rPr>
        <w:t>wszystkich</w:t>
      </w:r>
      <w:proofErr w:type="spellEnd"/>
      <w:r>
        <w:rPr>
          <w:szCs w:val="20"/>
          <w:lang w:val="en-US" w:eastAsia="en-US" w:bidi="en-US"/>
        </w:rPr>
        <w:t xml:space="preserve"> </w:t>
      </w:r>
      <w:proofErr w:type="spellStart"/>
      <w:r>
        <w:rPr>
          <w:szCs w:val="20"/>
          <w:lang w:val="en-US" w:eastAsia="en-US" w:bidi="en-US"/>
        </w:rPr>
        <w:t>zakontraktowanych</w:t>
      </w:r>
      <w:proofErr w:type="spellEnd"/>
      <w:r>
        <w:rPr>
          <w:szCs w:val="20"/>
          <w:lang w:val="en-US" w:eastAsia="en-US" w:bidi="en-US"/>
        </w:rPr>
        <w:t xml:space="preserve"> </w:t>
      </w:r>
      <w:proofErr w:type="spellStart"/>
      <w:r>
        <w:rPr>
          <w:szCs w:val="20"/>
          <w:lang w:val="en-US" w:eastAsia="en-US" w:bidi="en-US"/>
        </w:rPr>
        <w:t>zakresach</w:t>
      </w:r>
      <w:proofErr w:type="spellEnd"/>
      <w:r>
        <w:rPr>
          <w:szCs w:val="20"/>
          <w:lang w:val="en-US" w:eastAsia="en-US" w:bidi="en-US"/>
        </w:rPr>
        <w:t xml:space="preserve"> </w:t>
      </w:r>
      <w:proofErr w:type="spellStart"/>
      <w:r>
        <w:rPr>
          <w:szCs w:val="20"/>
          <w:lang w:val="en-US" w:eastAsia="en-US" w:bidi="en-US"/>
        </w:rPr>
        <w:t>kwocie</w:t>
      </w:r>
      <w:proofErr w:type="spellEnd"/>
      <w:r>
        <w:rPr>
          <w:szCs w:val="20"/>
          <w:lang w:val="en-US" w:eastAsia="en-US" w:bidi="en-US"/>
        </w:rPr>
        <w:t xml:space="preserve"> </w:t>
      </w:r>
      <w:r>
        <w:rPr>
          <w:b/>
          <w:szCs w:val="20"/>
          <w:lang w:val="en-US" w:eastAsia="en-US" w:bidi="en-US"/>
        </w:rPr>
        <w:t xml:space="preserve">521.804,70 </w:t>
      </w:r>
      <w:proofErr w:type="spellStart"/>
      <w:r>
        <w:rPr>
          <w:b/>
          <w:szCs w:val="20"/>
          <w:lang w:val="en-US" w:eastAsia="en-US" w:bidi="en-US"/>
        </w:rPr>
        <w:t>zł</w:t>
      </w:r>
      <w:proofErr w:type="spellEnd"/>
      <w:r>
        <w:rPr>
          <w:b/>
          <w:szCs w:val="20"/>
          <w:lang w:val="en-US" w:eastAsia="en-US" w:bidi="en-US"/>
        </w:rPr>
        <w:t>.</w:t>
      </w:r>
    </w:p>
    <w:p w:rsidR="00A9251F" w:rsidRDefault="00A93ACE">
      <w:pPr>
        <w:spacing w:line="276" w:lineRule="auto"/>
        <w:jc w:val="both"/>
        <w:rPr>
          <w:color w:val="000000"/>
          <w:szCs w:val="20"/>
          <w:shd w:val="clear" w:color="auto" w:fill="FFFFFF"/>
          <w:lang w:eastAsia="en-US" w:bidi="ar-SA"/>
        </w:rPr>
      </w:pPr>
      <w:r>
        <w:rPr>
          <w:color w:val="000000"/>
          <w:szCs w:val="20"/>
          <w:shd w:val="clear" w:color="auto" w:fill="FFFFFF"/>
          <w:lang w:eastAsia="en-US" w:bidi="ar-SA"/>
        </w:rPr>
        <w:t xml:space="preserve">W zakresie wysokości </w:t>
      </w:r>
      <w:r>
        <w:rPr>
          <w:color w:val="000000"/>
          <w:szCs w:val="20"/>
          <w:shd w:val="clear" w:color="auto" w:fill="FFFFFF"/>
        </w:rPr>
        <w:t>poniesionych</w:t>
      </w:r>
      <w:r>
        <w:rPr>
          <w:color w:val="000000"/>
          <w:szCs w:val="20"/>
          <w:shd w:val="clear" w:color="auto" w:fill="FFFFFF"/>
          <w:lang w:eastAsia="en-US" w:bidi="ar-SA"/>
        </w:rPr>
        <w:t xml:space="preserve"> w 2021 roku kosztów, w stosunku do poprzedniego okresu rozliczeniowego odnotowano następują</w:t>
      </w:r>
      <w:r>
        <w:rPr>
          <w:color w:val="000000"/>
          <w:szCs w:val="20"/>
          <w:shd w:val="clear" w:color="auto" w:fill="FFFFFF"/>
          <w:lang w:eastAsia="en-US" w:bidi="ar-SA"/>
        </w:rPr>
        <w:t>ce wyniki (w relacji 2020 do 2021 roku):</w:t>
      </w:r>
    </w:p>
    <w:p w:rsidR="00A9251F" w:rsidRDefault="00A93ACE">
      <w:pPr>
        <w:spacing w:line="276" w:lineRule="auto"/>
        <w:jc w:val="both"/>
        <w:rPr>
          <w:color w:val="000000"/>
          <w:szCs w:val="20"/>
          <w:shd w:val="clear" w:color="auto" w:fill="FFFFFF"/>
          <w:lang w:eastAsia="en-US" w:bidi="ar-SA"/>
        </w:rPr>
      </w:pPr>
      <w:r>
        <w:rPr>
          <w:b/>
          <w:color w:val="000000"/>
          <w:szCs w:val="20"/>
          <w:shd w:val="clear" w:color="auto" w:fill="FFFFFF"/>
        </w:rPr>
        <w:t>1) </w:t>
      </w:r>
      <w:r>
        <w:rPr>
          <w:b/>
          <w:color w:val="000000"/>
          <w:szCs w:val="20"/>
          <w:shd w:val="clear" w:color="auto" w:fill="FFFFFF"/>
          <w:lang w:eastAsia="en-US" w:bidi="ar-SA"/>
        </w:rPr>
        <w:t>zużycie materiałów i energii</w:t>
      </w:r>
      <w:r>
        <w:rPr>
          <w:color w:val="000000"/>
          <w:szCs w:val="20"/>
          <w:shd w:val="clear" w:color="auto" w:fill="FFFFFF"/>
          <w:lang w:eastAsia="en-US" w:bidi="ar-SA"/>
        </w:rPr>
        <w:t xml:space="preserve"> – spadek z 1.271.560 zł do 1.221.254 zł, o 50.306 zł;</w:t>
      </w:r>
    </w:p>
    <w:p w:rsidR="00A9251F" w:rsidRDefault="00A93ACE">
      <w:pPr>
        <w:spacing w:line="276" w:lineRule="auto"/>
        <w:ind w:left="283" w:hanging="283"/>
        <w:jc w:val="both"/>
        <w:rPr>
          <w:color w:val="000000"/>
          <w:szCs w:val="20"/>
          <w:shd w:val="clear" w:color="auto" w:fill="FFFFFF"/>
          <w:lang w:eastAsia="en-US" w:bidi="ar-SA"/>
        </w:rPr>
      </w:pPr>
      <w:r>
        <w:rPr>
          <w:b/>
          <w:color w:val="000000"/>
          <w:szCs w:val="20"/>
          <w:shd w:val="clear" w:color="auto" w:fill="FFFFFF"/>
        </w:rPr>
        <w:t>2) </w:t>
      </w:r>
      <w:r>
        <w:rPr>
          <w:b/>
          <w:color w:val="000000"/>
          <w:szCs w:val="20"/>
          <w:shd w:val="clear" w:color="auto" w:fill="FFFFFF"/>
          <w:lang w:eastAsia="en-US" w:bidi="ar-SA"/>
        </w:rPr>
        <w:t>usługi obce</w:t>
      </w:r>
      <w:r>
        <w:rPr>
          <w:color w:val="000000"/>
          <w:szCs w:val="20"/>
          <w:shd w:val="clear" w:color="auto" w:fill="FFFFFF"/>
          <w:lang w:eastAsia="en-US" w:bidi="ar-SA"/>
        </w:rPr>
        <w:t xml:space="preserve"> – wzrost z 4.815.407 zł do 6.407.655 zł, czyli o 1.592.247 zł,</w:t>
      </w:r>
      <w:r>
        <w:rPr>
          <w:color w:val="000000"/>
          <w:szCs w:val="20"/>
          <w:shd w:val="clear" w:color="auto" w:fill="FFFFFF"/>
        </w:rPr>
        <w:t xml:space="preserve"> w</w:t>
      </w:r>
      <w:r>
        <w:rPr>
          <w:color w:val="000000"/>
          <w:szCs w:val="20"/>
          <w:shd w:val="clear" w:color="auto" w:fill="FFFFFF"/>
          <w:lang w:eastAsia="en-US" w:bidi="ar-SA"/>
        </w:rPr>
        <w:t xml:space="preserve">zrost ten wynika z kosztów </w:t>
      </w:r>
      <w:r>
        <w:rPr>
          <w:b/>
          <w:color w:val="000000"/>
          <w:szCs w:val="20"/>
          <w:shd w:val="clear" w:color="auto" w:fill="FFFFFF"/>
          <w:lang w:eastAsia="en-US" w:bidi="ar-SA"/>
        </w:rPr>
        <w:t>kontraktów medycznych</w:t>
      </w:r>
      <w:r>
        <w:rPr>
          <w:color w:val="000000"/>
          <w:szCs w:val="20"/>
          <w:shd w:val="clear" w:color="auto" w:fill="FFFFFF"/>
          <w:lang w:eastAsia="en-US" w:bidi="ar-SA"/>
        </w:rPr>
        <w:t xml:space="preserve">: </w:t>
      </w:r>
      <w:r>
        <w:rPr>
          <w:color w:val="000000"/>
          <w:szCs w:val="20"/>
          <w:shd w:val="clear" w:color="auto" w:fill="FFFFFF"/>
          <w:lang w:eastAsia="en-US" w:bidi="ar-SA"/>
        </w:rPr>
        <w:t xml:space="preserve">lekarzy i innych pracowników medycznych (restrukturyzacja formy zatrudnienia oraz wzrost stawek wynagrodzeń będący skutkiem wprowadzania obowiązkowych regulacji płacowych dla pracowników etatowych) </w:t>
      </w:r>
      <w:r>
        <w:rPr>
          <w:color w:val="000000"/>
          <w:szCs w:val="20"/>
          <w:shd w:val="clear" w:color="auto" w:fill="FFFFFF"/>
        </w:rPr>
        <w:br/>
      </w:r>
      <w:r>
        <w:rPr>
          <w:color w:val="000000"/>
          <w:szCs w:val="20"/>
          <w:shd w:val="clear" w:color="auto" w:fill="FFFFFF"/>
          <w:lang w:eastAsia="en-US" w:bidi="ar-SA"/>
        </w:rPr>
        <w:lastRenderedPageBreak/>
        <w:t xml:space="preserve">oraz </w:t>
      </w:r>
      <w:r>
        <w:rPr>
          <w:b/>
          <w:color w:val="000000"/>
          <w:szCs w:val="20"/>
          <w:shd w:val="clear" w:color="auto" w:fill="FFFFFF"/>
          <w:lang w:eastAsia="en-US" w:bidi="ar-SA"/>
        </w:rPr>
        <w:t>usług medycznych realizowanych poza jednostką</w:t>
      </w:r>
      <w:r>
        <w:rPr>
          <w:color w:val="000000"/>
          <w:szCs w:val="20"/>
          <w:shd w:val="clear" w:color="auto" w:fill="FFFFFF"/>
          <w:lang w:eastAsia="en-US" w:bidi="ar-SA"/>
        </w:rPr>
        <w:t>, tj. b</w:t>
      </w:r>
      <w:r>
        <w:rPr>
          <w:color w:val="000000"/>
          <w:szCs w:val="20"/>
          <w:shd w:val="clear" w:color="auto" w:fill="FFFFFF"/>
          <w:lang w:eastAsia="en-US" w:bidi="ar-SA"/>
        </w:rPr>
        <w:t>adań diagnostycznych wykonywanych w laboratorium zewnętrznym;</w:t>
      </w:r>
    </w:p>
    <w:p w:rsidR="00A9251F" w:rsidRDefault="00A93ACE">
      <w:pPr>
        <w:spacing w:line="276" w:lineRule="auto"/>
        <w:ind w:left="283" w:hanging="283"/>
        <w:jc w:val="both"/>
        <w:rPr>
          <w:color w:val="000000"/>
          <w:szCs w:val="20"/>
          <w:shd w:val="clear" w:color="auto" w:fill="FFFFFF"/>
          <w:lang w:eastAsia="en-US" w:bidi="ar-SA"/>
        </w:rPr>
      </w:pPr>
      <w:r>
        <w:rPr>
          <w:b/>
          <w:color w:val="000000"/>
          <w:szCs w:val="20"/>
          <w:shd w:val="clear" w:color="auto" w:fill="FFFFFF"/>
        </w:rPr>
        <w:t>3) </w:t>
      </w:r>
      <w:r>
        <w:rPr>
          <w:b/>
          <w:color w:val="000000"/>
          <w:szCs w:val="20"/>
          <w:shd w:val="clear" w:color="auto" w:fill="FFFFFF"/>
          <w:lang w:eastAsia="en-US" w:bidi="ar-SA"/>
        </w:rPr>
        <w:t>wynagrodzenia</w:t>
      </w:r>
      <w:r>
        <w:rPr>
          <w:color w:val="000000"/>
          <w:szCs w:val="20"/>
          <w:shd w:val="clear" w:color="auto" w:fill="FFFFFF"/>
          <w:lang w:eastAsia="en-US" w:bidi="ar-SA"/>
        </w:rPr>
        <w:t xml:space="preserve"> – spadek z 11.934.130 zł do 10.854.493 zł, czyli o 1.079.637 zł, </w:t>
      </w:r>
      <w:r>
        <w:rPr>
          <w:color w:val="000000"/>
          <w:szCs w:val="20"/>
          <w:shd w:val="clear" w:color="auto" w:fill="FFFFFF"/>
          <w:lang w:eastAsia="en-US" w:bidi="ar-SA"/>
        </w:rPr>
        <w:br/>
        <w:t>w tym:</w:t>
      </w:r>
    </w:p>
    <w:p w:rsidR="00A9251F" w:rsidRDefault="00A93ACE">
      <w:pPr>
        <w:spacing w:line="276" w:lineRule="auto"/>
        <w:ind w:left="568" w:hanging="285"/>
        <w:jc w:val="both"/>
        <w:rPr>
          <w:b/>
          <w:color w:val="000000"/>
          <w:szCs w:val="20"/>
          <w:shd w:val="clear" w:color="auto" w:fill="FFFFFF"/>
          <w:lang w:eastAsia="en-US" w:bidi="ar-SA"/>
        </w:rPr>
      </w:pPr>
      <w:r>
        <w:rPr>
          <w:b/>
          <w:color w:val="000000"/>
          <w:szCs w:val="20"/>
          <w:shd w:val="clear" w:color="auto" w:fill="FFFFFF"/>
        </w:rPr>
        <w:t>a) </w:t>
      </w:r>
      <w:r>
        <w:rPr>
          <w:b/>
          <w:color w:val="000000"/>
          <w:szCs w:val="20"/>
          <w:shd w:val="clear" w:color="auto" w:fill="FFFFFF"/>
          <w:lang w:eastAsia="en-US" w:bidi="ar-SA"/>
        </w:rPr>
        <w:t xml:space="preserve">wynagrodzenia wynikające ze stosunku pracy </w:t>
      </w:r>
      <w:r>
        <w:rPr>
          <w:color w:val="000000"/>
          <w:szCs w:val="20"/>
          <w:shd w:val="clear" w:color="auto" w:fill="FFFFFF"/>
          <w:lang w:eastAsia="en-US" w:bidi="ar-SA"/>
        </w:rPr>
        <w:t xml:space="preserve">– spadek z 10.628.710 zł </w:t>
      </w:r>
      <w:r>
        <w:rPr>
          <w:color w:val="000000"/>
          <w:szCs w:val="20"/>
          <w:shd w:val="clear" w:color="auto" w:fill="FFFFFF"/>
          <w:lang w:eastAsia="en-US" w:bidi="ar-SA"/>
        </w:rPr>
        <w:br/>
        <w:t xml:space="preserve">do 9.464.353 zł, czyli o </w:t>
      </w:r>
      <w:r>
        <w:rPr>
          <w:color w:val="000000"/>
          <w:szCs w:val="20"/>
          <w:shd w:val="clear" w:color="auto" w:fill="FFFFFF"/>
          <w:lang w:eastAsia="en-US" w:bidi="ar-SA"/>
        </w:rPr>
        <w:t>1.164.357 zł</w:t>
      </w:r>
      <w:r>
        <w:rPr>
          <w:color w:val="000000"/>
          <w:szCs w:val="20"/>
          <w:shd w:val="clear" w:color="auto" w:fill="FFFFFF"/>
        </w:rPr>
        <w:t>,</w:t>
      </w:r>
    </w:p>
    <w:p w:rsidR="00A9251F" w:rsidRDefault="00A93ACE">
      <w:pPr>
        <w:spacing w:line="276" w:lineRule="auto"/>
        <w:ind w:left="568" w:hanging="285"/>
        <w:jc w:val="both"/>
        <w:rPr>
          <w:color w:val="000000"/>
          <w:szCs w:val="20"/>
          <w:shd w:val="clear" w:color="auto" w:fill="FFFFFF"/>
          <w:lang w:eastAsia="en-US" w:bidi="ar-SA"/>
        </w:rPr>
      </w:pPr>
      <w:r>
        <w:rPr>
          <w:b/>
          <w:color w:val="000000"/>
          <w:szCs w:val="20"/>
          <w:shd w:val="clear" w:color="auto" w:fill="FFFFFF"/>
        </w:rPr>
        <w:t>b) </w:t>
      </w:r>
      <w:r>
        <w:rPr>
          <w:b/>
          <w:color w:val="000000"/>
          <w:szCs w:val="20"/>
          <w:shd w:val="clear" w:color="auto" w:fill="FFFFFF"/>
          <w:lang w:eastAsia="en-US" w:bidi="ar-SA"/>
        </w:rPr>
        <w:t>wynagrodzenia</w:t>
      </w:r>
      <w:r>
        <w:rPr>
          <w:color w:val="000000"/>
          <w:szCs w:val="20"/>
          <w:shd w:val="clear" w:color="auto" w:fill="FFFFFF"/>
          <w:lang w:eastAsia="en-US" w:bidi="ar-SA"/>
        </w:rPr>
        <w:t xml:space="preserve"> </w:t>
      </w:r>
      <w:r>
        <w:rPr>
          <w:b/>
          <w:color w:val="000000"/>
          <w:szCs w:val="20"/>
          <w:shd w:val="clear" w:color="auto" w:fill="FFFFFF"/>
          <w:lang w:eastAsia="en-US" w:bidi="ar-SA"/>
        </w:rPr>
        <w:t>z umów zleceń i o dzieło</w:t>
      </w:r>
      <w:r>
        <w:rPr>
          <w:color w:val="000000"/>
          <w:szCs w:val="20"/>
          <w:shd w:val="clear" w:color="auto" w:fill="FFFFFF"/>
          <w:lang w:eastAsia="en-US" w:bidi="ar-SA"/>
        </w:rPr>
        <w:t xml:space="preserve"> – wzrost z 643.879 zł do 1.136.420 zł, czyli </w:t>
      </w:r>
      <w:r>
        <w:rPr>
          <w:color w:val="000000"/>
          <w:szCs w:val="20"/>
          <w:shd w:val="clear" w:color="auto" w:fill="FFFFFF"/>
        </w:rPr>
        <w:br/>
      </w:r>
      <w:r>
        <w:rPr>
          <w:color w:val="000000"/>
          <w:szCs w:val="20"/>
          <w:shd w:val="clear" w:color="auto" w:fill="FFFFFF"/>
          <w:lang w:eastAsia="en-US" w:bidi="ar-SA"/>
        </w:rPr>
        <w:t>o 492.542 zł;</w:t>
      </w:r>
    </w:p>
    <w:p w:rsidR="00A9251F" w:rsidRDefault="00A93ACE">
      <w:pPr>
        <w:spacing w:line="276" w:lineRule="auto"/>
        <w:ind w:left="283" w:hanging="283"/>
        <w:jc w:val="both"/>
        <w:rPr>
          <w:color w:val="000000"/>
          <w:szCs w:val="20"/>
          <w:shd w:val="clear" w:color="auto" w:fill="FFFFFF"/>
          <w:lang w:eastAsia="en-US" w:bidi="ar-SA"/>
        </w:rPr>
      </w:pPr>
      <w:r>
        <w:rPr>
          <w:b/>
          <w:color w:val="000000"/>
          <w:szCs w:val="20"/>
          <w:shd w:val="clear" w:color="auto" w:fill="FFFFFF"/>
        </w:rPr>
        <w:t>4) </w:t>
      </w:r>
      <w:r>
        <w:rPr>
          <w:b/>
          <w:color w:val="000000"/>
          <w:szCs w:val="20"/>
          <w:shd w:val="clear" w:color="auto" w:fill="FFFFFF"/>
          <w:lang w:eastAsia="en-US" w:bidi="ar-SA"/>
        </w:rPr>
        <w:t>ubezpieczenia społeczne i inne świadczenia</w:t>
      </w:r>
      <w:r>
        <w:rPr>
          <w:color w:val="000000"/>
          <w:szCs w:val="20"/>
          <w:shd w:val="clear" w:color="auto" w:fill="FFFFFF"/>
          <w:lang w:eastAsia="en-US" w:bidi="ar-SA"/>
        </w:rPr>
        <w:t xml:space="preserve"> – spadek z 2.246.673 zł do 2.118.184 zł, czyli o 128.489 zł.</w:t>
      </w:r>
    </w:p>
    <w:p w:rsidR="00A9251F" w:rsidRDefault="00A93ACE">
      <w:pPr>
        <w:spacing w:before="240" w:after="200" w:line="276" w:lineRule="auto"/>
        <w:jc w:val="both"/>
        <w:rPr>
          <w:color w:val="000000"/>
          <w:szCs w:val="20"/>
          <w:shd w:val="clear" w:color="auto" w:fill="FFFFFF"/>
          <w:lang w:eastAsia="en-US" w:bidi="ar-SA"/>
        </w:rPr>
      </w:pPr>
      <w:r>
        <w:rPr>
          <w:color w:val="000000"/>
          <w:szCs w:val="20"/>
          <w:shd w:val="clear" w:color="auto" w:fill="FFFFFF"/>
          <w:lang w:eastAsia="en-US" w:bidi="ar-SA"/>
        </w:rPr>
        <w:t>Osiągnięte przez podmiot wartości</w:t>
      </w:r>
      <w:r>
        <w:rPr>
          <w:color w:val="000000"/>
          <w:szCs w:val="20"/>
          <w:shd w:val="clear" w:color="auto" w:fill="FFFFFF"/>
          <w:lang w:eastAsia="en-US" w:bidi="ar-SA"/>
        </w:rPr>
        <w:t xml:space="preserve"> w zakresie </w:t>
      </w:r>
      <w:r>
        <w:rPr>
          <w:b/>
          <w:color w:val="000000"/>
          <w:szCs w:val="20"/>
          <w:shd w:val="clear" w:color="auto" w:fill="FFFFFF"/>
          <w:lang w:eastAsia="en-US" w:bidi="ar-SA"/>
        </w:rPr>
        <w:t xml:space="preserve">wskaźników płynności </w:t>
      </w:r>
      <w:r>
        <w:rPr>
          <w:color w:val="000000"/>
          <w:szCs w:val="20"/>
          <w:shd w:val="clear" w:color="auto" w:fill="FFFFFF"/>
          <w:lang w:eastAsia="en-US" w:bidi="ar-SA"/>
        </w:rPr>
        <w:t xml:space="preserve">wskazują na dobrą sytuację finansową – maksymalna uzyskana pula punktów (25). W ramach </w:t>
      </w:r>
      <w:r>
        <w:rPr>
          <w:b/>
          <w:color w:val="000000"/>
          <w:szCs w:val="20"/>
          <w:shd w:val="clear" w:color="auto" w:fill="FFFFFF"/>
          <w:lang w:eastAsia="en-US" w:bidi="ar-SA"/>
        </w:rPr>
        <w:t>bieżącej płynności</w:t>
      </w:r>
      <w:r>
        <w:rPr>
          <w:color w:val="000000"/>
          <w:szCs w:val="20"/>
          <w:shd w:val="clear" w:color="auto" w:fill="FFFFFF"/>
          <w:lang w:eastAsia="en-US" w:bidi="ar-SA"/>
        </w:rPr>
        <w:t xml:space="preserve"> osiągnął wartość 2,33 (optymalny zakres wartości: 1,5-2,0), a w przypadku </w:t>
      </w:r>
      <w:r>
        <w:rPr>
          <w:b/>
          <w:color w:val="000000"/>
          <w:szCs w:val="20"/>
          <w:shd w:val="clear" w:color="auto" w:fill="FFFFFF"/>
          <w:lang w:eastAsia="en-US" w:bidi="ar-SA"/>
        </w:rPr>
        <w:t>płynności szybkiej</w:t>
      </w:r>
      <w:r>
        <w:rPr>
          <w:color w:val="000000"/>
          <w:szCs w:val="20"/>
          <w:shd w:val="clear" w:color="auto" w:fill="FFFFFF"/>
          <w:lang w:eastAsia="en-US" w:bidi="ar-SA"/>
        </w:rPr>
        <w:t xml:space="preserve"> 2,29 (optymalnie: 1 lub </w:t>
      </w:r>
      <w:r>
        <w:rPr>
          <w:color w:val="000000"/>
          <w:szCs w:val="20"/>
          <w:shd w:val="clear" w:color="auto" w:fill="FFFFFF"/>
          <w:lang w:eastAsia="en-US" w:bidi="ar-SA"/>
        </w:rPr>
        <w:t xml:space="preserve">więcej). Oznacza to, że podmiot ma zdolność </w:t>
      </w:r>
      <w:r>
        <w:rPr>
          <w:color w:val="000000"/>
          <w:szCs w:val="20"/>
          <w:shd w:val="clear" w:color="auto" w:fill="FFFFFF"/>
        </w:rPr>
        <w:br/>
      </w:r>
      <w:r>
        <w:rPr>
          <w:color w:val="000000"/>
          <w:szCs w:val="20"/>
          <w:shd w:val="clear" w:color="auto" w:fill="FFFFFF"/>
          <w:lang w:eastAsia="en-US" w:bidi="ar-SA"/>
        </w:rPr>
        <w:t>do prowadzenia inwestycji z własnych środków, a także nie występują problemy z bieżącą spłatą zobowiązań.</w:t>
      </w:r>
    </w:p>
    <w:p w:rsidR="00A9251F" w:rsidRDefault="00A93ACE">
      <w:pPr>
        <w:spacing w:after="200" w:line="276" w:lineRule="auto"/>
        <w:jc w:val="both"/>
        <w:rPr>
          <w:color w:val="000000"/>
          <w:szCs w:val="20"/>
          <w:shd w:val="clear" w:color="auto" w:fill="FFFFFF"/>
          <w:lang w:eastAsia="en-US" w:bidi="ar-SA"/>
        </w:rPr>
      </w:pPr>
      <w:r>
        <w:rPr>
          <w:color w:val="000000"/>
          <w:szCs w:val="20"/>
          <w:shd w:val="clear" w:color="auto" w:fill="FFFFFF"/>
          <w:lang w:eastAsia="en-US" w:bidi="ar-SA"/>
        </w:rPr>
        <w:t xml:space="preserve">W ramach </w:t>
      </w:r>
      <w:r>
        <w:rPr>
          <w:b/>
          <w:color w:val="000000"/>
          <w:szCs w:val="20"/>
          <w:shd w:val="clear" w:color="auto" w:fill="FFFFFF"/>
          <w:lang w:eastAsia="en-US" w:bidi="ar-SA"/>
        </w:rPr>
        <w:t>wskaźników efektywności</w:t>
      </w:r>
      <w:r>
        <w:rPr>
          <w:color w:val="000000"/>
          <w:szCs w:val="20"/>
          <w:shd w:val="clear" w:color="auto" w:fill="FFFFFF"/>
          <w:lang w:eastAsia="en-US" w:bidi="ar-SA"/>
        </w:rPr>
        <w:t xml:space="preserve">, podmiot w 2021 roku średnio potrzebował 14 dni </w:t>
      </w:r>
      <w:r>
        <w:rPr>
          <w:color w:val="000000"/>
          <w:szCs w:val="20"/>
          <w:shd w:val="clear" w:color="auto" w:fill="FFFFFF"/>
          <w:lang w:eastAsia="en-US" w:bidi="ar-SA"/>
        </w:rPr>
        <w:br/>
        <w:t>na uregulowanie zobowią</w:t>
      </w:r>
      <w:r>
        <w:rPr>
          <w:color w:val="000000"/>
          <w:szCs w:val="20"/>
          <w:shd w:val="clear" w:color="auto" w:fill="FFFFFF"/>
          <w:lang w:eastAsia="en-US" w:bidi="ar-SA"/>
        </w:rPr>
        <w:t>zań z tytułu dostaw towarów i usług (</w:t>
      </w:r>
      <w:r>
        <w:rPr>
          <w:b/>
          <w:color w:val="000000"/>
          <w:szCs w:val="20"/>
          <w:shd w:val="clear" w:color="auto" w:fill="FFFFFF"/>
          <w:lang w:eastAsia="en-US" w:bidi="ar-SA"/>
        </w:rPr>
        <w:t>wskaźnik rotacji zobowiązań</w:t>
      </w:r>
      <w:r>
        <w:rPr>
          <w:color w:val="000000"/>
          <w:szCs w:val="20"/>
          <w:shd w:val="clear" w:color="auto" w:fill="FFFFFF"/>
          <w:lang w:eastAsia="en-US" w:bidi="ar-SA"/>
        </w:rPr>
        <w:t>) oraz 32 dni na otrzymanie swoich należności (</w:t>
      </w:r>
      <w:r>
        <w:rPr>
          <w:b/>
          <w:color w:val="000000"/>
          <w:szCs w:val="20"/>
          <w:shd w:val="clear" w:color="auto" w:fill="FFFFFF"/>
          <w:lang w:eastAsia="en-US" w:bidi="ar-SA"/>
        </w:rPr>
        <w:t>wskaźnik rotacji należności</w:t>
      </w:r>
      <w:r>
        <w:rPr>
          <w:color w:val="000000"/>
          <w:szCs w:val="20"/>
          <w:shd w:val="clear" w:color="auto" w:fill="FFFFFF"/>
          <w:lang w:eastAsia="en-US" w:bidi="ar-SA"/>
        </w:rPr>
        <w:t>) – uzyskano maksymalna liczbę punktów (10).</w:t>
      </w:r>
    </w:p>
    <w:p w:rsidR="00A9251F" w:rsidRDefault="00A93ACE">
      <w:pPr>
        <w:spacing w:after="200" w:line="276" w:lineRule="auto"/>
        <w:jc w:val="both"/>
        <w:rPr>
          <w:color w:val="000000"/>
          <w:szCs w:val="20"/>
          <w:shd w:val="clear" w:color="auto" w:fill="FFFFFF"/>
          <w:lang w:eastAsia="en-US" w:bidi="ar-SA"/>
        </w:rPr>
      </w:pPr>
      <w:r>
        <w:rPr>
          <w:color w:val="000000"/>
          <w:szCs w:val="20"/>
          <w:shd w:val="clear" w:color="auto" w:fill="FFFFFF"/>
          <w:lang w:eastAsia="en-US" w:bidi="ar-SA"/>
        </w:rPr>
        <w:t xml:space="preserve">W 2021 roku </w:t>
      </w:r>
      <w:r>
        <w:rPr>
          <w:b/>
          <w:color w:val="000000"/>
          <w:szCs w:val="20"/>
          <w:shd w:val="clear" w:color="auto" w:fill="FFFFFF"/>
          <w:lang w:eastAsia="en-US" w:bidi="ar-SA"/>
        </w:rPr>
        <w:t>wskaźnik zadłużenia</w:t>
      </w:r>
      <w:r>
        <w:rPr>
          <w:color w:val="000000"/>
          <w:szCs w:val="20"/>
          <w:shd w:val="clear" w:color="auto" w:fill="FFFFFF"/>
          <w:lang w:eastAsia="en-US" w:bidi="ar-SA"/>
        </w:rPr>
        <w:t xml:space="preserve"> aktywów jednostki wyniósł 12%, a </w:t>
      </w:r>
      <w:r>
        <w:rPr>
          <w:b/>
          <w:color w:val="000000"/>
          <w:szCs w:val="20"/>
          <w:shd w:val="clear" w:color="auto" w:fill="FFFFFF"/>
          <w:lang w:eastAsia="en-US" w:bidi="ar-SA"/>
        </w:rPr>
        <w:t>współczy</w:t>
      </w:r>
      <w:r>
        <w:rPr>
          <w:b/>
          <w:color w:val="000000"/>
          <w:szCs w:val="20"/>
          <w:shd w:val="clear" w:color="auto" w:fill="FFFFFF"/>
          <w:lang w:eastAsia="en-US" w:bidi="ar-SA"/>
        </w:rPr>
        <w:t>nnik wypłacalności</w:t>
      </w:r>
      <w:r>
        <w:rPr>
          <w:color w:val="000000"/>
          <w:szCs w:val="20"/>
          <w:shd w:val="clear" w:color="auto" w:fill="FFFFFF"/>
          <w:lang w:eastAsia="en-US" w:bidi="ar-SA"/>
        </w:rPr>
        <w:t xml:space="preserve"> 0,2 – uzyskano maksymalna liczbę punktów (20). Jednostka nie wykazuje problemów z terminowym regulowaniem swoich zobowiązań.</w:t>
      </w:r>
    </w:p>
    <w:p w:rsidR="00A9251F" w:rsidRDefault="00A93ACE">
      <w:pPr>
        <w:spacing w:after="200" w:line="276" w:lineRule="auto"/>
        <w:jc w:val="both"/>
        <w:rPr>
          <w:color w:val="000000"/>
          <w:szCs w:val="20"/>
          <w:shd w:val="clear" w:color="auto" w:fill="FFFFFF"/>
          <w:lang w:eastAsia="en-US" w:bidi="ar-SA"/>
        </w:rPr>
      </w:pPr>
      <w:r>
        <w:rPr>
          <w:color w:val="000000"/>
          <w:szCs w:val="20"/>
          <w:shd w:val="clear" w:color="auto" w:fill="FFFFFF"/>
          <w:lang w:eastAsia="en-US" w:bidi="ar-SA"/>
        </w:rPr>
        <w:t xml:space="preserve">Na podstawie wyliczonych wskaźników za 2021 rok MCM „Polesie” w Łodzi uzyskało łącznie 70 </w:t>
      </w:r>
      <w:proofErr w:type="spellStart"/>
      <w:r>
        <w:rPr>
          <w:color w:val="000000"/>
          <w:szCs w:val="20"/>
          <w:shd w:val="clear" w:color="auto" w:fill="FFFFFF"/>
          <w:lang w:eastAsia="en-US" w:bidi="ar-SA"/>
        </w:rPr>
        <w:t>pkt</w:t>
      </w:r>
      <w:proofErr w:type="spellEnd"/>
      <w:r>
        <w:rPr>
          <w:color w:val="000000"/>
          <w:szCs w:val="20"/>
          <w:shd w:val="clear" w:color="auto" w:fill="FFFFFF"/>
          <w:lang w:eastAsia="en-US" w:bidi="ar-SA"/>
        </w:rPr>
        <w:t xml:space="preserve"> (100% możliwych do</w:t>
      </w:r>
      <w:r>
        <w:rPr>
          <w:color w:val="000000"/>
          <w:szCs w:val="20"/>
          <w:shd w:val="clear" w:color="auto" w:fill="FFFFFF"/>
          <w:lang w:eastAsia="en-US" w:bidi="ar-SA"/>
        </w:rPr>
        <w:t xml:space="preserve"> uzyskania) - w 2020 rok było to 55 p</w:t>
      </w:r>
      <w:r>
        <w:rPr>
          <w:color w:val="000000"/>
          <w:szCs w:val="20"/>
          <w:shd w:val="clear" w:color="auto" w:fill="FFFFFF"/>
        </w:rPr>
        <w:t>kt.</w:t>
      </w:r>
    </w:p>
    <w:p w:rsidR="00A9251F" w:rsidRDefault="00A93ACE">
      <w:pPr>
        <w:keepNext/>
        <w:spacing w:after="60"/>
        <w:jc w:val="left"/>
        <w:outlineLvl w:val="0"/>
        <w:rPr>
          <w:b/>
          <w:szCs w:val="20"/>
          <w:lang w:eastAsia="en-US" w:bidi="ar-SA"/>
        </w:rPr>
      </w:pPr>
      <w:r>
        <w:rPr>
          <w:b/>
          <w:szCs w:val="20"/>
          <w:lang w:eastAsia="en-US" w:bidi="ar-SA"/>
        </w:rPr>
        <w:t>Wskaźniki MCM „Polesie” w Łodzi – prognoza na lata 2022-2024</w:t>
      </w:r>
    </w:p>
    <w:tbl>
      <w:tblPr>
        <w:tblW w:w="9713" w:type="dxa"/>
        <w:jc w:val="center"/>
        <w:tblInd w:w="-650" w:type="dxa"/>
        <w:tblCellMar>
          <w:left w:w="70" w:type="dxa"/>
          <w:right w:w="70" w:type="dxa"/>
        </w:tblCellMar>
        <w:tblLook w:val="04A0"/>
      </w:tblPr>
      <w:tblGrid>
        <w:gridCol w:w="1962"/>
        <w:gridCol w:w="1589"/>
        <w:gridCol w:w="1082"/>
        <w:gridCol w:w="972"/>
        <w:gridCol w:w="1082"/>
        <w:gridCol w:w="972"/>
        <w:gridCol w:w="1082"/>
        <w:gridCol w:w="972"/>
      </w:tblGrid>
      <w:tr w:rsidR="00A9251F">
        <w:trPr>
          <w:trHeight w:val="182"/>
          <w:jc w:val="center"/>
        </w:trPr>
        <w:tc>
          <w:tcPr>
            <w:tcW w:w="1962" w:type="dxa"/>
            <w:vMerge w:val="restart"/>
            <w:tcBorders>
              <w:top w:val="single" w:sz="8" w:space="0" w:color="000000"/>
              <w:left w:val="single" w:sz="8" w:space="0" w:color="000000"/>
              <w:bottom w:val="single" w:sz="8" w:space="0" w:color="000000"/>
              <w:right w:val="single" w:sz="8" w:space="0" w:color="000000"/>
            </w:tcBorders>
            <w:shd w:val="clear" w:color="auto" w:fill="FFFF99"/>
            <w:noWrap/>
            <w:vAlign w:val="center"/>
          </w:tcPr>
          <w:p w:rsidR="00A9251F" w:rsidRDefault="00A93ACE">
            <w:pPr>
              <w:rPr>
                <w:b/>
                <w:color w:val="000000"/>
                <w:sz w:val="22"/>
                <w:szCs w:val="20"/>
                <w:shd w:val="clear" w:color="auto" w:fill="FFFFFF"/>
                <w:lang w:eastAsia="en-US" w:bidi="ar-SA"/>
              </w:rPr>
            </w:pPr>
            <w:r>
              <w:rPr>
                <w:b/>
                <w:color w:val="000000"/>
                <w:sz w:val="22"/>
                <w:szCs w:val="20"/>
                <w:shd w:val="clear" w:color="auto" w:fill="FFFFFF"/>
                <w:lang w:eastAsia="en-US" w:bidi="ar-SA"/>
              </w:rPr>
              <w:t>Grupa</w:t>
            </w:r>
          </w:p>
        </w:tc>
        <w:tc>
          <w:tcPr>
            <w:tcW w:w="1589" w:type="dxa"/>
            <w:vMerge w:val="restart"/>
            <w:tcBorders>
              <w:top w:val="single" w:sz="8" w:space="0" w:color="000000"/>
              <w:left w:val="single" w:sz="8" w:space="0" w:color="000000"/>
              <w:bottom w:val="single" w:sz="8" w:space="0" w:color="000000"/>
              <w:right w:val="nil"/>
            </w:tcBorders>
            <w:shd w:val="clear" w:color="auto" w:fill="FFFF99"/>
            <w:vAlign w:val="center"/>
          </w:tcPr>
          <w:p w:rsidR="00A9251F" w:rsidRDefault="00A93ACE">
            <w:pPr>
              <w:rPr>
                <w:b/>
                <w:color w:val="000000"/>
                <w:sz w:val="22"/>
                <w:szCs w:val="20"/>
                <w:shd w:val="clear" w:color="auto" w:fill="FFFFFF"/>
                <w:lang w:eastAsia="en-US" w:bidi="ar-SA"/>
              </w:rPr>
            </w:pPr>
            <w:r>
              <w:rPr>
                <w:b/>
                <w:color w:val="000000"/>
                <w:sz w:val="22"/>
                <w:szCs w:val="20"/>
                <w:shd w:val="clear" w:color="auto" w:fill="FFFFFF"/>
                <w:lang w:eastAsia="en-US" w:bidi="ar-SA"/>
              </w:rPr>
              <w:t>Wskaźniki</w:t>
            </w:r>
          </w:p>
        </w:tc>
        <w:tc>
          <w:tcPr>
            <w:tcW w:w="2054" w:type="dxa"/>
            <w:gridSpan w:val="2"/>
            <w:tcBorders>
              <w:top w:val="single" w:sz="8" w:space="0" w:color="000000"/>
              <w:left w:val="single" w:sz="8" w:space="0" w:color="000000"/>
              <w:bottom w:val="single" w:sz="4" w:space="0" w:color="000000"/>
              <w:right w:val="single" w:sz="8" w:space="0" w:color="000000"/>
            </w:tcBorders>
            <w:shd w:val="clear" w:color="auto" w:fill="FFFF99"/>
            <w:vAlign w:val="center"/>
          </w:tcPr>
          <w:p w:rsidR="00A9251F" w:rsidRDefault="00A93ACE">
            <w:pPr>
              <w:rPr>
                <w:b/>
                <w:color w:val="000000"/>
                <w:sz w:val="22"/>
                <w:szCs w:val="20"/>
                <w:shd w:val="clear" w:color="auto" w:fill="FFFFFF"/>
                <w:lang w:eastAsia="en-US" w:bidi="ar-SA"/>
              </w:rPr>
            </w:pPr>
            <w:r>
              <w:rPr>
                <w:b/>
                <w:color w:val="000000"/>
                <w:sz w:val="22"/>
                <w:szCs w:val="20"/>
                <w:shd w:val="clear" w:color="auto" w:fill="FFFFFF"/>
                <w:lang w:eastAsia="en-US" w:bidi="ar-SA"/>
              </w:rPr>
              <w:t>2022</w:t>
            </w:r>
          </w:p>
        </w:tc>
        <w:tc>
          <w:tcPr>
            <w:tcW w:w="2054" w:type="dxa"/>
            <w:gridSpan w:val="2"/>
            <w:tcBorders>
              <w:top w:val="single" w:sz="8" w:space="0" w:color="000000"/>
              <w:left w:val="nil"/>
              <w:bottom w:val="single" w:sz="4" w:space="0" w:color="000000"/>
              <w:right w:val="nil"/>
            </w:tcBorders>
            <w:shd w:val="clear" w:color="auto" w:fill="FFFF99"/>
            <w:vAlign w:val="center"/>
          </w:tcPr>
          <w:p w:rsidR="00A9251F" w:rsidRDefault="00A93ACE">
            <w:pPr>
              <w:rPr>
                <w:b/>
                <w:color w:val="000000"/>
                <w:sz w:val="22"/>
                <w:szCs w:val="20"/>
                <w:shd w:val="clear" w:color="auto" w:fill="FFFFFF"/>
                <w:lang w:eastAsia="en-US" w:bidi="ar-SA"/>
              </w:rPr>
            </w:pPr>
            <w:r>
              <w:rPr>
                <w:b/>
                <w:color w:val="000000"/>
                <w:sz w:val="22"/>
                <w:szCs w:val="20"/>
                <w:shd w:val="clear" w:color="auto" w:fill="FFFFFF"/>
                <w:lang w:eastAsia="en-US" w:bidi="ar-SA"/>
              </w:rPr>
              <w:t>2023</w:t>
            </w:r>
          </w:p>
        </w:tc>
        <w:tc>
          <w:tcPr>
            <w:tcW w:w="2054" w:type="dxa"/>
            <w:gridSpan w:val="2"/>
            <w:tcBorders>
              <w:top w:val="single" w:sz="8" w:space="0" w:color="000000"/>
              <w:left w:val="single" w:sz="8" w:space="0" w:color="000000"/>
              <w:bottom w:val="single" w:sz="4" w:space="0" w:color="000000"/>
              <w:right w:val="single" w:sz="8" w:space="0" w:color="000000"/>
            </w:tcBorders>
            <w:shd w:val="clear" w:color="auto" w:fill="FFFF99"/>
            <w:vAlign w:val="center"/>
          </w:tcPr>
          <w:p w:rsidR="00A9251F" w:rsidRDefault="00A93ACE">
            <w:pPr>
              <w:rPr>
                <w:b/>
                <w:color w:val="000000"/>
                <w:sz w:val="22"/>
                <w:szCs w:val="20"/>
                <w:shd w:val="clear" w:color="auto" w:fill="FFFFFF"/>
                <w:lang w:eastAsia="en-US" w:bidi="ar-SA"/>
              </w:rPr>
            </w:pPr>
            <w:r>
              <w:rPr>
                <w:b/>
                <w:color w:val="000000"/>
                <w:sz w:val="22"/>
                <w:szCs w:val="20"/>
                <w:shd w:val="clear" w:color="auto" w:fill="FFFFFF"/>
                <w:lang w:eastAsia="en-US" w:bidi="ar-SA"/>
              </w:rPr>
              <w:t>2024</w:t>
            </w:r>
          </w:p>
        </w:tc>
      </w:tr>
      <w:tr w:rsidR="00A9251F">
        <w:trPr>
          <w:trHeight w:val="320"/>
          <w:jc w:val="center"/>
        </w:trPr>
        <w:tc>
          <w:tcPr>
            <w:tcW w:w="1962" w:type="dxa"/>
            <w:vMerge/>
            <w:tcBorders>
              <w:top w:val="single" w:sz="8" w:space="0" w:color="000000"/>
              <w:left w:val="single" w:sz="8" w:space="0" w:color="000000"/>
              <w:bottom w:val="single" w:sz="8" w:space="0" w:color="000000"/>
              <w:right w:val="single" w:sz="8" w:space="0" w:color="000000"/>
            </w:tcBorders>
            <w:vAlign w:val="center"/>
          </w:tcPr>
          <w:p w:rsidR="00A9251F" w:rsidRDefault="00A9251F">
            <w:pPr>
              <w:jc w:val="left"/>
              <w:rPr>
                <w:b/>
                <w:color w:val="000000"/>
                <w:sz w:val="22"/>
                <w:szCs w:val="20"/>
                <w:shd w:val="clear" w:color="auto" w:fill="FFFFFF"/>
                <w:lang w:eastAsia="en-US" w:bidi="ar-SA"/>
              </w:rPr>
            </w:pPr>
          </w:p>
        </w:tc>
        <w:tc>
          <w:tcPr>
            <w:tcW w:w="1589" w:type="dxa"/>
            <w:vMerge/>
            <w:tcBorders>
              <w:top w:val="single" w:sz="8" w:space="0" w:color="000000"/>
              <w:left w:val="single" w:sz="8" w:space="0" w:color="000000"/>
              <w:bottom w:val="single" w:sz="8" w:space="0" w:color="000000"/>
              <w:right w:val="nil"/>
            </w:tcBorders>
            <w:vAlign w:val="center"/>
          </w:tcPr>
          <w:p w:rsidR="00A9251F" w:rsidRDefault="00A9251F">
            <w:pPr>
              <w:jc w:val="left"/>
              <w:rPr>
                <w:b/>
                <w:color w:val="000000"/>
                <w:sz w:val="22"/>
                <w:szCs w:val="20"/>
                <w:shd w:val="clear" w:color="auto" w:fill="FFFFFF"/>
                <w:lang w:eastAsia="en-US" w:bidi="ar-SA"/>
              </w:rPr>
            </w:pPr>
          </w:p>
        </w:tc>
        <w:tc>
          <w:tcPr>
            <w:tcW w:w="1082" w:type="dxa"/>
            <w:tcBorders>
              <w:top w:val="nil"/>
              <w:left w:val="single" w:sz="8" w:space="0" w:color="000000"/>
              <w:bottom w:val="single" w:sz="8" w:space="0" w:color="000000"/>
              <w:right w:val="single" w:sz="4" w:space="0" w:color="000000"/>
            </w:tcBorders>
            <w:shd w:val="clear" w:color="auto" w:fill="FFFF99"/>
            <w:vAlign w:val="center"/>
          </w:tcPr>
          <w:p w:rsidR="00A9251F" w:rsidRDefault="00A93ACE">
            <w:pPr>
              <w:rPr>
                <w:b/>
                <w:color w:val="000000"/>
                <w:sz w:val="22"/>
                <w:szCs w:val="20"/>
                <w:shd w:val="clear" w:color="auto" w:fill="FFFFFF"/>
                <w:lang w:eastAsia="en-US" w:bidi="ar-SA"/>
              </w:rPr>
            </w:pPr>
            <w:r>
              <w:rPr>
                <w:b/>
                <w:color w:val="000000"/>
                <w:sz w:val="22"/>
                <w:szCs w:val="20"/>
                <w:shd w:val="clear" w:color="auto" w:fill="FFFFFF"/>
                <w:lang w:eastAsia="en-US" w:bidi="ar-SA"/>
              </w:rPr>
              <w:t>Wskaźnik</w:t>
            </w:r>
          </w:p>
        </w:tc>
        <w:tc>
          <w:tcPr>
            <w:tcW w:w="972" w:type="dxa"/>
            <w:tcBorders>
              <w:top w:val="nil"/>
              <w:left w:val="nil"/>
              <w:bottom w:val="single" w:sz="8" w:space="0" w:color="000000"/>
              <w:right w:val="single" w:sz="8" w:space="0" w:color="000000"/>
            </w:tcBorders>
            <w:shd w:val="clear" w:color="auto" w:fill="FFFF99"/>
            <w:vAlign w:val="center"/>
          </w:tcPr>
          <w:p w:rsidR="00A9251F" w:rsidRDefault="00A93ACE">
            <w:pPr>
              <w:rPr>
                <w:b/>
                <w:color w:val="000000"/>
                <w:sz w:val="22"/>
                <w:szCs w:val="20"/>
                <w:shd w:val="clear" w:color="auto" w:fill="FFFFFF"/>
                <w:lang w:eastAsia="en-US" w:bidi="ar-SA"/>
              </w:rPr>
            </w:pPr>
            <w:r>
              <w:rPr>
                <w:b/>
                <w:color w:val="000000"/>
                <w:sz w:val="22"/>
                <w:szCs w:val="20"/>
                <w:shd w:val="clear" w:color="auto" w:fill="FFFFFF"/>
                <w:lang w:eastAsia="en-US" w:bidi="ar-SA"/>
              </w:rPr>
              <w:t>Ilość punktów</w:t>
            </w:r>
          </w:p>
        </w:tc>
        <w:tc>
          <w:tcPr>
            <w:tcW w:w="1082" w:type="dxa"/>
            <w:tcBorders>
              <w:top w:val="nil"/>
              <w:left w:val="nil"/>
              <w:bottom w:val="single" w:sz="8" w:space="0" w:color="000000"/>
              <w:right w:val="single" w:sz="4" w:space="0" w:color="000000"/>
            </w:tcBorders>
            <w:shd w:val="clear" w:color="auto" w:fill="FFFF99"/>
            <w:vAlign w:val="center"/>
          </w:tcPr>
          <w:p w:rsidR="00A9251F" w:rsidRDefault="00A93ACE">
            <w:pPr>
              <w:rPr>
                <w:b/>
                <w:color w:val="000000"/>
                <w:sz w:val="22"/>
                <w:szCs w:val="20"/>
                <w:shd w:val="clear" w:color="auto" w:fill="FFFFFF"/>
                <w:lang w:eastAsia="en-US" w:bidi="ar-SA"/>
              </w:rPr>
            </w:pPr>
            <w:r>
              <w:rPr>
                <w:b/>
                <w:color w:val="000000"/>
                <w:sz w:val="22"/>
                <w:szCs w:val="20"/>
                <w:shd w:val="clear" w:color="auto" w:fill="FFFFFF"/>
                <w:lang w:eastAsia="en-US" w:bidi="ar-SA"/>
              </w:rPr>
              <w:t>Wskaźnik</w:t>
            </w:r>
          </w:p>
        </w:tc>
        <w:tc>
          <w:tcPr>
            <w:tcW w:w="972" w:type="dxa"/>
            <w:tcBorders>
              <w:top w:val="nil"/>
              <w:left w:val="nil"/>
              <w:bottom w:val="single" w:sz="8" w:space="0" w:color="000000"/>
              <w:right w:val="nil"/>
            </w:tcBorders>
            <w:shd w:val="clear" w:color="auto" w:fill="FFFF99"/>
            <w:vAlign w:val="center"/>
          </w:tcPr>
          <w:p w:rsidR="00A9251F" w:rsidRDefault="00A93ACE">
            <w:pPr>
              <w:rPr>
                <w:b/>
                <w:color w:val="000000"/>
                <w:sz w:val="22"/>
                <w:szCs w:val="20"/>
                <w:shd w:val="clear" w:color="auto" w:fill="FFFFFF"/>
                <w:lang w:eastAsia="en-US" w:bidi="ar-SA"/>
              </w:rPr>
            </w:pPr>
            <w:r>
              <w:rPr>
                <w:b/>
                <w:color w:val="000000"/>
                <w:sz w:val="22"/>
                <w:szCs w:val="20"/>
                <w:shd w:val="clear" w:color="auto" w:fill="FFFFFF"/>
                <w:lang w:eastAsia="en-US" w:bidi="ar-SA"/>
              </w:rPr>
              <w:t>Ilość punktów</w:t>
            </w:r>
          </w:p>
        </w:tc>
        <w:tc>
          <w:tcPr>
            <w:tcW w:w="1082" w:type="dxa"/>
            <w:tcBorders>
              <w:top w:val="nil"/>
              <w:left w:val="single" w:sz="8" w:space="0" w:color="000000"/>
              <w:bottom w:val="single" w:sz="8" w:space="0" w:color="000000"/>
              <w:right w:val="single" w:sz="4" w:space="0" w:color="000000"/>
            </w:tcBorders>
            <w:shd w:val="clear" w:color="auto" w:fill="FFFF99"/>
            <w:vAlign w:val="center"/>
          </w:tcPr>
          <w:p w:rsidR="00A9251F" w:rsidRDefault="00A93ACE">
            <w:pPr>
              <w:rPr>
                <w:b/>
                <w:color w:val="000000"/>
                <w:sz w:val="22"/>
                <w:szCs w:val="20"/>
                <w:shd w:val="clear" w:color="auto" w:fill="FFFFFF"/>
                <w:lang w:eastAsia="en-US" w:bidi="ar-SA"/>
              </w:rPr>
            </w:pPr>
            <w:r>
              <w:rPr>
                <w:b/>
                <w:color w:val="000000"/>
                <w:sz w:val="22"/>
                <w:szCs w:val="20"/>
                <w:shd w:val="clear" w:color="auto" w:fill="FFFFFF"/>
                <w:lang w:eastAsia="en-US" w:bidi="ar-SA"/>
              </w:rPr>
              <w:t>Wskaźnik</w:t>
            </w:r>
          </w:p>
        </w:tc>
        <w:tc>
          <w:tcPr>
            <w:tcW w:w="972" w:type="dxa"/>
            <w:tcBorders>
              <w:top w:val="nil"/>
              <w:left w:val="nil"/>
              <w:bottom w:val="single" w:sz="8" w:space="0" w:color="000000"/>
              <w:right w:val="single" w:sz="8" w:space="0" w:color="000000"/>
            </w:tcBorders>
            <w:shd w:val="clear" w:color="auto" w:fill="FFFF99"/>
            <w:vAlign w:val="center"/>
          </w:tcPr>
          <w:p w:rsidR="00A9251F" w:rsidRDefault="00A93ACE">
            <w:pPr>
              <w:rPr>
                <w:b/>
                <w:color w:val="000000"/>
                <w:sz w:val="22"/>
                <w:szCs w:val="20"/>
                <w:shd w:val="clear" w:color="auto" w:fill="FFFFFF"/>
                <w:lang w:eastAsia="en-US" w:bidi="ar-SA"/>
              </w:rPr>
            </w:pPr>
            <w:r>
              <w:rPr>
                <w:b/>
                <w:color w:val="000000"/>
                <w:sz w:val="22"/>
                <w:szCs w:val="20"/>
                <w:shd w:val="clear" w:color="auto" w:fill="FFFFFF"/>
                <w:lang w:eastAsia="en-US" w:bidi="ar-SA"/>
              </w:rPr>
              <w:t>Ilość punktów</w:t>
            </w:r>
          </w:p>
        </w:tc>
      </w:tr>
      <w:tr w:rsidR="00A9251F">
        <w:trPr>
          <w:trHeight w:val="223"/>
          <w:jc w:val="center"/>
        </w:trPr>
        <w:tc>
          <w:tcPr>
            <w:tcW w:w="1962" w:type="dxa"/>
            <w:vMerge w:val="restart"/>
            <w:tcBorders>
              <w:top w:val="nil"/>
              <w:left w:val="single" w:sz="8" w:space="0" w:color="000000"/>
              <w:bottom w:val="single" w:sz="8" w:space="0" w:color="000000"/>
              <w:right w:val="single" w:sz="8" w:space="0" w:color="000000"/>
            </w:tcBorders>
            <w:shd w:val="clear" w:color="auto" w:fill="CCFFCC"/>
            <w:vAlign w:val="center"/>
          </w:tcPr>
          <w:p w:rsidR="00A9251F" w:rsidRDefault="00A93ACE">
            <w:pPr>
              <w:rPr>
                <w:b/>
                <w:color w:val="000000"/>
                <w:sz w:val="22"/>
                <w:szCs w:val="20"/>
                <w:shd w:val="clear" w:color="auto" w:fill="FFFFFF"/>
                <w:lang w:eastAsia="en-US" w:bidi="ar-SA"/>
              </w:rPr>
            </w:pPr>
            <w:r>
              <w:rPr>
                <w:b/>
                <w:color w:val="000000"/>
                <w:sz w:val="22"/>
                <w:szCs w:val="20"/>
                <w:shd w:val="clear" w:color="auto" w:fill="FFFFFF"/>
                <w:lang w:eastAsia="en-US" w:bidi="ar-SA"/>
              </w:rPr>
              <w:t>WSKAŹNIKI ZYSKOWNOŚCI</w:t>
            </w:r>
          </w:p>
        </w:tc>
        <w:tc>
          <w:tcPr>
            <w:tcW w:w="1589" w:type="dxa"/>
            <w:tcBorders>
              <w:top w:val="nil"/>
              <w:left w:val="nil"/>
              <w:bottom w:val="single" w:sz="4" w:space="0" w:color="000000"/>
              <w:right w:val="single" w:sz="8" w:space="0" w:color="000000"/>
            </w:tcBorders>
            <w:vAlign w:val="center"/>
          </w:tcPr>
          <w:p w:rsidR="00A9251F" w:rsidRDefault="00A93ACE">
            <w:pPr>
              <w:jc w:val="left"/>
              <w:rPr>
                <w:color w:val="000000"/>
                <w:sz w:val="22"/>
                <w:szCs w:val="20"/>
                <w:shd w:val="clear" w:color="auto" w:fill="FFFFFF"/>
                <w:lang w:eastAsia="en-US" w:bidi="ar-SA"/>
              </w:rPr>
            </w:pPr>
            <w:r>
              <w:rPr>
                <w:color w:val="000000"/>
                <w:sz w:val="22"/>
                <w:szCs w:val="20"/>
                <w:shd w:val="clear" w:color="auto" w:fill="FFFFFF"/>
                <w:lang w:eastAsia="en-US" w:bidi="ar-SA"/>
              </w:rPr>
              <w:t xml:space="preserve">zyskowności  netto  (%)                                                           </w:t>
            </w:r>
          </w:p>
        </w:tc>
        <w:tc>
          <w:tcPr>
            <w:tcW w:w="1082" w:type="dxa"/>
            <w:tcBorders>
              <w:top w:val="nil"/>
              <w:left w:val="nil"/>
              <w:bottom w:val="single" w:sz="4" w:space="0" w:color="000000"/>
              <w:right w:val="single" w:sz="4" w:space="0" w:color="000000"/>
            </w:tcBorders>
            <w:noWrap/>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0,27%</w:t>
            </w:r>
          </w:p>
        </w:tc>
        <w:tc>
          <w:tcPr>
            <w:tcW w:w="972" w:type="dxa"/>
            <w:tcBorders>
              <w:top w:val="nil"/>
              <w:left w:val="nil"/>
              <w:bottom w:val="single" w:sz="4" w:space="0" w:color="000000"/>
              <w:right w:val="single" w:sz="8" w:space="0" w:color="000000"/>
            </w:tcBorders>
            <w:shd w:val="clear" w:color="auto" w:fill="FFFFFF"/>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3</w:t>
            </w:r>
          </w:p>
        </w:tc>
        <w:tc>
          <w:tcPr>
            <w:tcW w:w="1082" w:type="dxa"/>
            <w:tcBorders>
              <w:top w:val="nil"/>
              <w:left w:val="nil"/>
              <w:bottom w:val="single" w:sz="4" w:space="0" w:color="000000"/>
              <w:right w:val="single" w:sz="4" w:space="0" w:color="000000"/>
            </w:tcBorders>
            <w:noWrap/>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0,55%</w:t>
            </w:r>
          </w:p>
        </w:tc>
        <w:tc>
          <w:tcPr>
            <w:tcW w:w="972" w:type="dxa"/>
            <w:tcBorders>
              <w:top w:val="nil"/>
              <w:left w:val="nil"/>
              <w:bottom w:val="single" w:sz="4" w:space="0" w:color="000000"/>
              <w:right w:val="nil"/>
            </w:tcBorders>
            <w:shd w:val="clear" w:color="auto" w:fill="FFFFFF"/>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3</w:t>
            </w:r>
          </w:p>
        </w:tc>
        <w:tc>
          <w:tcPr>
            <w:tcW w:w="1082" w:type="dxa"/>
            <w:tcBorders>
              <w:top w:val="nil"/>
              <w:left w:val="single" w:sz="8" w:space="0" w:color="000000"/>
              <w:bottom w:val="single" w:sz="4" w:space="0" w:color="000000"/>
              <w:right w:val="single" w:sz="4" w:space="0" w:color="000000"/>
            </w:tcBorders>
            <w:noWrap/>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0,60%</w:t>
            </w:r>
          </w:p>
        </w:tc>
        <w:tc>
          <w:tcPr>
            <w:tcW w:w="972" w:type="dxa"/>
            <w:tcBorders>
              <w:top w:val="nil"/>
              <w:left w:val="nil"/>
              <w:bottom w:val="single" w:sz="4" w:space="0" w:color="000000"/>
              <w:right w:val="single" w:sz="8" w:space="0" w:color="000000"/>
            </w:tcBorders>
            <w:shd w:val="clear" w:color="auto" w:fill="FFFFFF"/>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3</w:t>
            </w:r>
          </w:p>
        </w:tc>
      </w:tr>
      <w:tr w:rsidR="00A9251F">
        <w:trPr>
          <w:trHeight w:val="689"/>
          <w:jc w:val="center"/>
        </w:trPr>
        <w:tc>
          <w:tcPr>
            <w:tcW w:w="1962" w:type="dxa"/>
            <w:vMerge/>
            <w:tcBorders>
              <w:top w:val="nil"/>
              <w:left w:val="single" w:sz="8" w:space="0" w:color="000000"/>
              <w:bottom w:val="single" w:sz="8" w:space="0" w:color="000000"/>
              <w:right w:val="single" w:sz="8" w:space="0" w:color="000000"/>
            </w:tcBorders>
            <w:vAlign w:val="center"/>
          </w:tcPr>
          <w:p w:rsidR="00A9251F" w:rsidRDefault="00A9251F">
            <w:pPr>
              <w:jc w:val="left"/>
              <w:rPr>
                <w:b/>
                <w:color w:val="000000"/>
                <w:sz w:val="22"/>
                <w:szCs w:val="20"/>
                <w:shd w:val="clear" w:color="auto" w:fill="FFFFFF"/>
                <w:lang w:eastAsia="en-US" w:bidi="ar-SA"/>
              </w:rPr>
            </w:pPr>
          </w:p>
        </w:tc>
        <w:tc>
          <w:tcPr>
            <w:tcW w:w="1589" w:type="dxa"/>
            <w:tcBorders>
              <w:top w:val="nil"/>
              <w:left w:val="nil"/>
              <w:bottom w:val="single" w:sz="4" w:space="0" w:color="000000"/>
              <w:right w:val="single" w:sz="8" w:space="0" w:color="000000"/>
            </w:tcBorders>
            <w:vAlign w:val="center"/>
          </w:tcPr>
          <w:p w:rsidR="00A9251F" w:rsidRDefault="00A93ACE">
            <w:pPr>
              <w:jc w:val="left"/>
              <w:rPr>
                <w:color w:val="000000"/>
                <w:sz w:val="22"/>
                <w:szCs w:val="20"/>
                <w:shd w:val="clear" w:color="auto" w:fill="FFFFFF"/>
                <w:lang w:eastAsia="en-US" w:bidi="ar-SA"/>
              </w:rPr>
            </w:pPr>
            <w:r>
              <w:rPr>
                <w:color w:val="000000"/>
                <w:sz w:val="22"/>
                <w:szCs w:val="20"/>
                <w:shd w:val="clear" w:color="auto" w:fill="FFFFFF"/>
                <w:lang w:eastAsia="en-US" w:bidi="ar-SA"/>
              </w:rPr>
              <w:t xml:space="preserve">zyskowności działalności operacyjnej (%)            </w:t>
            </w:r>
          </w:p>
        </w:tc>
        <w:tc>
          <w:tcPr>
            <w:tcW w:w="1082" w:type="dxa"/>
            <w:tcBorders>
              <w:top w:val="nil"/>
              <w:left w:val="nil"/>
              <w:bottom w:val="single" w:sz="4" w:space="0" w:color="000000"/>
              <w:right w:val="single" w:sz="4" w:space="0" w:color="000000"/>
            </w:tcBorders>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0,28%</w:t>
            </w:r>
          </w:p>
        </w:tc>
        <w:tc>
          <w:tcPr>
            <w:tcW w:w="972" w:type="dxa"/>
            <w:tcBorders>
              <w:top w:val="nil"/>
              <w:left w:val="nil"/>
              <w:bottom w:val="single" w:sz="4" w:space="0" w:color="000000"/>
              <w:right w:val="single" w:sz="8" w:space="0" w:color="000000"/>
            </w:tcBorders>
            <w:shd w:val="clear" w:color="auto" w:fill="FFFFFF"/>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3</w:t>
            </w:r>
          </w:p>
        </w:tc>
        <w:tc>
          <w:tcPr>
            <w:tcW w:w="1082" w:type="dxa"/>
            <w:tcBorders>
              <w:top w:val="nil"/>
              <w:left w:val="nil"/>
              <w:bottom w:val="single" w:sz="4" w:space="0" w:color="000000"/>
              <w:right w:val="single" w:sz="4" w:space="0" w:color="000000"/>
            </w:tcBorders>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0,58%</w:t>
            </w:r>
          </w:p>
        </w:tc>
        <w:tc>
          <w:tcPr>
            <w:tcW w:w="972" w:type="dxa"/>
            <w:tcBorders>
              <w:top w:val="nil"/>
              <w:left w:val="nil"/>
              <w:bottom w:val="single" w:sz="4" w:space="0" w:color="000000"/>
              <w:right w:val="nil"/>
            </w:tcBorders>
            <w:shd w:val="clear" w:color="auto" w:fill="FFFFFF"/>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3</w:t>
            </w:r>
          </w:p>
        </w:tc>
        <w:tc>
          <w:tcPr>
            <w:tcW w:w="1082" w:type="dxa"/>
            <w:tcBorders>
              <w:top w:val="nil"/>
              <w:left w:val="single" w:sz="8" w:space="0" w:color="000000"/>
              <w:bottom w:val="single" w:sz="4" w:space="0" w:color="000000"/>
              <w:right w:val="single" w:sz="4" w:space="0" w:color="000000"/>
            </w:tcBorders>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0,62%</w:t>
            </w:r>
          </w:p>
        </w:tc>
        <w:tc>
          <w:tcPr>
            <w:tcW w:w="972" w:type="dxa"/>
            <w:tcBorders>
              <w:top w:val="nil"/>
              <w:left w:val="nil"/>
              <w:bottom w:val="single" w:sz="4" w:space="0" w:color="000000"/>
              <w:right w:val="single" w:sz="8" w:space="0" w:color="000000"/>
            </w:tcBorders>
            <w:shd w:val="clear" w:color="auto" w:fill="FFFFFF"/>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3</w:t>
            </w:r>
          </w:p>
        </w:tc>
      </w:tr>
      <w:tr w:rsidR="00A9251F">
        <w:trPr>
          <w:trHeight w:val="276"/>
          <w:jc w:val="center"/>
        </w:trPr>
        <w:tc>
          <w:tcPr>
            <w:tcW w:w="1962" w:type="dxa"/>
            <w:vMerge/>
            <w:tcBorders>
              <w:top w:val="nil"/>
              <w:left w:val="single" w:sz="8" w:space="0" w:color="000000"/>
              <w:bottom w:val="single" w:sz="8" w:space="0" w:color="000000"/>
              <w:right w:val="single" w:sz="8" w:space="0" w:color="000000"/>
            </w:tcBorders>
            <w:vAlign w:val="center"/>
          </w:tcPr>
          <w:p w:rsidR="00A9251F" w:rsidRDefault="00A9251F">
            <w:pPr>
              <w:jc w:val="left"/>
              <w:rPr>
                <w:b/>
                <w:color w:val="000000"/>
                <w:sz w:val="22"/>
                <w:szCs w:val="20"/>
                <w:shd w:val="clear" w:color="auto" w:fill="FFFFFF"/>
                <w:lang w:eastAsia="en-US" w:bidi="ar-SA"/>
              </w:rPr>
            </w:pPr>
          </w:p>
        </w:tc>
        <w:tc>
          <w:tcPr>
            <w:tcW w:w="1589" w:type="dxa"/>
            <w:tcBorders>
              <w:top w:val="nil"/>
              <w:left w:val="nil"/>
              <w:bottom w:val="nil"/>
              <w:right w:val="single" w:sz="8" w:space="0" w:color="000000"/>
            </w:tcBorders>
            <w:vAlign w:val="center"/>
          </w:tcPr>
          <w:p w:rsidR="00A9251F" w:rsidRDefault="00A93ACE">
            <w:pPr>
              <w:jc w:val="left"/>
              <w:rPr>
                <w:color w:val="000000"/>
                <w:sz w:val="22"/>
                <w:szCs w:val="20"/>
                <w:shd w:val="clear" w:color="auto" w:fill="FFFFFF"/>
                <w:lang w:eastAsia="en-US" w:bidi="ar-SA"/>
              </w:rPr>
            </w:pPr>
            <w:r>
              <w:rPr>
                <w:color w:val="000000"/>
                <w:sz w:val="22"/>
                <w:szCs w:val="20"/>
                <w:shd w:val="clear" w:color="auto" w:fill="FFFFFF"/>
                <w:lang w:eastAsia="en-US" w:bidi="ar-SA"/>
              </w:rPr>
              <w:t>zyskowność aktywów (%)</w:t>
            </w:r>
          </w:p>
        </w:tc>
        <w:tc>
          <w:tcPr>
            <w:tcW w:w="1082" w:type="dxa"/>
            <w:tcBorders>
              <w:top w:val="nil"/>
              <w:left w:val="nil"/>
              <w:bottom w:val="nil"/>
              <w:right w:val="single" w:sz="4" w:space="0" w:color="000000"/>
            </w:tcBorders>
            <w:shd w:val="clear" w:color="auto" w:fill="FFFFFF"/>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0,23%</w:t>
            </w:r>
          </w:p>
        </w:tc>
        <w:tc>
          <w:tcPr>
            <w:tcW w:w="972" w:type="dxa"/>
            <w:tcBorders>
              <w:top w:val="nil"/>
              <w:left w:val="nil"/>
              <w:bottom w:val="single" w:sz="4" w:space="0" w:color="000000"/>
              <w:right w:val="single" w:sz="8" w:space="0" w:color="000000"/>
            </w:tcBorders>
            <w:shd w:val="clear" w:color="auto" w:fill="FFFFFF"/>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3</w:t>
            </w:r>
          </w:p>
        </w:tc>
        <w:tc>
          <w:tcPr>
            <w:tcW w:w="1082" w:type="dxa"/>
            <w:tcBorders>
              <w:top w:val="nil"/>
              <w:left w:val="nil"/>
              <w:bottom w:val="nil"/>
              <w:right w:val="single" w:sz="4" w:space="0" w:color="000000"/>
            </w:tcBorders>
            <w:shd w:val="clear" w:color="auto" w:fill="FFFFFF"/>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0,58%</w:t>
            </w:r>
          </w:p>
        </w:tc>
        <w:tc>
          <w:tcPr>
            <w:tcW w:w="972" w:type="dxa"/>
            <w:tcBorders>
              <w:top w:val="nil"/>
              <w:left w:val="nil"/>
              <w:bottom w:val="single" w:sz="4" w:space="0" w:color="000000"/>
              <w:right w:val="nil"/>
            </w:tcBorders>
            <w:shd w:val="clear" w:color="auto" w:fill="FFFFFF"/>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3</w:t>
            </w:r>
          </w:p>
        </w:tc>
        <w:tc>
          <w:tcPr>
            <w:tcW w:w="1082" w:type="dxa"/>
            <w:tcBorders>
              <w:top w:val="nil"/>
              <w:left w:val="single" w:sz="8" w:space="0" w:color="000000"/>
              <w:bottom w:val="single" w:sz="8" w:space="0" w:color="000000"/>
              <w:right w:val="single" w:sz="4" w:space="0" w:color="000000"/>
            </w:tcBorders>
            <w:shd w:val="clear" w:color="auto" w:fill="FFFFFF"/>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0,70%</w:t>
            </w:r>
          </w:p>
        </w:tc>
        <w:tc>
          <w:tcPr>
            <w:tcW w:w="972" w:type="dxa"/>
            <w:tcBorders>
              <w:top w:val="nil"/>
              <w:left w:val="nil"/>
              <w:bottom w:val="single" w:sz="8" w:space="0" w:color="000000"/>
              <w:right w:val="single" w:sz="8" w:space="0" w:color="000000"/>
            </w:tcBorders>
            <w:shd w:val="clear" w:color="auto" w:fill="FFFFFF"/>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3</w:t>
            </w:r>
          </w:p>
        </w:tc>
      </w:tr>
      <w:tr w:rsidR="00A9251F">
        <w:trPr>
          <w:trHeight w:val="273"/>
          <w:jc w:val="center"/>
        </w:trPr>
        <w:tc>
          <w:tcPr>
            <w:tcW w:w="3551"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A9251F" w:rsidRDefault="00A93ACE">
            <w:pPr>
              <w:jc w:val="left"/>
              <w:rPr>
                <w:b/>
                <w:color w:val="000000"/>
                <w:sz w:val="22"/>
                <w:szCs w:val="20"/>
                <w:shd w:val="clear" w:color="auto" w:fill="FFFFFF"/>
                <w:lang w:eastAsia="en-US" w:bidi="ar-SA"/>
              </w:rPr>
            </w:pPr>
            <w:r>
              <w:rPr>
                <w:b/>
                <w:color w:val="000000"/>
                <w:sz w:val="22"/>
                <w:szCs w:val="20"/>
                <w:shd w:val="clear" w:color="auto" w:fill="FFFFFF"/>
                <w:lang w:eastAsia="en-US" w:bidi="ar-SA"/>
              </w:rPr>
              <w:t xml:space="preserve"> Maksymalna ocena punktowa 15 </w:t>
            </w:r>
            <w:proofErr w:type="spellStart"/>
            <w:r>
              <w:rPr>
                <w:b/>
                <w:color w:val="000000"/>
                <w:sz w:val="22"/>
                <w:szCs w:val="20"/>
                <w:shd w:val="clear" w:color="auto" w:fill="FFFFFF"/>
                <w:lang w:eastAsia="en-US" w:bidi="ar-SA"/>
              </w:rPr>
              <w:t>pkt</w:t>
            </w:r>
            <w:proofErr w:type="spellEnd"/>
          </w:p>
        </w:tc>
        <w:tc>
          <w:tcPr>
            <w:tcW w:w="1082" w:type="dxa"/>
            <w:tcBorders>
              <w:top w:val="single" w:sz="8" w:space="0" w:color="000000"/>
              <w:left w:val="nil"/>
              <w:bottom w:val="single" w:sz="8" w:space="0" w:color="000000"/>
              <w:right w:val="nil"/>
            </w:tcBorders>
            <w:shd w:val="clear" w:color="auto" w:fill="CCFFCC"/>
            <w:vAlign w:val="center"/>
          </w:tcPr>
          <w:p w:rsidR="00A9251F" w:rsidRDefault="00A93ACE">
            <w:pPr>
              <w:jc w:val="left"/>
              <w:rPr>
                <w:b/>
                <w:color w:val="000000"/>
                <w:sz w:val="22"/>
                <w:szCs w:val="20"/>
                <w:shd w:val="clear" w:color="auto" w:fill="FFFFFF"/>
                <w:lang w:eastAsia="en-US" w:bidi="ar-SA"/>
              </w:rPr>
            </w:pPr>
            <w:r>
              <w:rPr>
                <w:b/>
                <w:color w:val="000000"/>
                <w:sz w:val="22"/>
                <w:szCs w:val="20"/>
                <w:shd w:val="clear" w:color="auto" w:fill="FFFFFF"/>
                <w:lang w:eastAsia="en-US" w:bidi="ar-SA"/>
              </w:rPr>
              <w:t>Razem</w:t>
            </w:r>
          </w:p>
        </w:tc>
        <w:tc>
          <w:tcPr>
            <w:tcW w:w="972" w:type="dxa"/>
            <w:tcBorders>
              <w:top w:val="single" w:sz="8" w:space="0" w:color="000000"/>
              <w:left w:val="nil"/>
              <w:bottom w:val="single" w:sz="8" w:space="0" w:color="000000"/>
              <w:right w:val="single" w:sz="8" w:space="0" w:color="000000"/>
            </w:tcBorders>
            <w:shd w:val="clear" w:color="auto" w:fill="CCFFCC"/>
            <w:vAlign w:val="center"/>
          </w:tcPr>
          <w:p w:rsidR="00A9251F" w:rsidRDefault="00A93ACE">
            <w:pPr>
              <w:rPr>
                <w:b/>
                <w:color w:val="000000"/>
                <w:sz w:val="22"/>
                <w:szCs w:val="20"/>
                <w:shd w:val="clear" w:color="auto" w:fill="FFFFFF"/>
                <w:lang w:eastAsia="en-US" w:bidi="ar-SA"/>
              </w:rPr>
            </w:pPr>
            <w:r>
              <w:rPr>
                <w:b/>
                <w:color w:val="000000"/>
                <w:sz w:val="22"/>
                <w:szCs w:val="20"/>
                <w:shd w:val="clear" w:color="auto" w:fill="FFFFFF"/>
                <w:lang w:eastAsia="en-US" w:bidi="ar-SA"/>
              </w:rPr>
              <w:t>9</w:t>
            </w:r>
          </w:p>
        </w:tc>
        <w:tc>
          <w:tcPr>
            <w:tcW w:w="1082" w:type="dxa"/>
            <w:tcBorders>
              <w:top w:val="single" w:sz="8" w:space="0" w:color="000000"/>
              <w:left w:val="nil"/>
              <w:bottom w:val="single" w:sz="8" w:space="0" w:color="000000"/>
              <w:right w:val="nil"/>
            </w:tcBorders>
            <w:shd w:val="clear" w:color="auto" w:fill="CCFFCC"/>
            <w:vAlign w:val="center"/>
          </w:tcPr>
          <w:p w:rsidR="00A9251F" w:rsidRDefault="00A9251F">
            <w:pPr>
              <w:jc w:val="left"/>
              <w:rPr>
                <w:b/>
                <w:color w:val="000000"/>
                <w:sz w:val="22"/>
                <w:szCs w:val="20"/>
                <w:shd w:val="clear" w:color="auto" w:fill="FFFFFF"/>
                <w:lang w:eastAsia="en-US" w:bidi="ar-SA"/>
              </w:rPr>
            </w:pPr>
          </w:p>
        </w:tc>
        <w:tc>
          <w:tcPr>
            <w:tcW w:w="972" w:type="dxa"/>
            <w:tcBorders>
              <w:top w:val="single" w:sz="8" w:space="0" w:color="000000"/>
              <w:left w:val="nil"/>
              <w:bottom w:val="single" w:sz="8" w:space="0" w:color="000000"/>
              <w:right w:val="single" w:sz="8" w:space="0" w:color="000000"/>
            </w:tcBorders>
            <w:shd w:val="clear" w:color="auto" w:fill="CCFFCC"/>
            <w:vAlign w:val="center"/>
          </w:tcPr>
          <w:p w:rsidR="00A9251F" w:rsidRDefault="00A93ACE">
            <w:pPr>
              <w:rPr>
                <w:b/>
                <w:color w:val="000000"/>
                <w:sz w:val="22"/>
                <w:szCs w:val="20"/>
                <w:shd w:val="clear" w:color="auto" w:fill="FFFFFF"/>
                <w:lang w:eastAsia="en-US" w:bidi="ar-SA"/>
              </w:rPr>
            </w:pPr>
            <w:r>
              <w:rPr>
                <w:b/>
                <w:color w:val="000000"/>
                <w:sz w:val="22"/>
                <w:szCs w:val="20"/>
                <w:shd w:val="clear" w:color="auto" w:fill="FFFFFF"/>
                <w:lang w:eastAsia="en-US" w:bidi="ar-SA"/>
              </w:rPr>
              <w:t>9</w:t>
            </w:r>
          </w:p>
        </w:tc>
        <w:tc>
          <w:tcPr>
            <w:tcW w:w="1082" w:type="dxa"/>
            <w:tcBorders>
              <w:top w:val="nil"/>
              <w:left w:val="nil"/>
              <w:bottom w:val="single" w:sz="8" w:space="0" w:color="000000"/>
              <w:right w:val="nil"/>
            </w:tcBorders>
            <w:shd w:val="clear" w:color="auto" w:fill="CCFFCC"/>
            <w:vAlign w:val="center"/>
          </w:tcPr>
          <w:p w:rsidR="00A9251F" w:rsidRDefault="00A9251F">
            <w:pPr>
              <w:jc w:val="left"/>
              <w:rPr>
                <w:b/>
                <w:color w:val="000000"/>
                <w:sz w:val="22"/>
                <w:szCs w:val="20"/>
                <w:shd w:val="clear" w:color="auto" w:fill="FFFFFF"/>
                <w:lang w:eastAsia="en-US" w:bidi="ar-SA"/>
              </w:rPr>
            </w:pPr>
          </w:p>
        </w:tc>
        <w:tc>
          <w:tcPr>
            <w:tcW w:w="972" w:type="dxa"/>
            <w:tcBorders>
              <w:top w:val="nil"/>
              <w:left w:val="nil"/>
              <w:bottom w:val="single" w:sz="8" w:space="0" w:color="000000"/>
              <w:right w:val="single" w:sz="8" w:space="0" w:color="000000"/>
            </w:tcBorders>
            <w:shd w:val="clear" w:color="auto" w:fill="CCFFCC"/>
            <w:vAlign w:val="center"/>
          </w:tcPr>
          <w:p w:rsidR="00A9251F" w:rsidRDefault="00A93ACE">
            <w:pPr>
              <w:rPr>
                <w:b/>
                <w:color w:val="000000"/>
                <w:sz w:val="22"/>
                <w:szCs w:val="20"/>
                <w:shd w:val="clear" w:color="auto" w:fill="FFFFFF"/>
                <w:lang w:eastAsia="en-US" w:bidi="ar-SA"/>
              </w:rPr>
            </w:pPr>
            <w:r>
              <w:rPr>
                <w:b/>
                <w:color w:val="000000"/>
                <w:sz w:val="22"/>
                <w:szCs w:val="20"/>
                <w:shd w:val="clear" w:color="auto" w:fill="FFFFFF"/>
                <w:lang w:eastAsia="en-US" w:bidi="ar-SA"/>
              </w:rPr>
              <w:t>9</w:t>
            </w:r>
          </w:p>
        </w:tc>
      </w:tr>
      <w:tr w:rsidR="00A9251F">
        <w:trPr>
          <w:trHeight w:val="344"/>
          <w:jc w:val="center"/>
        </w:trPr>
        <w:tc>
          <w:tcPr>
            <w:tcW w:w="1962" w:type="dxa"/>
            <w:vMerge w:val="restart"/>
            <w:tcBorders>
              <w:top w:val="nil"/>
              <w:left w:val="single" w:sz="8" w:space="0" w:color="000000"/>
              <w:bottom w:val="single" w:sz="8" w:space="0" w:color="000000"/>
              <w:right w:val="single" w:sz="8" w:space="0" w:color="000000"/>
            </w:tcBorders>
            <w:shd w:val="clear" w:color="auto" w:fill="CCFFFF"/>
            <w:vAlign w:val="center"/>
          </w:tcPr>
          <w:p w:rsidR="00A9251F" w:rsidRDefault="00A93ACE">
            <w:pPr>
              <w:rPr>
                <w:b/>
                <w:color w:val="000000"/>
                <w:sz w:val="22"/>
                <w:szCs w:val="20"/>
                <w:shd w:val="clear" w:color="auto" w:fill="FFFFFF"/>
                <w:lang w:eastAsia="en-US" w:bidi="ar-SA"/>
              </w:rPr>
            </w:pPr>
            <w:r>
              <w:rPr>
                <w:b/>
                <w:color w:val="000000"/>
                <w:sz w:val="22"/>
                <w:szCs w:val="20"/>
                <w:shd w:val="clear" w:color="auto" w:fill="FFFFFF"/>
                <w:lang w:eastAsia="en-US" w:bidi="ar-SA"/>
              </w:rPr>
              <w:t>WSKAŹNIKI PŁYNNOŚCI</w:t>
            </w:r>
          </w:p>
        </w:tc>
        <w:tc>
          <w:tcPr>
            <w:tcW w:w="1589" w:type="dxa"/>
            <w:tcBorders>
              <w:top w:val="nil"/>
              <w:left w:val="nil"/>
              <w:bottom w:val="single" w:sz="4" w:space="0" w:color="000000"/>
              <w:right w:val="single" w:sz="8" w:space="0" w:color="000000"/>
            </w:tcBorders>
            <w:vAlign w:val="center"/>
          </w:tcPr>
          <w:p w:rsidR="00A9251F" w:rsidRDefault="00A93ACE">
            <w:pPr>
              <w:jc w:val="left"/>
              <w:rPr>
                <w:color w:val="000000"/>
                <w:sz w:val="22"/>
                <w:szCs w:val="20"/>
                <w:shd w:val="clear" w:color="auto" w:fill="FFFFFF"/>
                <w:lang w:eastAsia="en-US" w:bidi="ar-SA"/>
              </w:rPr>
            </w:pPr>
            <w:r>
              <w:rPr>
                <w:color w:val="000000"/>
                <w:sz w:val="22"/>
                <w:szCs w:val="20"/>
                <w:shd w:val="clear" w:color="auto" w:fill="FFFFFF"/>
                <w:lang w:eastAsia="en-US" w:bidi="ar-SA"/>
              </w:rPr>
              <w:t xml:space="preserve">bieżącej płynności                                         </w:t>
            </w:r>
            <w:r>
              <w:rPr>
                <w:color w:val="000000"/>
                <w:sz w:val="22"/>
                <w:szCs w:val="20"/>
                <w:shd w:val="clear" w:color="auto" w:fill="FFFFFF"/>
                <w:lang w:eastAsia="en-US" w:bidi="ar-SA"/>
              </w:rPr>
              <w:t xml:space="preserve">  </w:t>
            </w:r>
          </w:p>
        </w:tc>
        <w:tc>
          <w:tcPr>
            <w:tcW w:w="1082" w:type="dxa"/>
            <w:tcBorders>
              <w:top w:val="nil"/>
              <w:left w:val="nil"/>
              <w:bottom w:val="single" w:sz="4" w:space="0" w:color="000000"/>
              <w:right w:val="single" w:sz="4" w:space="0" w:color="000000"/>
            </w:tcBorders>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2</w:t>
            </w:r>
          </w:p>
        </w:tc>
        <w:tc>
          <w:tcPr>
            <w:tcW w:w="972" w:type="dxa"/>
            <w:tcBorders>
              <w:top w:val="nil"/>
              <w:left w:val="nil"/>
              <w:bottom w:val="single" w:sz="4" w:space="0" w:color="000000"/>
              <w:right w:val="single" w:sz="8" w:space="0" w:color="000000"/>
            </w:tcBorders>
            <w:shd w:val="clear" w:color="auto" w:fill="FFFFFF"/>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12</w:t>
            </w:r>
          </w:p>
        </w:tc>
        <w:tc>
          <w:tcPr>
            <w:tcW w:w="1082" w:type="dxa"/>
            <w:tcBorders>
              <w:top w:val="nil"/>
              <w:left w:val="nil"/>
              <w:bottom w:val="single" w:sz="4" w:space="0" w:color="000000"/>
              <w:right w:val="single" w:sz="4" w:space="0" w:color="000000"/>
            </w:tcBorders>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2,74</w:t>
            </w:r>
          </w:p>
        </w:tc>
        <w:tc>
          <w:tcPr>
            <w:tcW w:w="972" w:type="dxa"/>
            <w:tcBorders>
              <w:top w:val="nil"/>
              <w:left w:val="nil"/>
              <w:bottom w:val="single" w:sz="4" w:space="0" w:color="000000"/>
              <w:right w:val="nil"/>
            </w:tcBorders>
            <w:shd w:val="clear" w:color="auto" w:fill="FFFFFF"/>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12</w:t>
            </w:r>
          </w:p>
        </w:tc>
        <w:tc>
          <w:tcPr>
            <w:tcW w:w="1082" w:type="dxa"/>
            <w:tcBorders>
              <w:top w:val="nil"/>
              <w:left w:val="single" w:sz="8" w:space="0" w:color="000000"/>
              <w:bottom w:val="single" w:sz="4" w:space="0" w:color="000000"/>
              <w:right w:val="single" w:sz="4" w:space="0" w:color="000000"/>
            </w:tcBorders>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2,94</w:t>
            </w:r>
          </w:p>
        </w:tc>
        <w:tc>
          <w:tcPr>
            <w:tcW w:w="972" w:type="dxa"/>
            <w:tcBorders>
              <w:top w:val="nil"/>
              <w:left w:val="nil"/>
              <w:bottom w:val="single" w:sz="4" w:space="0" w:color="000000"/>
              <w:right w:val="single" w:sz="8" w:space="0" w:color="000000"/>
            </w:tcBorders>
            <w:shd w:val="clear" w:color="auto" w:fill="FFFFFF"/>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12</w:t>
            </w:r>
          </w:p>
        </w:tc>
      </w:tr>
      <w:tr w:rsidR="00A9251F">
        <w:trPr>
          <w:trHeight w:val="110"/>
          <w:jc w:val="center"/>
        </w:trPr>
        <w:tc>
          <w:tcPr>
            <w:tcW w:w="1962" w:type="dxa"/>
            <w:vMerge/>
            <w:tcBorders>
              <w:top w:val="nil"/>
              <w:left w:val="single" w:sz="8" w:space="0" w:color="000000"/>
              <w:bottom w:val="single" w:sz="8" w:space="0" w:color="000000"/>
              <w:right w:val="single" w:sz="8" w:space="0" w:color="000000"/>
            </w:tcBorders>
            <w:vAlign w:val="center"/>
          </w:tcPr>
          <w:p w:rsidR="00A9251F" w:rsidRDefault="00A9251F">
            <w:pPr>
              <w:jc w:val="left"/>
              <w:rPr>
                <w:b/>
                <w:color w:val="000000"/>
                <w:sz w:val="22"/>
                <w:szCs w:val="20"/>
                <w:shd w:val="clear" w:color="auto" w:fill="FFFFFF"/>
                <w:lang w:eastAsia="en-US" w:bidi="ar-SA"/>
              </w:rPr>
            </w:pPr>
          </w:p>
        </w:tc>
        <w:tc>
          <w:tcPr>
            <w:tcW w:w="1589" w:type="dxa"/>
            <w:tcBorders>
              <w:top w:val="nil"/>
              <w:left w:val="nil"/>
              <w:bottom w:val="single" w:sz="4" w:space="0" w:color="000000"/>
              <w:right w:val="single" w:sz="8" w:space="0" w:color="000000"/>
            </w:tcBorders>
            <w:vAlign w:val="center"/>
          </w:tcPr>
          <w:p w:rsidR="00A9251F" w:rsidRDefault="00A93ACE">
            <w:pPr>
              <w:jc w:val="left"/>
              <w:rPr>
                <w:color w:val="000000"/>
                <w:sz w:val="22"/>
                <w:szCs w:val="20"/>
                <w:shd w:val="clear" w:color="auto" w:fill="FFFFFF"/>
                <w:lang w:eastAsia="en-US" w:bidi="ar-SA"/>
              </w:rPr>
            </w:pPr>
            <w:r>
              <w:rPr>
                <w:color w:val="000000"/>
                <w:sz w:val="22"/>
                <w:szCs w:val="20"/>
                <w:shd w:val="clear" w:color="auto" w:fill="FFFFFF"/>
                <w:lang w:eastAsia="en-US" w:bidi="ar-SA"/>
              </w:rPr>
              <w:t>szybkiej płynności</w:t>
            </w:r>
          </w:p>
        </w:tc>
        <w:tc>
          <w:tcPr>
            <w:tcW w:w="1082" w:type="dxa"/>
            <w:tcBorders>
              <w:top w:val="nil"/>
              <w:left w:val="nil"/>
              <w:bottom w:val="single" w:sz="4" w:space="0" w:color="000000"/>
              <w:right w:val="single" w:sz="4" w:space="0" w:color="000000"/>
            </w:tcBorders>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1,98</w:t>
            </w:r>
          </w:p>
        </w:tc>
        <w:tc>
          <w:tcPr>
            <w:tcW w:w="972" w:type="dxa"/>
            <w:tcBorders>
              <w:top w:val="nil"/>
              <w:left w:val="nil"/>
              <w:bottom w:val="single" w:sz="4" w:space="0" w:color="000000"/>
              <w:right w:val="single" w:sz="8" w:space="0" w:color="000000"/>
            </w:tcBorders>
            <w:shd w:val="clear" w:color="auto" w:fill="FFFFFF"/>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13</w:t>
            </w:r>
          </w:p>
        </w:tc>
        <w:tc>
          <w:tcPr>
            <w:tcW w:w="1082" w:type="dxa"/>
            <w:tcBorders>
              <w:top w:val="nil"/>
              <w:left w:val="nil"/>
              <w:bottom w:val="single" w:sz="4" w:space="0" w:color="000000"/>
              <w:right w:val="single" w:sz="4" w:space="0" w:color="000000"/>
            </w:tcBorders>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2,71</w:t>
            </w:r>
          </w:p>
        </w:tc>
        <w:tc>
          <w:tcPr>
            <w:tcW w:w="972" w:type="dxa"/>
            <w:tcBorders>
              <w:top w:val="nil"/>
              <w:left w:val="nil"/>
              <w:bottom w:val="single" w:sz="4" w:space="0" w:color="000000"/>
              <w:right w:val="nil"/>
            </w:tcBorders>
            <w:shd w:val="clear" w:color="auto" w:fill="FFFFFF"/>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10</w:t>
            </w:r>
          </w:p>
        </w:tc>
        <w:tc>
          <w:tcPr>
            <w:tcW w:w="1082" w:type="dxa"/>
            <w:tcBorders>
              <w:top w:val="nil"/>
              <w:left w:val="single" w:sz="8" w:space="0" w:color="000000"/>
              <w:bottom w:val="single" w:sz="4" w:space="0" w:color="000000"/>
              <w:right w:val="single" w:sz="4" w:space="0" w:color="000000"/>
            </w:tcBorders>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2,91</w:t>
            </w:r>
          </w:p>
        </w:tc>
        <w:tc>
          <w:tcPr>
            <w:tcW w:w="972" w:type="dxa"/>
            <w:tcBorders>
              <w:top w:val="nil"/>
              <w:left w:val="nil"/>
              <w:bottom w:val="single" w:sz="4" w:space="0" w:color="000000"/>
              <w:right w:val="single" w:sz="8" w:space="0" w:color="000000"/>
            </w:tcBorders>
            <w:shd w:val="clear" w:color="auto" w:fill="FFFFFF"/>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10</w:t>
            </w:r>
          </w:p>
        </w:tc>
      </w:tr>
      <w:tr w:rsidR="00A9251F">
        <w:trPr>
          <w:trHeight w:val="67"/>
          <w:jc w:val="center"/>
        </w:trPr>
        <w:tc>
          <w:tcPr>
            <w:tcW w:w="3551"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A9251F" w:rsidRDefault="00A93ACE">
            <w:pPr>
              <w:jc w:val="left"/>
              <w:rPr>
                <w:b/>
                <w:color w:val="000000"/>
                <w:sz w:val="22"/>
                <w:szCs w:val="20"/>
                <w:shd w:val="clear" w:color="auto" w:fill="FFFFFF"/>
                <w:lang w:eastAsia="en-US" w:bidi="ar-SA"/>
              </w:rPr>
            </w:pPr>
            <w:r>
              <w:rPr>
                <w:b/>
                <w:color w:val="000000"/>
                <w:sz w:val="22"/>
                <w:szCs w:val="20"/>
                <w:shd w:val="clear" w:color="auto" w:fill="FFFFFF"/>
                <w:lang w:eastAsia="en-US" w:bidi="ar-SA"/>
              </w:rPr>
              <w:t xml:space="preserve"> Maksymalna ocena punktowa 25 </w:t>
            </w:r>
            <w:proofErr w:type="spellStart"/>
            <w:r>
              <w:rPr>
                <w:b/>
                <w:color w:val="000000"/>
                <w:sz w:val="22"/>
                <w:szCs w:val="20"/>
                <w:shd w:val="clear" w:color="auto" w:fill="FFFFFF"/>
                <w:lang w:eastAsia="en-US" w:bidi="ar-SA"/>
              </w:rPr>
              <w:t>pkt</w:t>
            </w:r>
            <w:proofErr w:type="spellEnd"/>
          </w:p>
        </w:tc>
        <w:tc>
          <w:tcPr>
            <w:tcW w:w="1082" w:type="dxa"/>
            <w:tcBorders>
              <w:top w:val="single" w:sz="8" w:space="0" w:color="000000"/>
              <w:left w:val="nil"/>
              <w:bottom w:val="single" w:sz="8" w:space="0" w:color="000000"/>
              <w:right w:val="nil"/>
            </w:tcBorders>
            <w:shd w:val="clear" w:color="auto" w:fill="CCFFFF"/>
            <w:vAlign w:val="center"/>
          </w:tcPr>
          <w:p w:rsidR="00A9251F" w:rsidRDefault="00A93ACE">
            <w:pPr>
              <w:jc w:val="left"/>
              <w:rPr>
                <w:b/>
                <w:color w:val="000000"/>
                <w:sz w:val="22"/>
                <w:szCs w:val="20"/>
                <w:shd w:val="clear" w:color="auto" w:fill="FFFFFF"/>
                <w:lang w:eastAsia="en-US" w:bidi="ar-SA"/>
              </w:rPr>
            </w:pPr>
            <w:r>
              <w:rPr>
                <w:b/>
                <w:color w:val="000000"/>
                <w:sz w:val="22"/>
                <w:szCs w:val="20"/>
                <w:shd w:val="clear" w:color="auto" w:fill="FFFFFF"/>
                <w:lang w:eastAsia="en-US" w:bidi="ar-SA"/>
              </w:rPr>
              <w:t>Razem</w:t>
            </w:r>
          </w:p>
        </w:tc>
        <w:tc>
          <w:tcPr>
            <w:tcW w:w="972" w:type="dxa"/>
            <w:tcBorders>
              <w:top w:val="single" w:sz="8" w:space="0" w:color="000000"/>
              <w:left w:val="nil"/>
              <w:bottom w:val="single" w:sz="8" w:space="0" w:color="000000"/>
              <w:right w:val="single" w:sz="8" w:space="0" w:color="000000"/>
            </w:tcBorders>
            <w:shd w:val="clear" w:color="auto" w:fill="CCFFFF"/>
            <w:vAlign w:val="center"/>
          </w:tcPr>
          <w:p w:rsidR="00A9251F" w:rsidRDefault="00A93ACE">
            <w:pPr>
              <w:rPr>
                <w:b/>
                <w:color w:val="000000"/>
                <w:sz w:val="22"/>
                <w:szCs w:val="20"/>
                <w:shd w:val="clear" w:color="auto" w:fill="FFFFFF"/>
                <w:lang w:eastAsia="en-US" w:bidi="ar-SA"/>
              </w:rPr>
            </w:pPr>
            <w:r>
              <w:rPr>
                <w:b/>
                <w:color w:val="000000"/>
                <w:sz w:val="22"/>
                <w:szCs w:val="20"/>
                <w:shd w:val="clear" w:color="auto" w:fill="FFFFFF"/>
                <w:lang w:eastAsia="en-US" w:bidi="ar-SA"/>
              </w:rPr>
              <w:t>25</w:t>
            </w:r>
          </w:p>
        </w:tc>
        <w:tc>
          <w:tcPr>
            <w:tcW w:w="1082" w:type="dxa"/>
            <w:tcBorders>
              <w:top w:val="single" w:sz="8" w:space="0" w:color="000000"/>
              <w:left w:val="nil"/>
              <w:bottom w:val="single" w:sz="8" w:space="0" w:color="000000"/>
              <w:right w:val="nil"/>
            </w:tcBorders>
            <w:shd w:val="clear" w:color="auto" w:fill="CCFFFF"/>
            <w:vAlign w:val="center"/>
          </w:tcPr>
          <w:p w:rsidR="00A9251F" w:rsidRDefault="00A9251F">
            <w:pPr>
              <w:jc w:val="left"/>
              <w:rPr>
                <w:b/>
                <w:color w:val="000000"/>
                <w:sz w:val="22"/>
                <w:szCs w:val="20"/>
                <w:shd w:val="clear" w:color="auto" w:fill="FFFFFF"/>
                <w:lang w:eastAsia="en-US" w:bidi="ar-SA"/>
              </w:rPr>
            </w:pPr>
          </w:p>
        </w:tc>
        <w:tc>
          <w:tcPr>
            <w:tcW w:w="972" w:type="dxa"/>
            <w:tcBorders>
              <w:top w:val="single" w:sz="8" w:space="0" w:color="000000"/>
              <w:left w:val="nil"/>
              <w:bottom w:val="single" w:sz="8" w:space="0" w:color="000000"/>
              <w:right w:val="nil"/>
            </w:tcBorders>
            <w:shd w:val="clear" w:color="auto" w:fill="CCFFFF"/>
            <w:vAlign w:val="center"/>
          </w:tcPr>
          <w:p w:rsidR="00A9251F" w:rsidRDefault="00A93ACE">
            <w:pPr>
              <w:rPr>
                <w:b/>
                <w:color w:val="000000"/>
                <w:sz w:val="22"/>
                <w:szCs w:val="20"/>
                <w:shd w:val="clear" w:color="auto" w:fill="FFFFFF"/>
                <w:lang w:eastAsia="en-US" w:bidi="ar-SA"/>
              </w:rPr>
            </w:pPr>
            <w:r>
              <w:rPr>
                <w:b/>
                <w:color w:val="000000"/>
                <w:sz w:val="22"/>
                <w:szCs w:val="20"/>
                <w:shd w:val="clear" w:color="auto" w:fill="FFFFFF"/>
                <w:lang w:eastAsia="en-US" w:bidi="ar-SA"/>
              </w:rPr>
              <w:t>22</w:t>
            </w:r>
          </w:p>
        </w:tc>
        <w:tc>
          <w:tcPr>
            <w:tcW w:w="1082" w:type="dxa"/>
            <w:tcBorders>
              <w:top w:val="single" w:sz="8" w:space="0" w:color="000000"/>
              <w:left w:val="single" w:sz="8" w:space="0" w:color="000000"/>
              <w:bottom w:val="single" w:sz="8" w:space="0" w:color="000000"/>
              <w:right w:val="nil"/>
            </w:tcBorders>
            <w:shd w:val="clear" w:color="auto" w:fill="CCFFFF"/>
            <w:vAlign w:val="center"/>
          </w:tcPr>
          <w:p w:rsidR="00A9251F" w:rsidRDefault="00A9251F">
            <w:pPr>
              <w:jc w:val="left"/>
              <w:rPr>
                <w:b/>
                <w:color w:val="000000"/>
                <w:sz w:val="22"/>
                <w:szCs w:val="20"/>
                <w:shd w:val="clear" w:color="auto" w:fill="FFFFFF"/>
                <w:lang w:eastAsia="en-US" w:bidi="ar-SA"/>
              </w:rPr>
            </w:pPr>
          </w:p>
        </w:tc>
        <w:tc>
          <w:tcPr>
            <w:tcW w:w="972" w:type="dxa"/>
            <w:tcBorders>
              <w:top w:val="single" w:sz="8" w:space="0" w:color="000000"/>
              <w:left w:val="nil"/>
              <w:bottom w:val="single" w:sz="8" w:space="0" w:color="000000"/>
              <w:right w:val="single" w:sz="8" w:space="0" w:color="000000"/>
            </w:tcBorders>
            <w:shd w:val="clear" w:color="auto" w:fill="CCFFFF"/>
            <w:vAlign w:val="center"/>
          </w:tcPr>
          <w:p w:rsidR="00A9251F" w:rsidRDefault="00A93ACE">
            <w:pPr>
              <w:rPr>
                <w:b/>
                <w:color w:val="000000"/>
                <w:sz w:val="22"/>
                <w:szCs w:val="20"/>
                <w:shd w:val="clear" w:color="auto" w:fill="FFFFFF"/>
                <w:lang w:eastAsia="en-US" w:bidi="ar-SA"/>
              </w:rPr>
            </w:pPr>
            <w:r>
              <w:rPr>
                <w:b/>
                <w:color w:val="000000"/>
                <w:sz w:val="22"/>
                <w:szCs w:val="20"/>
                <w:shd w:val="clear" w:color="auto" w:fill="FFFFFF"/>
                <w:lang w:eastAsia="en-US" w:bidi="ar-SA"/>
              </w:rPr>
              <w:t>22</w:t>
            </w:r>
          </w:p>
        </w:tc>
      </w:tr>
      <w:tr w:rsidR="00A9251F">
        <w:trPr>
          <w:trHeight w:val="186"/>
          <w:jc w:val="center"/>
        </w:trPr>
        <w:tc>
          <w:tcPr>
            <w:tcW w:w="1962" w:type="dxa"/>
            <w:vMerge w:val="restart"/>
            <w:tcBorders>
              <w:top w:val="nil"/>
              <w:left w:val="single" w:sz="8" w:space="0" w:color="000000"/>
              <w:bottom w:val="single" w:sz="8" w:space="0" w:color="000000"/>
              <w:right w:val="single" w:sz="8" w:space="0" w:color="000000"/>
            </w:tcBorders>
            <w:shd w:val="clear" w:color="auto" w:fill="CCFFCC"/>
            <w:vAlign w:val="center"/>
          </w:tcPr>
          <w:p w:rsidR="00A9251F" w:rsidRDefault="00A93ACE">
            <w:pPr>
              <w:rPr>
                <w:b/>
                <w:color w:val="000000"/>
                <w:sz w:val="22"/>
                <w:szCs w:val="20"/>
                <w:shd w:val="clear" w:color="auto" w:fill="FFFFFF"/>
                <w:lang w:eastAsia="en-US" w:bidi="ar-SA"/>
              </w:rPr>
            </w:pPr>
            <w:r>
              <w:rPr>
                <w:b/>
                <w:color w:val="000000"/>
                <w:sz w:val="22"/>
                <w:szCs w:val="20"/>
                <w:shd w:val="clear" w:color="auto" w:fill="FFFFFF"/>
                <w:lang w:eastAsia="en-US" w:bidi="ar-SA"/>
              </w:rPr>
              <w:t>WSKAŹNIKI EFEKTYWNOŚCI</w:t>
            </w:r>
          </w:p>
        </w:tc>
        <w:tc>
          <w:tcPr>
            <w:tcW w:w="1589" w:type="dxa"/>
            <w:tcBorders>
              <w:top w:val="nil"/>
              <w:left w:val="nil"/>
              <w:bottom w:val="single" w:sz="4" w:space="0" w:color="000000"/>
              <w:right w:val="single" w:sz="8" w:space="0" w:color="000000"/>
            </w:tcBorders>
            <w:vAlign w:val="center"/>
          </w:tcPr>
          <w:p w:rsidR="00A9251F" w:rsidRDefault="00A93ACE">
            <w:pPr>
              <w:jc w:val="left"/>
              <w:rPr>
                <w:color w:val="000000"/>
                <w:sz w:val="22"/>
                <w:szCs w:val="20"/>
                <w:shd w:val="clear" w:color="auto" w:fill="FFFFFF"/>
                <w:lang w:eastAsia="en-US" w:bidi="ar-SA"/>
              </w:rPr>
            </w:pPr>
            <w:r>
              <w:rPr>
                <w:color w:val="000000"/>
                <w:sz w:val="22"/>
                <w:szCs w:val="20"/>
                <w:shd w:val="clear" w:color="auto" w:fill="FFFFFF"/>
                <w:lang w:eastAsia="en-US" w:bidi="ar-SA"/>
              </w:rPr>
              <w:t xml:space="preserve">rotacji należności (w </w:t>
            </w:r>
            <w:r>
              <w:rPr>
                <w:color w:val="000000"/>
                <w:sz w:val="22"/>
                <w:szCs w:val="20"/>
                <w:shd w:val="clear" w:color="auto" w:fill="FFFFFF"/>
                <w:lang w:eastAsia="en-US" w:bidi="ar-SA"/>
              </w:rPr>
              <w:lastRenderedPageBreak/>
              <w:t xml:space="preserve">dniach)                           </w:t>
            </w:r>
          </w:p>
        </w:tc>
        <w:tc>
          <w:tcPr>
            <w:tcW w:w="1082" w:type="dxa"/>
            <w:tcBorders>
              <w:top w:val="nil"/>
              <w:left w:val="nil"/>
              <w:bottom w:val="single" w:sz="4" w:space="0" w:color="000000"/>
              <w:right w:val="single" w:sz="4" w:space="0" w:color="000000"/>
            </w:tcBorders>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lastRenderedPageBreak/>
              <w:t>35</w:t>
            </w:r>
          </w:p>
        </w:tc>
        <w:tc>
          <w:tcPr>
            <w:tcW w:w="972" w:type="dxa"/>
            <w:tcBorders>
              <w:top w:val="nil"/>
              <w:left w:val="nil"/>
              <w:bottom w:val="single" w:sz="4" w:space="0" w:color="000000"/>
              <w:right w:val="single" w:sz="8" w:space="0" w:color="000000"/>
            </w:tcBorders>
            <w:shd w:val="clear" w:color="auto" w:fill="FFFFFF"/>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3</w:t>
            </w:r>
          </w:p>
        </w:tc>
        <w:tc>
          <w:tcPr>
            <w:tcW w:w="1082" w:type="dxa"/>
            <w:tcBorders>
              <w:top w:val="nil"/>
              <w:left w:val="nil"/>
              <w:bottom w:val="single" w:sz="4" w:space="0" w:color="000000"/>
              <w:right w:val="single" w:sz="4" w:space="0" w:color="000000"/>
            </w:tcBorders>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35</w:t>
            </w:r>
          </w:p>
        </w:tc>
        <w:tc>
          <w:tcPr>
            <w:tcW w:w="972" w:type="dxa"/>
            <w:tcBorders>
              <w:top w:val="nil"/>
              <w:left w:val="nil"/>
              <w:bottom w:val="single" w:sz="4" w:space="0" w:color="000000"/>
              <w:right w:val="nil"/>
            </w:tcBorders>
            <w:shd w:val="clear" w:color="auto" w:fill="FFFFFF"/>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3</w:t>
            </w:r>
          </w:p>
        </w:tc>
        <w:tc>
          <w:tcPr>
            <w:tcW w:w="1082" w:type="dxa"/>
            <w:tcBorders>
              <w:top w:val="nil"/>
              <w:left w:val="single" w:sz="8" w:space="0" w:color="000000"/>
              <w:bottom w:val="single" w:sz="4" w:space="0" w:color="000000"/>
              <w:right w:val="single" w:sz="4" w:space="0" w:color="000000"/>
            </w:tcBorders>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36</w:t>
            </w:r>
          </w:p>
        </w:tc>
        <w:tc>
          <w:tcPr>
            <w:tcW w:w="972" w:type="dxa"/>
            <w:tcBorders>
              <w:top w:val="nil"/>
              <w:left w:val="nil"/>
              <w:bottom w:val="single" w:sz="4" w:space="0" w:color="000000"/>
              <w:right w:val="single" w:sz="8" w:space="0" w:color="000000"/>
            </w:tcBorders>
            <w:shd w:val="clear" w:color="auto" w:fill="FFFFFF"/>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3</w:t>
            </w:r>
          </w:p>
        </w:tc>
      </w:tr>
      <w:tr w:rsidR="00A9251F">
        <w:trPr>
          <w:trHeight w:val="278"/>
          <w:jc w:val="center"/>
        </w:trPr>
        <w:tc>
          <w:tcPr>
            <w:tcW w:w="1962" w:type="dxa"/>
            <w:vMerge/>
            <w:tcBorders>
              <w:top w:val="nil"/>
              <w:left w:val="single" w:sz="8" w:space="0" w:color="000000"/>
              <w:bottom w:val="single" w:sz="8" w:space="0" w:color="000000"/>
              <w:right w:val="single" w:sz="8" w:space="0" w:color="000000"/>
            </w:tcBorders>
            <w:vAlign w:val="center"/>
          </w:tcPr>
          <w:p w:rsidR="00A9251F" w:rsidRDefault="00A9251F">
            <w:pPr>
              <w:jc w:val="left"/>
              <w:rPr>
                <w:b/>
                <w:color w:val="000000"/>
                <w:sz w:val="22"/>
                <w:szCs w:val="20"/>
                <w:shd w:val="clear" w:color="auto" w:fill="FFFFFF"/>
                <w:lang w:eastAsia="en-US" w:bidi="ar-SA"/>
              </w:rPr>
            </w:pPr>
          </w:p>
        </w:tc>
        <w:tc>
          <w:tcPr>
            <w:tcW w:w="1589" w:type="dxa"/>
            <w:tcBorders>
              <w:top w:val="nil"/>
              <w:left w:val="nil"/>
              <w:bottom w:val="single" w:sz="4" w:space="0" w:color="000000"/>
              <w:right w:val="single" w:sz="8" w:space="0" w:color="000000"/>
            </w:tcBorders>
            <w:vAlign w:val="center"/>
          </w:tcPr>
          <w:p w:rsidR="00A9251F" w:rsidRDefault="00A93ACE">
            <w:pPr>
              <w:jc w:val="left"/>
              <w:rPr>
                <w:color w:val="000000"/>
                <w:sz w:val="22"/>
                <w:szCs w:val="20"/>
                <w:shd w:val="clear" w:color="auto" w:fill="FFFFFF"/>
                <w:lang w:eastAsia="en-US" w:bidi="ar-SA"/>
              </w:rPr>
            </w:pPr>
            <w:r>
              <w:rPr>
                <w:color w:val="000000"/>
                <w:sz w:val="22"/>
                <w:szCs w:val="20"/>
                <w:shd w:val="clear" w:color="auto" w:fill="FFFFFF"/>
                <w:lang w:eastAsia="en-US" w:bidi="ar-SA"/>
              </w:rPr>
              <w:t>rotacji zobowiązań (w dniach)</w:t>
            </w:r>
          </w:p>
        </w:tc>
        <w:tc>
          <w:tcPr>
            <w:tcW w:w="1082" w:type="dxa"/>
            <w:tcBorders>
              <w:top w:val="nil"/>
              <w:left w:val="nil"/>
              <w:bottom w:val="single" w:sz="4" w:space="0" w:color="000000"/>
              <w:right w:val="single" w:sz="4" w:space="0" w:color="000000"/>
            </w:tcBorders>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13</w:t>
            </w:r>
          </w:p>
        </w:tc>
        <w:tc>
          <w:tcPr>
            <w:tcW w:w="972" w:type="dxa"/>
            <w:tcBorders>
              <w:top w:val="nil"/>
              <w:left w:val="nil"/>
              <w:bottom w:val="single" w:sz="4" w:space="0" w:color="000000"/>
              <w:right w:val="single" w:sz="8" w:space="0" w:color="000000"/>
            </w:tcBorders>
            <w:shd w:val="clear" w:color="auto" w:fill="FFFFFF"/>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7</w:t>
            </w:r>
          </w:p>
        </w:tc>
        <w:tc>
          <w:tcPr>
            <w:tcW w:w="1082" w:type="dxa"/>
            <w:tcBorders>
              <w:top w:val="nil"/>
              <w:left w:val="nil"/>
              <w:bottom w:val="single" w:sz="4" w:space="0" w:color="000000"/>
              <w:right w:val="single" w:sz="4" w:space="0" w:color="000000"/>
            </w:tcBorders>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13</w:t>
            </w:r>
          </w:p>
        </w:tc>
        <w:tc>
          <w:tcPr>
            <w:tcW w:w="972" w:type="dxa"/>
            <w:tcBorders>
              <w:top w:val="nil"/>
              <w:left w:val="nil"/>
              <w:bottom w:val="single" w:sz="4" w:space="0" w:color="000000"/>
              <w:right w:val="nil"/>
            </w:tcBorders>
            <w:shd w:val="clear" w:color="auto" w:fill="FFFFFF"/>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7</w:t>
            </w:r>
          </w:p>
        </w:tc>
        <w:tc>
          <w:tcPr>
            <w:tcW w:w="1082" w:type="dxa"/>
            <w:tcBorders>
              <w:top w:val="nil"/>
              <w:left w:val="single" w:sz="8" w:space="0" w:color="000000"/>
              <w:bottom w:val="single" w:sz="4" w:space="0" w:color="000000"/>
              <w:right w:val="single" w:sz="4" w:space="0" w:color="000000"/>
            </w:tcBorders>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13</w:t>
            </w:r>
          </w:p>
        </w:tc>
        <w:tc>
          <w:tcPr>
            <w:tcW w:w="972" w:type="dxa"/>
            <w:tcBorders>
              <w:top w:val="nil"/>
              <w:left w:val="nil"/>
              <w:bottom w:val="single" w:sz="4" w:space="0" w:color="000000"/>
              <w:right w:val="single" w:sz="8" w:space="0" w:color="000000"/>
            </w:tcBorders>
            <w:shd w:val="clear" w:color="auto" w:fill="FFFFFF"/>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7</w:t>
            </w:r>
          </w:p>
        </w:tc>
      </w:tr>
      <w:tr w:rsidR="00A9251F">
        <w:trPr>
          <w:trHeight w:val="120"/>
          <w:jc w:val="center"/>
        </w:trPr>
        <w:tc>
          <w:tcPr>
            <w:tcW w:w="3551"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A9251F" w:rsidRDefault="00A93ACE">
            <w:pPr>
              <w:jc w:val="left"/>
              <w:rPr>
                <w:b/>
                <w:color w:val="000000"/>
                <w:sz w:val="22"/>
                <w:szCs w:val="20"/>
                <w:shd w:val="clear" w:color="auto" w:fill="FFFFFF"/>
                <w:lang w:eastAsia="en-US" w:bidi="ar-SA"/>
              </w:rPr>
            </w:pPr>
            <w:r>
              <w:rPr>
                <w:b/>
                <w:color w:val="000000"/>
                <w:sz w:val="22"/>
                <w:szCs w:val="20"/>
                <w:shd w:val="clear" w:color="auto" w:fill="FFFFFF"/>
                <w:lang w:eastAsia="en-US" w:bidi="ar-SA"/>
              </w:rPr>
              <w:t xml:space="preserve">Maksymalna ocena punktowa 10 </w:t>
            </w:r>
            <w:proofErr w:type="spellStart"/>
            <w:r>
              <w:rPr>
                <w:b/>
                <w:color w:val="000000"/>
                <w:sz w:val="22"/>
                <w:szCs w:val="20"/>
                <w:shd w:val="clear" w:color="auto" w:fill="FFFFFF"/>
                <w:lang w:eastAsia="en-US" w:bidi="ar-SA"/>
              </w:rPr>
              <w:t>pkt</w:t>
            </w:r>
            <w:proofErr w:type="spellEnd"/>
          </w:p>
        </w:tc>
        <w:tc>
          <w:tcPr>
            <w:tcW w:w="1082" w:type="dxa"/>
            <w:tcBorders>
              <w:top w:val="single" w:sz="8" w:space="0" w:color="000000"/>
              <w:left w:val="nil"/>
              <w:bottom w:val="single" w:sz="8" w:space="0" w:color="000000"/>
              <w:right w:val="nil"/>
            </w:tcBorders>
            <w:shd w:val="clear" w:color="auto" w:fill="CCFFCC"/>
            <w:vAlign w:val="center"/>
          </w:tcPr>
          <w:p w:rsidR="00A9251F" w:rsidRDefault="00A93ACE">
            <w:pPr>
              <w:jc w:val="left"/>
              <w:rPr>
                <w:b/>
                <w:color w:val="000000"/>
                <w:sz w:val="22"/>
                <w:szCs w:val="20"/>
                <w:shd w:val="clear" w:color="auto" w:fill="FFFFFF"/>
                <w:lang w:eastAsia="en-US" w:bidi="ar-SA"/>
              </w:rPr>
            </w:pPr>
            <w:r>
              <w:rPr>
                <w:b/>
                <w:color w:val="000000"/>
                <w:sz w:val="22"/>
                <w:szCs w:val="20"/>
                <w:shd w:val="clear" w:color="auto" w:fill="FFFFFF"/>
                <w:lang w:eastAsia="en-US" w:bidi="ar-SA"/>
              </w:rPr>
              <w:t>Razem</w:t>
            </w:r>
          </w:p>
        </w:tc>
        <w:tc>
          <w:tcPr>
            <w:tcW w:w="972" w:type="dxa"/>
            <w:tcBorders>
              <w:top w:val="single" w:sz="8" w:space="0" w:color="000000"/>
              <w:left w:val="nil"/>
              <w:bottom w:val="single" w:sz="8" w:space="0" w:color="000000"/>
              <w:right w:val="single" w:sz="8" w:space="0" w:color="000000"/>
            </w:tcBorders>
            <w:shd w:val="clear" w:color="auto" w:fill="CCFFCC"/>
            <w:vAlign w:val="center"/>
          </w:tcPr>
          <w:p w:rsidR="00A9251F" w:rsidRDefault="00A93ACE">
            <w:pPr>
              <w:rPr>
                <w:b/>
                <w:color w:val="000000"/>
                <w:sz w:val="22"/>
                <w:szCs w:val="20"/>
                <w:shd w:val="clear" w:color="auto" w:fill="FFFFFF"/>
                <w:lang w:eastAsia="en-US" w:bidi="ar-SA"/>
              </w:rPr>
            </w:pPr>
            <w:r>
              <w:rPr>
                <w:b/>
                <w:color w:val="000000"/>
                <w:sz w:val="22"/>
                <w:szCs w:val="20"/>
                <w:shd w:val="clear" w:color="auto" w:fill="FFFFFF"/>
                <w:lang w:eastAsia="en-US" w:bidi="ar-SA"/>
              </w:rPr>
              <w:t>10</w:t>
            </w:r>
          </w:p>
        </w:tc>
        <w:tc>
          <w:tcPr>
            <w:tcW w:w="1082" w:type="dxa"/>
            <w:tcBorders>
              <w:top w:val="single" w:sz="8" w:space="0" w:color="000000"/>
              <w:left w:val="nil"/>
              <w:bottom w:val="single" w:sz="8" w:space="0" w:color="000000"/>
              <w:right w:val="nil"/>
            </w:tcBorders>
            <w:shd w:val="clear" w:color="auto" w:fill="CCFFCC"/>
            <w:vAlign w:val="center"/>
          </w:tcPr>
          <w:p w:rsidR="00A9251F" w:rsidRDefault="00A9251F">
            <w:pPr>
              <w:jc w:val="left"/>
              <w:rPr>
                <w:b/>
                <w:color w:val="000000"/>
                <w:sz w:val="22"/>
                <w:szCs w:val="20"/>
                <w:shd w:val="clear" w:color="auto" w:fill="FFFFFF"/>
                <w:lang w:eastAsia="en-US" w:bidi="ar-SA"/>
              </w:rPr>
            </w:pPr>
          </w:p>
        </w:tc>
        <w:tc>
          <w:tcPr>
            <w:tcW w:w="972" w:type="dxa"/>
            <w:tcBorders>
              <w:top w:val="single" w:sz="8" w:space="0" w:color="000000"/>
              <w:left w:val="nil"/>
              <w:bottom w:val="single" w:sz="8" w:space="0" w:color="000000"/>
              <w:right w:val="nil"/>
            </w:tcBorders>
            <w:shd w:val="clear" w:color="auto" w:fill="CCFFCC"/>
            <w:vAlign w:val="center"/>
          </w:tcPr>
          <w:p w:rsidR="00A9251F" w:rsidRDefault="00A93ACE">
            <w:pPr>
              <w:rPr>
                <w:b/>
                <w:color w:val="000000"/>
                <w:sz w:val="22"/>
                <w:szCs w:val="20"/>
                <w:shd w:val="clear" w:color="auto" w:fill="FFFFFF"/>
                <w:lang w:eastAsia="en-US" w:bidi="ar-SA"/>
              </w:rPr>
            </w:pPr>
            <w:r>
              <w:rPr>
                <w:b/>
                <w:color w:val="000000"/>
                <w:sz w:val="22"/>
                <w:szCs w:val="20"/>
                <w:shd w:val="clear" w:color="auto" w:fill="FFFFFF"/>
                <w:lang w:eastAsia="en-US" w:bidi="ar-SA"/>
              </w:rPr>
              <w:t>10</w:t>
            </w:r>
          </w:p>
        </w:tc>
        <w:tc>
          <w:tcPr>
            <w:tcW w:w="1082" w:type="dxa"/>
            <w:tcBorders>
              <w:top w:val="single" w:sz="8" w:space="0" w:color="000000"/>
              <w:left w:val="single" w:sz="8" w:space="0" w:color="000000"/>
              <w:bottom w:val="single" w:sz="8" w:space="0" w:color="000000"/>
              <w:right w:val="nil"/>
            </w:tcBorders>
            <w:shd w:val="clear" w:color="auto" w:fill="CCFFCC"/>
            <w:vAlign w:val="center"/>
          </w:tcPr>
          <w:p w:rsidR="00A9251F" w:rsidRDefault="00A9251F">
            <w:pPr>
              <w:jc w:val="left"/>
              <w:rPr>
                <w:b/>
                <w:color w:val="000000"/>
                <w:sz w:val="22"/>
                <w:szCs w:val="20"/>
                <w:shd w:val="clear" w:color="auto" w:fill="FFFFFF"/>
                <w:lang w:eastAsia="en-US" w:bidi="ar-SA"/>
              </w:rPr>
            </w:pPr>
          </w:p>
        </w:tc>
        <w:tc>
          <w:tcPr>
            <w:tcW w:w="972" w:type="dxa"/>
            <w:tcBorders>
              <w:top w:val="single" w:sz="8" w:space="0" w:color="000000"/>
              <w:left w:val="nil"/>
              <w:bottom w:val="single" w:sz="8" w:space="0" w:color="000000"/>
              <w:right w:val="single" w:sz="8" w:space="0" w:color="000000"/>
            </w:tcBorders>
            <w:shd w:val="clear" w:color="auto" w:fill="CCFFCC"/>
            <w:vAlign w:val="center"/>
          </w:tcPr>
          <w:p w:rsidR="00A9251F" w:rsidRDefault="00A93ACE">
            <w:pPr>
              <w:rPr>
                <w:b/>
                <w:color w:val="000000"/>
                <w:sz w:val="22"/>
                <w:szCs w:val="20"/>
                <w:shd w:val="clear" w:color="auto" w:fill="FFFFFF"/>
                <w:lang w:eastAsia="en-US" w:bidi="ar-SA"/>
              </w:rPr>
            </w:pPr>
            <w:r>
              <w:rPr>
                <w:b/>
                <w:color w:val="000000"/>
                <w:sz w:val="22"/>
                <w:szCs w:val="20"/>
                <w:shd w:val="clear" w:color="auto" w:fill="FFFFFF"/>
                <w:lang w:eastAsia="en-US" w:bidi="ar-SA"/>
              </w:rPr>
              <w:t>10</w:t>
            </w:r>
          </w:p>
        </w:tc>
      </w:tr>
      <w:tr w:rsidR="00A9251F">
        <w:trPr>
          <w:trHeight w:val="170"/>
          <w:jc w:val="center"/>
        </w:trPr>
        <w:tc>
          <w:tcPr>
            <w:tcW w:w="1962" w:type="dxa"/>
            <w:vMerge w:val="restart"/>
            <w:tcBorders>
              <w:top w:val="nil"/>
              <w:left w:val="single" w:sz="8" w:space="0" w:color="000000"/>
              <w:bottom w:val="single" w:sz="8" w:space="0" w:color="000000"/>
              <w:right w:val="single" w:sz="8" w:space="0" w:color="000000"/>
            </w:tcBorders>
            <w:shd w:val="clear" w:color="auto" w:fill="CCFFFF"/>
            <w:vAlign w:val="center"/>
          </w:tcPr>
          <w:p w:rsidR="00A9251F" w:rsidRDefault="00A93ACE">
            <w:pPr>
              <w:rPr>
                <w:b/>
                <w:color w:val="000000"/>
                <w:sz w:val="22"/>
                <w:szCs w:val="20"/>
                <w:shd w:val="clear" w:color="auto" w:fill="FFFFFF"/>
                <w:lang w:eastAsia="en-US" w:bidi="ar-SA"/>
              </w:rPr>
            </w:pPr>
            <w:r>
              <w:rPr>
                <w:b/>
                <w:color w:val="000000"/>
                <w:sz w:val="22"/>
                <w:szCs w:val="20"/>
                <w:shd w:val="clear" w:color="auto" w:fill="FFFFFF"/>
                <w:lang w:eastAsia="en-US" w:bidi="ar-SA"/>
              </w:rPr>
              <w:t xml:space="preserve">WSKAŹNIKI </w:t>
            </w:r>
            <w:r>
              <w:rPr>
                <w:b/>
                <w:color w:val="000000"/>
                <w:sz w:val="22"/>
                <w:szCs w:val="20"/>
                <w:shd w:val="clear" w:color="auto" w:fill="FFFFFF"/>
                <w:lang w:eastAsia="en-US" w:bidi="ar-SA"/>
              </w:rPr>
              <w:t>ZADŁUŻENIA</w:t>
            </w:r>
          </w:p>
        </w:tc>
        <w:tc>
          <w:tcPr>
            <w:tcW w:w="1589" w:type="dxa"/>
            <w:tcBorders>
              <w:top w:val="nil"/>
              <w:left w:val="nil"/>
              <w:bottom w:val="single" w:sz="4" w:space="0" w:color="000000"/>
              <w:right w:val="single" w:sz="8" w:space="0" w:color="000000"/>
            </w:tcBorders>
            <w:vAlign w:val="center"/>
          </w:tcPr>
          <w:p w:rsidR="00A9251F" w:rsidRDefault="00A93ACE">
            <w:pPr>
              <w:jc w:val="left"/>
              <w:rPr>
                <w:color w:val="000000"/>
                <w:sz w:val="22"/>
                <w:szCs w:val="20"/>
                <w:shd w:val="clear" w:color="auto" w:fill="FFFFFF"/>
                <w:lang w:eastAsia="en-US" w:bidi="ar-SA"/>
              </w:rPr>
            </w:pPr>
            <w:r>
              <w:rPr>
                <w:color w:val="000000"/>
                <w:sz w:val="22"/>
                <w:szCs w:val="20"/>
                <w:shd w:val="clear" w:color="auto" w:fill="FFFFFF"/>
                <w:lang w:eastAsia="en-US" w:bidi="ar-SA"/>
              </w:rPr>
              <w:t xml:space="preserve">zadłużenia aktywów (%)                          </w:t>
            </w:r>
          </w:p>
        </w:tc>
        <w:tc>
          <w:tcPr>
            <w:tcW w:w="1082" w:type="dxa"/>
            <w:tcBorders>
              <w:top w:val="nil"/>
              <w:left w:val="nil"/>
              <w:bottom w:val="single" w:sz="4" w:space="0" w:color="000000"/>
              <w:right w:val="single" w:sz="4" w:space="0" w:color="000000"/>
            </w:tcBorders>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13%</w:t>
            </w:r>
          </w:p>
        </w:tc>
        <w:tc>
          <w:tcPr>
            <w:tcW w:w="972" w:type="dxa"/>
            <w:tcBorders>
              <w:top w:val="nil"/>
              <w:left w:val="nil"/>
              <w:bottom w:val="single" w:sz="4" w:space="0" w:color="000000"/>
              <w:right w:val="single" w:sz="8" w:space="0" w:color="000000"/>
            </w:tcBorders>
            <w:shd w:val="clear" w:color="auto" w:fill="FFFFFF"/>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10</w:t>
            </w:r>
          </w:p>
        </w:tc>
        <w:tc>
          <w:tcPr>
            <w:tcW w:w="1082" w:type="dxa"/>
            <w:tcBorders>
              <w:top w:val="nil"/>
              <w:left w:val="nil"/>
              <w:bottom w:val="single" w:sz="4" w:space="0" w:color="000000"/>
              <w:right w:val="single" w:sz="4" w:space="0" w:color="000000"/>
            </w:tcBorders>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13%</w:t>
            </w:r>
          </w:p>
        </w:tc>
        <w:tc>
          <w:tcPr>
            <w:tcW w:w="972" w:type="dxa"/>
            <w:tcBorders>
              <w:top w:val="nil"/>
              <w:left w:val="nil"/>
              <w:bottom w:val="single" w:sz="4" w:space="0" w:color="000000"/>
              <w:right w:val="nil"/>
            </w:tcBorders>
            <w:shd w:val="clear" w:color="auto" w:fill="FFFFFF"/>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10</w:t>
            </w:r>
          </w:p>
        </w:tc>
        <w:tc>
          <w:tcPr>
            <w:tcW w:w="1082" w:type="dxa"/>
            <w:tcBorders>
              <w:top w:val="nil"/>
              <w:left w:val="single" w:sz="8" w:space="0" w:color="000000"/>
              <w:bottom w:val="single" w:sz="4" w:space="0" w:color="000000"/>
              <w:right w:val="single" w:sz="4" w:space="0" w:color="000000"/>
            </w:tcBorders>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13%</w:t>
            </w:r>
          </w:p>
        </w:tc>
        <w:tc>
          <w:tcPr>
            <w:tcW w:w="972" w:type="dxa"/>
            <w:tcBorders>
              <w:top w:val="nil"/>
              <w:left w:val="nil"/>
              <w:bottom w:val="single" w:sz="4" w:space="0" w:color="000000"/>
              <w:right w:val="single" w:sz="8" w:space="0" w:color="000000"/>
            </w:tcBorders>
            <w:shd w:val="clear" w:color="auto" w:fill="FFFFFF"/>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10</w:t>
            </w:r>
          </w:p>
        </w:tc>
      </w:tr>
      <w:tr w:rsidR="00A9251F">
        <w:trPr>
          <w:trHeight w:val="60"/>
          <w:jc w:val="center"/>
        </w:trPr>
        <w:tc>
          <w:tcPr>
            <w:tcW w:w="1962" w:type="dxa"/>
            <w:vMerge/>
            <w:tcBorders>
              <w:top w:val="nil"/>
              <w:left w:val="single" w:sz="8" w:space="0" w:color="000000"/>
              <w:bottom w:val="single" w:sz="8" w:space="0" w:color="000000"/>
              <w:right w:val="single" w:sz="8" w:space="0" w:color="000000"/>
            </w:tcBorders>
            <w:vAlign w:val="center"/>
          </w:tcPr>
          <w:p w:rsidR="00A9251F" w:rsidRDefault="00A9251F">
            <w:pPr>
              <w:jc w:val="left"/>
              <w:rPr>
                <w:b/>
                <w:color w:val="000000"/>
                <w:sz w:val="22"/>
                <w:szCs w:val="20"/>
                <w:shd w:val="clear" w:color="auto" w:fill="FFFFFF"/>
                <w:lang w:eastAsia="en-US" w:bidi="ar-SA"/>
              </w:rPr>
            </w:pPr>
          </w:p>
        </w:tc>
        <w:tc>
          <w:tcPr>
            <w:tcW w:w="1589" w:type="dxa"/>
            <w:tcBorders>
              <w:top w:val="nil"/>
              <w:left w:val="nil"/>
              <w:bottom w:val="single" w:sz="4" w:space="0" w:color="000000"/>
              <w:right w:val="single" w:sz="8" w:space="0" w:color="000000"/>
            </w:tcBorders>
            <w:vAlign w:val="center"/>
          </w:tcPr>
          <w:p w:rsidR="00A9251F" w:rsidRDefault="00A93ACE">
            <w:pPr>
              <w:jc w:val="left"/>
              <w:rPr>
                <w:color w:val="000000"/>
                <w:sz w:val="22"/>
                <w:szCs w:val="20"/>
                <w:shd w:val="clear" w:color="auto" w:fill="FFFFFF"/>
                <w:lang w:eastAsia="en-US" w:bidi="ar-SA"/>
              </w:rPr>
            </w:pPr>
            <w:r>
              <w:rPr>
                <w:color w:val="000000"/>
                <w:sz w:val="22"/>
                <w:szCs w:val="20"/>
                <w:shd w:val="clear" w:color="auto" w:fill="FFFFFF"/>
                <w:lang w:eastAsia="en-US" w:bidi="ar-SA"/>
              </w:rPr>
              <w:t>wypłacalności</w:t>
            </w:r>
          </w:p>
        </w:tc>
        <w:tc>
          <w:tcPr>
            <w:tcW w:w="1082" w:type="dxa"/>
            <w:tcBorders>
              <w:top w:val="nil"/>
              <w:left w:val="nil"/>
              <w:bottom w:val="single" w:sz="4" w:space="0" w:color="000000"/>
              <w:right w:val="single" w:sz="4" w:space="0" w:color="000000"/>
            </w:tcBorders>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0,22</w:t>
            </w:r>
          </w:p>
        </w:tc>
        <w:tc>
          <w:tcPr>
            <w:tcW w:w="972" w:type="dxa"/>
            <w:tcBorders>
              <w:top w:val="nil"/>
              <w:left w:val="nil"/>
              <w:bottom w:val="single" w:sz="4" w:space="0" w:color="000000"/>
              <w:right w:val="single" w:sz="8" w:space="0" w:color="000000"/>
            </w:tcBorders>
            <w:shd w:val="clear" w:color="auto" w:fill="FFFFFF"/>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10</w:t>
            </w:r>
          </w:p>
        </w:tc>
        <w:tc>
          <w:tcPr>
            <w:tcW w:w="1082" w:type="dxa"/>
            <w:tcBorders>
              <w:top w:val="nil"/>
              <w:left w:val="nil"/>
              <w:bottom w:val="single" w:sz="4" w:space="0" w:color="000000"/>
              <w:right w:val="single" w:sz="4" w:space="0" w:color="000000"/>
            </w:tcBorders>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0,21</w:t>
            </w:r>
          </w:p>
        </w:tc>
        <w:tc>
          <w:tcPr>
            <w:tcW w:w="972" w:type="dxa"/>
            <w:tcBorders>
              <w:top w:val="nil"/>
              <w:left w:val="nil"/>
              <w:bottom w:val="single" w:sz="4" w:space="0" w:color="000000"/>
              <w:right w:val="nil"/>
            </w:tcBorders>
            <w:shd w:val="clear" w:color="auto" w:fill="FFFFFF"/>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10</w:t>
            </w:r>
          </w:p>
        </w:tc>
        <w:tc>
          <w:tcPr>
            <w:tcW w:w="1082" w:type="dxa"/>
            <w:tcBorders>
              <w:top w:val="nil"/>
              <w:left w:val="single" w:sz="8" w:space="0" w:color="000000"/>
              <w:bottom w:val="single" w:sz="4" w:space="0" w:color="000000"/>
              <w:right w:val="single" w:sz="4" w:space="0" w:color="000000"/>
            </w:tcBorders>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0,21</w:t>
            </w:r>
          </w:p>
        </w:tc>
        <w:tc>
          <w:tcPr>
            <w:tcW w:w="972" w:type="dxa"/>
            <w:tcBorders>
              <w:top w:val="nil"/>
              <w:left w:val="nil"/>
              <w:bottom w:val="single" w:sz="4" w:space="0" w:color="000000"/>
              <w:right w:val="single" w:sz="8" w:space="0" w:color="000000"/>
            </w:tcBorders>
            <w:shd w:val="clear" w:color="auto" w:fill="FFFFFF"/>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10</w:t>
            </w:r>
          </w:p>
        </w:tc>
      </w:tr>
      <w:tr w:rsidR="00A9251F">
        <w:trPr>
          <w:trHeight w:val="152"/>
          <w:jc w:val="center"/>
        </w:trPr>
        <w:tc>
          <w:tcPr>
            <w:tcW w:w="3551"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A9251F" w:rsidRDefault="00A93ACE">
            <w:pPr>
              <w:jc w:val="left"/>
              <w:rPr>
                <w:b/>
                <w:color w:val="000000"/>
                <w:sz w:val="22"/>
                <w:szCs w:val="20"/>
                <w:shd w:val="clear" w:color="auto" w:fill="FFFFFF"/>
                <w:lang w:eastAsia="en-US" w:bidi="ar-SA"/>
              </w:rPr>
            </w:pPr>
            <w:r>
              <w:rPr>
                <w:b/>
                <w:color w:val="000000"/>
                <w:sz w:val="22"/>
                <w:szCs w:val="20"/>
                <w:shd w:val="clear" w:color="auto" w:fill="FFFFFF"/>
                <w:lang w:eastAsia="en-US" w:bidi="ar-SA"/>
              </w:rPr>
              <w:t xml:space="preserve">Maksymalna ocena punktowa 20 </w:t>
            </w:r>
            <w:proofErr w:type="spellStart"/>
            <w:r>
              <w:rPr>
                <w:b/>
                <w:color w:val="000000"/>
                <w:sz w:val="22"/>
                <w:szCs w:val="20"/>
                <w:shd w:val="clear" w:color="auto" w:fill="FFFFFF"/>
                <w:lang w:eastAsia="en-US" w:bidi="ar-SA"/>
              </w:rPr>
              <w:t>pkt</w:t>
            </w:r>
            <w:proofErr w:type="spellEnd"/>
          </w:p>
        </w:tc>
        <w:tc>
          <w:tcPr>
            <w:tcW w:w="1082" w:type="dxa"/>
            <w:tcBorders>
              <w:top w:val="single" w:sz="8" w:space="0" w:color="000000"/>
              <w:left w:val="nil"/>
              <w:bottom w:val="single" w:sz="8" w:space="0" w:color="000000"/>
              <w:right w:val="nil"/>
            </w:tcBorders>
            <w:shd w:val="clear" w:color="auto" w:fill="CCFFFF"/>
            <w:vAlign w:val="center"/>
          </w:tcPr>
          <w:p w:rsidR="00A9251F" w:rsidRDefault="00A93ACE">
            <w:pPr>
              <w:jc w:val="left"/>
              <w:rPr>
                <w:b/>
                <w:color w:val="000000"/>
                <w:sz w:val="22"/>
                <w:szCs w:val="20"/>
                <w:shd w:val="clear" w:color="auto" w:fill="FFFFFF"/>
                <w:lang w:eastAsia="en-US" w:bidi="ar-SA"/>
              </w:rPr>
            </w:pPr>
            <w:r>
              <w:rPr>
                <w:b/>
                <w:color w:val="000000"/>
                <w:sz w:val="22"/>
                <w:szCs w:val="20"/>
                <w:shd w:val="clear" w:color="auto" w:fill="FFFFFF"/>
                <w:lang w:eastAsia="en-US" w:bidi="ar-SA"/>
              </w:rPr>
              <w:t>Razem</w:t>
            </w:r>
          </w:p>
        </w:tc>
        <w:tc>
          <w:tcPr>
            <w:tcW w:w="972" w:type="dxa"/>
            <w:tcBorders>
              <w:top w:val="single" w:sz="8" w:space="0" w:color="000000"/>
              <w:left w:val="nil"/>
              <w:bottom w:val="single" w:sz="8" w:space="0" w:color="000000"/>
              <w:right w:val="single" w:sz="8" w:space="0" w:color="000000"/>
            </w:tcBorders>
            <w:shd w:val="clear" w:color="auto" w:fill="CCFFFF"/>
            <w:vAlign w:val="center"/>
          </w:tcPr>
          <w:p w:rsidR="00A9251F" w:rsidRDefault="00A93ACE">
            <w:pPr>
              <w:rPr>
                <w:b/>
                <w:color w:val="000000"/>
                <w:sz w:val="22"/>
                <w:szCs w:val="20"/>
                <w:shd w:val="clear" w:color="auto" w:fill="FFFFFF"/>
                <w:lang w:eastAsia="en-US" w:bidi="ar-SA"/>
              </w:rPr>
            </w:pPr>
            <w:r>
              <w:rPr>
                <w:b/>
                <w:color w:val="000000"/>
                <w:sz w:val="22"/>
                <w:szCs w:val="20"/>
                <w:shd w:val="clear" w:color="auto" w:fill="FFFFFF"/>
                <w:lang w:eastAsia="en-US" w:bidi="ar-SA"/>
              </w:rPr>
              <w:t>20</w:t>
            </w:r>
          </w:p>
        </w:tc>
        <w:tc>
          <w:tcPr>
            <w:tcW w:w="1082" w:type="dxa"/>
            <w:tcBorders>
              <w:top w:val="single" w:sz="8" w:space="0" w:color="000000"/>
              <w:left w:val="nil"/>
              <w:bottom w:val="single" w:sz="8" w:space="0" w:color="000000"/>
              <w:right w:val="nil"/>
            </w:tcBorders>
            <w:shd w:val="clear" w:color="auto" w:fill="CCFFFF"/>
            <w:vAlign w:val="center"/>
          </w:tcPr>
          <w:p w:rsidR="00A9251F" w:rsidRDefault="00A9251F">
            <w:pPr>
              <w:jc w:val="left"/>
              <w:rPr>
                <w:b/>
                <w:color w:val="000000"/>
                <w:sz w:val="22"/>
                <w:szCs w:val="20"/>
                <w:shd w:val="clear" w:color="auto" w:fill="FFFFFF"/>
                <w:lang w:eastAsia="en-US" w:bidi="ar-SA"/>
              </w:rPr>
            </w:pPr>
          </w:p>
        </w:tc>
        <w:tc>
          <w:tcPr>
            <w:tcW w:w="972" w:type="dxa"/>
            <w:tcBorders>
              <w:top w:val="single" w:sz="8" w:space="0" w:color="000000"/>
              <w:left w:val="nil"/>
              <w:bottom w:val="single" w:sz="8" w:space="0" w:color="000000"/>
              <w:right w:val="nil"/>
            </w:tcBorders>
            <w:shd w:val="clear" w:color="auto" w:fill="CCFFFF"/>
            <w:vAlign w:val="center"/>
          </w:tcPr>
          <w:p w:rsidR="00A9251F" w:rsidRDefault="00A93ACE">
            <w:pPr>
              <w:rPr>
                <w:b/>
                <w:color w:val="000000"/>
                <w:sz w:val="22"/>
                <w:szCs w:val="20"/>
                <w:shd w:val="clear" w:color="auto" w:fill="FFFFFF"/>
                <w:lang w:eastAsia="en-US" w:bidi="ar-SA"/>
              </w:rPr>
            </w:pPr>
            <w:r>
              <w:rPr>
                <w:b/>
                <w:color w:val="000000"/>
                <w:sz w:val="22"/>
                <w:szCs w:val="20"/>
                <w:shd w:val="clear" w:color="auto" w:fill="FFFFFF"/>
                <w:lang w:eastAsia="en-US" w:bidi="ar-SA"/>
              </w:rPr>
              <w:t>20</w:t>
            </w:r>
          </w:p>
        </w:tc>
        <w:tc>
          <w:tcPr>
            <w:tcW w:w="1082" w:type="dxa"/>
            <w:tcBorders>
              <w:top w:val="single" w:sz="8" w:space="0" w:color="000000"/>
              <w:left w:val="single" w:sz="8" w:space="0" w:color="000000"/>
              <w:bottom w:val="single" w:sz="8" w:space="0" w:color="000000"/>
              <w:right w:val="nil"/>
            </w:tcBorders>
            <w:shd w:val="clear" w:color="auto" w:fill="CCFFFF"/>
            <w:vAlign w:val="center"/>
          </w:tcPr>
          <w:p w:rsidR="00A9251F" w:rsidRDefault="00A9251F">
            <w:pPr>
              <w:jc w:val="left"/>
              <w:rPr>
                <w:b/>
                <w:color w:val="000000"/>
                <w:sz w:val="22"/>
                <w:szCs w:val="20"/>
                <w:shd w:val="clear" w:color="auto" w:fill="FFFFFF"/>
                <w:lang w:eastAsia="en-US" w:bidi="ar-SA"/>
              </w:rPr>
            </w:pPr>
          </w:p>
        </w:tc>
        <w:tc>
          <w:tcPr>
            <w:tcW w:w="972" w:type="dxa"/>
            <w:tcBorders>
              <w:top w:val="single" w:sz="8" w:space="0" w:color="000000"/>
              <w:left w:val="nil"/>
              <w:bottom w:val="single" w:sz="8" w:space="0" w:color="000000"/>
              <w:right w:val="single" w:sz="8" w:space="0" w:color="000000"/>
            </w:tcBorders>
            <w:shd w:val="clear" w:color="auto" w:fill="CCFFFF"/>
            <w:vAlign w:val="center"/>
          </w:tcPr>
          <w:p w:rsidR="00A9251F" w:rsidRDefault="00A93ACE">
            <w:pPr>
              <w:rPr>
                <w:b/>
                <w:color w:val="000000"/>
                <w:sz w:val="22"/>
                <w:szCs w:val="20"/>
                <w:shd w:val="clear" w:color="auto" w:fill="FFFFFF"/>
                <w:lang w:eastAsia="en-US" w:bidi="ar-SA"/>
              </w:rPr>
            </w:pPr>
            <w:r>
              <w:rPr>
                <w:b/>
                <w:color w:val="000000"/>
                <w:sz w:val="22"/>
                <w:szCs w:val="20"/>
                <w:shd w:val="clear" w:color="auto" w:fill="FFFFFF"/>
                <w:lang w:eastAsia="en-US" w:bidi="ar-SA"/>
              </w:rPr>
              <w:t>20</w:t>
            </w:r>
          </w:p>
        </w:tc>
      </w:tr>
      <w:tr w:rsidR="00A9251F">
        <w:trPr>
          <w:trHeight w:val="61"/>
          <w:jc w:val="center"/>
        </w:trPr>
        <w:tc>
          <w:tcPr>
            <w:tcW w:w="3551" w:type="dxa"/>
            <w:gridSpan w:val="2"/>
            <w:tcBorders>
              <w:top w:val="single" w:sz="8" w:space="0" w:color="000000"/>
              <w:left w:val="single" w:sz="8" w:space="0" w:color="000000"/>
              <w:bottom w:val="single" w:sz="8" w:space="0" w:color="000000"/>
              <w:right w:val="single" w:sz="8" w:space="0" w:color="000000"/>
            </w:tcBorders>
            <w:shd w:val="clear" w:color="auto" w:fill="FFFF99"/>
            <w:noWrap/>
            <w:vAlign w:val="center"/>
          </w:tcPr>
          <w:p w:rsidR="00A9251F" w:rsidRDefault="00A93ACE">
            <w:pPr>
              <w:rPr>
                <w:b/>
                <w:color w:val="000000"/>
                <w:sz w:val="22"/>
                <w:szCs w:val="20"/>
                <w:shd w:val="clear" w:color="auto" w:fill="FFFFFF"/>
                <w:lang w:eastAsia="en-US" w:bidi="ar-SA"/>
              </w:rPr>
            </w:pPr>
            <w:r>
              <w:rPr>
                <w:b/>
                <w:color w:val="000000"/>
                <w:sz w:val="22"/>
                <w:szCs w:val="20"/>
                <w:shd w:val="clear" w:color="auto" w:fill="FFFFFF"/>
                <w:lang w:eastAsia="en-US" w:bidi="ar-SA"/>
              </w:rPr>
              <w:t>Łączna wartość punktów osiągniętych</w:t>
            </w:r>
          </w:p>
        </w:tc>
        <w:tc>
          <w:tcPr>
            <w:tcW w:w="2054" w:type="dxa"/>
            <w:gridSpan w:val="2"/>
            <w:tcBorders>
              <w:top w:val="single" w:sz="8" w:space="0" w:color="000000"/>
              <w:left w:val="nil"/>
              <w:bottom w:val="single" w:sz="8" w:space="0" w:color="000000"/>
              <w:right w:val="single" w:sz="8" w:space="0" w:color="000000"/>
            </w:tcBorders>
            <w:shd w:val="clear" w:color="auto" w:fill="FFFF99"/>
            <w:vAlign w:val="center"/>
          </w:tcPr>
          <w:p w:rsidR="00A9251F" w:rsidRDefault="00A93ACE">
            <w:pPr>
              <w:rPr>
                <w:b/>
                <w:color w:val="000000"/>
                <w:sz w:val="22"/>
                <w:szCs w:val="20"/>
                <w:shd w:val="clear" w:color="auto" w:fill="FFFFFF"/>
                <w:lang w:eastAsia="en-US" w:bidi="ar-SA"/>
              </w:rPr>
            </w:pPr>
            <w:r>
              <w:rPr>
                <w:b/>
                <w:color w:val="000000"/>
                <w:sz w:val="22"/>
                <w:szCs w:val="20"/>
                <w:shd w:val="clear" w:color="auto" w:fill="FFFFFF"/>
                <w:lang w:eastAsia="en-US" w:bidi="ar-SA"/>
              </w:rPr>
              <w:t>64 (91,43%)</w:t>
            </w:r>
          </w:p>
        </w:tc>
        <w:tc>
          <w:tcPr>
            <w:tcW w:w="2054" w:type="dxa"/>
            <w:gridSpan w:val="2"/>
            <w:tcBorders>
              <w:top w:val="single" w:sz="8" w:space="0" w:color="000000"/>
              <w:left w:val="nil"/>
              <w:bottom w:val="single" w:sz="8" w:space="0" w:color="000000"/>
              <w:right w:val="single" w:sz="8" w:space="0" w:color="000000"/>
            </w:tcBorders>
            <w:shd w:val="clear" w:color="auto" w:fill="FFFF99"/>
            <w:vAlign w:val="center"/>
          </w:tcPr>
          <w:p w:rsidR="00A9251F" w:rsidRDefault="00A93ACE">
            <w:pPr>
              <w:rPr>
                <w:b/>
                <w:color w:val="000000"/>
                <w:sz w:val="22"/>
                <w:szCs w:val="20"/>
                <w:shd w:val="clear" w:color="auto" w:fill="FFFFFF"/>
                <w:lang w:eastAsia="en-US" w:bidi="ar-SA"/>
              </w:rPr>
            </w:pPr>
            <w:r>
              <w:rPr>
                <w:b/>
                <w:color w:val="000000"/>
                <w:sz w:val="22"/>
                <w:szCs w:val="20"/>
                <w:shd w:val="clear" w:color="auto" w:fill="FFFFFF"/>
                <w:lang w:eastAsia="en-US" w:bidi="ar-SA"/>
              </w:rPr>
              <w:t>61 (87,14%)</w:t>
            </w:r>
          </w:p>
        </w:tc>
        <w:tc>
          <w:tcPr>
            <w:tcW w:w="2054" w:type="dxa"/>
            <w:gridSpan w:val="2"/>
            <w:tcBorders>
              <w:top w:val="single" w:sz="8" w:space="0" w:color="000000"/>
              <w:left w:val="nil"/>
              <w:bottom w:val="single" w:sz="8" w:space="0" w:color="000000"/>
              <w:right w:val="single" w:sz="8" w:space="0" w:color="000000"/>
            </w:tcBorders>
            <w:shd w:val="clear" w:color="auto" w:fill="FFFF99"/>
            <w:vAlign w:val="center"/>
          </w:tcPr>
          <w:p w:rsidR="00A9251F" w:rsidRDefault="00A93ACE">
            <w:pPr>
              <w:rPr>
                <w:b/>
                <w:color w:val="000000"/>
                <w:sz w:val="22"/>
                <w:szCs w:val="20"/>
                <w:shd w:val="clear" w:color="auto" w:fill="FFFFFF"/>
                <w:lang w:eastAsia="en-US" w:bidi="ar-SA"/>
              </w:rPr>
            </w:pPr>
            <w:r>
              <w:rPr>
                <w:b/>
                <w:color w:val="000000"/>
                <w:sz w:val="22"/>
                <w:szCs w:val="20"/>
                <w:shd w:val="clear" w:color="auto" w:fill="FFFFFF"/>
                <w:lang w:eastAsia="en-US" w:bidi="ar-SA"/>
              </w:rPr>
              <w:t>61 (87,14%)</w:t>
            </w:r>
          </w:p>
        </w:tc>
      </w:tr>
      <w:tr w:rsidR="00A9251F">
        <w:trPr>
          <w:trHeight w:val="82"/>
          <w:jc w:val="center"/>
        </w:trPr>
        <w:tc>
          <w:tcPr>
            <w:tcW w:w="3551" w:type="dxa"/>
            <w:gridSpan w:val="2"/>
            <w:tcBorders>
              <w:top w:val="single" w:sz="8" w:space="0" w:color="000000"/>
              <w:left w:val="single" w:sz="8" w:space="0" w:color="000000"/>
              <w:bottom w:val="single" w:sz="8" w:space="0" w:color="000000"/>
              <w:right w:val="single" w:sz="8" w:space="0" w:color="000000"/>
            </w:tcBorders>
            <w:shd w:val="clear" w:color="auto" w:fill="FFFF00"/>
            <w:noWrap/>
            <w:vAlign w:val="center"/>
          </w:tcPr>
          <w:p w:rsidR="00A9251F" w:rsidRDefault="00A93ACE">
            <w:pPr>
              <w:rPr>
                <w:b/>
                <w:color w:val="000000"/>
                <w:sz w:val="22"/>
                <w:szCs w:val="20"/>
                <w:shd w:val="clear" w:color="auto" w:fill="FFFFFF"/>
                <w:lang w:eastAsia="en-US" w:bidi="ar-SA"/>
              </w:rPr>
            </w:pPr>
            <w:r>
              <w:rPr>
                <w:b/>
                <w:color w:val="000000"/>
                <w:sz w:val="22"/>
                <w:szCs w:val="20"/>
                <w:shd w:val="clear" w:color="auto" w:fill="FFFFFF"/>
                <w:lang w:eastAsia="en-US" w:bidi="ar-SA"/>
              </w:rPr>
              <w:t xml:space="preserve">Maksymalna wartość punktów </w:t>
            </w:r>
            <w:r>
              <w:rPr>
                <w:b/>
                <w:color w:val="000000"/>
                <w:sz w:val="22"/>
                <w:szCs w:val="20"/>
                <w:shd w:val="clear" w:color="auto" w:fill="FFFFFF"/>
                <w:lang w:eastAsia="en-US" w:bidi="ar-SA"/>
              </w:rPr>
              <w:t>możliwych do osiągnięcia</w:t>
            </w:r>
          </w:p>
        </w:tc>
        <w:tc>
          <w:tcPr>
            <w:tcW w:w="2054" w:type="dxa"/>
            <w:gridSpan w:val="2"/>
            <w:tcBorders>
              <w:top w:val="single" w:sz="8" w:space="0" w:color="000000"/>
              <w:left w:val="nil"/>
              <w:bottom w:val="single" w:sz="8" w:space="0" w:color="000000"/>
              <w:right w:val="single" w:sz="8" w:space="0" w:color="000000"/>
            </w:tcBorders>
            <w:shd w:val="clear" w:color="auto" w:fill="FFFF00"/>
            <w:vAlign w:val="center"/>
          </w:tcPr>
          <w:p w:rsidR="00A9251F" w:rsidRDefault="00A93ACE">
            <w:pPr>
              <w:rPr>
                <w:b/>
                <w:color w:val="000000"/>
                <w:sz w:val="22"/>
                <w:szCs w:val="20"/>
                <w:shd w:val="clear" w:color="auto" w:fill="FFFFFF"/>
                <w:lang w:eastAsia="en-US" w:bidi="ar-SA"/>
              </w:rPr>
            </w:pPr>
            <w:r>
              <w:rPr>
                <w:b/>
                <w:color w:val="000000"/>
                <w:sz w:val="22"/>
                <w:szCs w:val="20"/>
                <w:shd w:val="clear" w:color="auto" w:fill="FFFFFF"/>
                <w:lang w:eastAsia="en-US" w:bidi="ar-SA"/>
              </w:rPr>
              <w:t>70   (100%)</w:t>
            </w:r>
          </w:p>
        </w:tc>
        <w:tc>
          <w:tcPr>
            <w:tcW w:w="2054" w:type="dxa"/>
            <w:gridSpan w:val="2"/>
            <w:tcBorders>
              <w:top w:val="single" w:sz="8" w:space="0" w:color="000000"/>
              <w:left w:val="nil"/>
              <w:bottom w:val="single" w:sz="8" w:space="0" w:color="000000"/>
              <w:right w:val="single" w:sz="8" w:space="0" w:color="000000"/>
            </w:tcBorders>
            <w:shd w:val="clear" w:color="auto" w:fill="FFFF00"/>
            <w:vAlign w:val="center"/>
          </w:tcPr>
          <w:p w:rsidR="00A9251F" w:rsidRDefault="00A93ACE">
            <w:pPr>
              <w:rPr>
                <w:b/>
                <w:color w:val="000000"/>
                <w:sz w:val="22"/>
                <w:szCs w:val="20"/>
                <w:shd w:val="clear" w:color="auto" w:fill="FFFFFF"/>
                <w:lang w:eastAsia="en-US" w:bidi="ar-SA"/>
              </w:rPr>
            </w:pPr>
            <w:r>
              <w:rPr>
                <w:b/>
                <w:color w:val="000000"/>
                <w:sz w:val="22"/>
                <w:szCs w:val="20"/>
                <w:shd w:val="clear" w:color="auto" w:fill="FFFFFF"/>
                <w:lang w:eastAsia="en-US" w:bidi="ar-SA"/>
              </w:rPr>
              <w:t>70   (100%)</w:t>
            </w:r>
          </w:p>
        </w:tc>
        <w:tc>
          <w:tcPr>
            <w:tcW w:w="2054" w:type="dxa"/>
            <w:gridSpan w:val="2"/>
            <w:tcBorders>
              <w:top w:val="single" w:sz="8" w:space="0" w:color="000000"/>
              <w:left w:val="nil"/>
              <w:bottom w:val="single" w:sz="8" w:space="0" w:color="000000"/>
              <w:right w:val="single" w:sz="8" w:space="0" w:color="000000"/>
            </w:tcBorders>
            <w:shd w:val="clear" w:color="auto" w:fill="FFFF00"/>
            <w:vAlign w:val="center"/>
          </w:tcPr>
          <w:p w:rsidR="00A9251F" w:rsidRDefault="00A93ACE">
            <w:pPr>
              <w:rPr>
                <w:b/>
                <w:color w:val="000000"/>
                <w:sz w:val="22"/>
                <w:szCs w:val="20"/>
                <w:shd w:val="clear" w:color="auto" w:fill="FFFFFF"/>
                <w:lang w:eastAsia="en-US" w:bidi="ar-SA"/>
              </w:rPr>
            </w:pPr>
            <w:r>
              <w:rPr>
                <w:b/>
                <w:color w:val="000000"/>
                <w:sz w:val="22"/>
                <w:szCs w:val="20"/>
                <w:shd w:val="clear" w:color="auto" w:fill="FFFFFF"/>
                <w:lang w:eastAsia="en-US" w:bidi="ar-SA"/>
              </w:rPr>
              <w:t>70   (100%)</w:t>
            </w:r>
          </w:p>
        </w:tc>
      </w:tr>
    </w:tbl>
    <w:p w:rsidR="00A9251F" w:rsidRDefault="00A93ACE">
      <w:pPr>
        <w:spacing w:before="240" w:line="276" w:lineRule="auto"/>
        <w:jc w:val="both"/>
        <w:rPr>
          <w:color w:val="000000"/>
          <w:szCs w:val="20"/>
          <w:shd w:val="clear" w:color="auto" w:fill="FFFFFF"/>
          <w:lang w:eastAsia="en-US" w:bidi="ar-SA"/>
        </w:rPr>
      </w:pPr>
      <w:r>
        <w:rPr>
          <w:color w:val="000000"/>
          <w:szCs w:val="20"/>
          <w:shd w:val="clear" w:color="auto" w:fill="FFFFFF"/>
          <w:lang w:eastAsia="en-US" w:bidi="ar-SA"/>
        </w:rPr>
        <w:t>Prognozowane przez MCM „Polesie” w Łodzi wskaźniki na lata 2022-2024:</w:t>
      </w:r>
    </w:p>
    <w:p w:rsidR="00A9251F" w:rsidRDefault="00A93ACE">
      <w:pPr>
        <w:numPr>
          <w:ilvl w:val="0"/>
          <w:numId w:val="4"/>
        </w:numPr>
        <w:tabs>
          <w:tab w:val="left" w:pos="360"/>
        </w:tabs>
        <w:spacing w:line="276" w:lineRule="auto"/>
        <w:ind w:left="360"/>
        <w:jc w:val="both"/>
        <w:rPr>
          <w:color w:val="000000"/>
          <w:szCs w:val="20"/>
          <w:u w:val="single"/>
          <w:shd w:val="clear" w:color="auto" w:fill="FFFFFF"/>
          <w:lang w:eastAsia="en-US" w:bidi="ar-SA"/>
        </w:rPr>
      </w:pPr>
      <w:r>
        <w:rPr>
          <w:b/>
          <w:color w:val="000000"/>
          <w:szCs w:val="20"/>
          <w:shd w:val="clear" w:color="auto" w:fill="FFFFFF"/>
          <w:lang w:eastAsia="en-US" w:bidi="ar-SA"/>
        </w:rPr>
        <w:t>Wskaźniki zyskowności</w:t>
      </w:r>
      <w:r>
        <w:rPr>
          <w:color w:val="000000"/>
          <w:szCs w:val="20"/>
          <w:shd w:val="clear" w:color="auto" w:fill="FFFFFF"/>
          <w:lang w:eastAsia="en-US" w:bidi="ar-SA"/>
        </w:rPr>
        <w:t xml:space="preserve"> – MCM „Polesie” w Łodzi prognozuje spadek wartości wysokości wskaźników, co wynika z wartości umów zawartych z NFZ na dany okres. Zmiana ta nie wpływa negatywnie na funkcjonowanie jednostki – w każdym z lat prognozy suma punktów wskaźnika wynosi 9 na 10 m</w:t>
      </w:r>
      <w:r>
        <w:rPr>
          <w:color w:val="000000"/>
          <w:szCs w:val="20"/>
          <w:shd w:val="clear" w:color="auto" w:fill="FFFFFF"/>
          <w:lang w:eastAsia="en-US" w:bidi="ar-SA"/>
        </w:rPr>
        <w:t>ożliwych</w:t>
      </w:r>
      <w:r>
        <w:rPr>
          <w:color w:val="000000"/>
          <w:szCs w:val="20"/>
          <w:shd w:val="clear" w:color="auto" w:fill="FFFFFF"/>
        </w:rPr>
        <w:t>.</w:t>
      </w:r>
    </w:p>
    <w:p w:rsidR="00A9251F" w:rsidRDefault="00A93ACE">
      <w:pPr>
        <w:numPr>
          <w:ilvl w:val="0"/>
          <w:numId w:val="4"/>
        </w:numPr>
        <w:tabs>
          <w:tab w:val="left" w:pos="360"/>
        </w:tabs>
        <w:spacing w:line="276" w:lineRule="auto"/>
        <w:ind w:left="360"/>
        <w:jc w:val="both"/>
        <w:rPr>
          <w:color w:val="000000"/>
          <w:szCs w:val="20"/>
          <w:u w:val="single"/>
          <w:shd w:val="clear" w:color="auto" w:fill="FFFFFF"/>
          <w:lang w:eastAsia="en-US" w:bidi="ar-SA"/>
        </w:rPr>
      </w:pPr>
      <w:r>
        <w:rPr>
          <w:b/>
          <w:color w:val="000000"/>
          <w:szCs w:val="20"/>
          <w:shd w:val="clear" w:color="auto" w:fill="FFFFFF"/>
          <w:lang w:eastAsia="en-US" w:bidi="ar-SA"/>
        </w:rPr>
        <w:t>Wskaźniki  płynności</w:t>
      </w:r>
      <w:r>
        <w:rPr>
          <w:color w:val="000000"/>
          <w:szCs w:val="20"/>
          <w:shd w:val="clear" w:color="auto" w:fill="FFFFFF"/>
          <w:lang w:eastAsia="en-US" w:bidi="ar-SA"/>
        </w:rPr>
        <w:t xml:space="preserve"> – ich wysokość oscyluje w granicach 1,98-2,94, co również potwierdza dobrą perspektywę płynności jednostki w kolejnych latach. W rezultacie </w:t>
      </w:r>
      <w:r>
        <w:rPr>
          <w:color w:val="000000"/>
          <w:szCs w:val="20"/>
          <w:shd w:val="clear" w:color="auto" w:fill="FFFFFF"/>
        </w:rPr>
        <w:br/>
      </w:r>
      <w:r>
        <w:rPr>
          <w:color w:val="000000"/>
          <w:szCs w:val="20"/>
          <w:shd w:val="clear" w:color="auto" w:fill="FFFFFF"/>
          <w:lang w:eastAsia="en-US" w:bidi="ar-SA"/>
        </w:rPr>
        <w:t>na 2022 rok przewidziano uzyskanie maksymalnej liczby punktów (25), a w kolejnych sp</w:t>
      </w:r>
      <w:r>
        <w:rPr>
          <w:color w:val="000000"/>
          <w:szCs w:val="20"/>
          <w:shd w:val="clear" w:color="auto" w:fill="FFFFFF"/>
          <w:lang w:eastAsia="en-US" w:bidi="ar-SA"/>
        </w:rPr>
        <w:t xml:space="preserve">adek do 22 punktów, co świadczy o planowanej nadpłynności finansowe jednostki. Zgodnie z metodologią obliczania wskaźników </w:t>
      </w:r>
      <w:r>
        <w:rPr>
          <w:b/>
          <w:color w:val="000000"/>
          <w:szCs w:val="20"/>
          <w:shd w:val="clear" w:color="auto" w:fill="FFFFFF"/>
          <w:lang w:eastAsia="en-US" w:bidi="ar-SA"/>
        </w:rPr>
        <w:t>płynności</w:t>
      </w:r>
      <w:r>
        <w:rPr>
          <w:color w:val="000000"/>
          <w:szCs w:val="20"/>
          <w:shd w:val="clear" w:color="auto" w:fill="FFFFFF"/>
          <w:lang w:eastAsia="en-US" w:bidi="ar-SA"/>
        </w:rPr>
        <w:t>, uzyskanie wyższej wartości oceniane jest niższą wartością punktową – stan nadpłynności finansowej i możliwość zainicjowani</w:t>
      </w:r>
      <w:r>
        <w:rPr>
          <w:color w:val="000000"/>
          <w:szCs w:val="20"/>
          <w:shd w:val="clear" w:color="auto" w:fill="FFFFFF"/>
          <w:lang w:eastAsia="en-US" w:bidi="ar-SA"/>
        </w:rPr>
        <w:t>a inwestycji ze środków własnych.</w:t>
      </w:r>
    </w:p>
    <w:p w:rsidR="00A9251F" w:rsidRDefault="00A93ACE">
      <w:pPr>
        <w:numPr>
          <w:ilvl w:val="0"/>
          <w:numId w:val="4"/>
        </w:numPr>
        <w:tabs>
          <w:tab w:val="left" w:pos="360"/>
        </w:tabs>
        <w:spacing w:line="276" w:lineRule="auto"/>
        <w:ind w:left="360"/>
        <w:jc w:val="both"/>
        <w:rPr>
          <w:color w:val="000000"/>
          <w:szCs w:val="20"/>
          <w:shd w:val="clear" w:color="auto" w:fill="FFFFFF"/>
          <w:lang w:eastAsia="en-US" w:bidi="ar-SA"/>
        </w:rPr>
      </w:pPr>
      <w:r>
        <w:rPr>
          <w:b/>
          <w:color w:val="000000"/>
          <w:szCs w:val="20"/>
          <w:shd w:val="clear" w:color="auto" w:fill="FFFFFF"/>
          <w:lang w:eastAsia="en-US" w:bidi="ar-SA"/>
        </w:rPr>
        <w:t>Wskaźniki efektywności</w:t>
      </w:r>
      <w:r>
        <w:rPr>
          <w:color w:val="000000"/>
          <w:szCs w:val="20"/>
          <w:shd w:val="clear" w:color="auto" w:fill="FFFFFF"/>
          <w:lang w:eastAsia="en-US" w:bidi="ar-SA"/>
        </w:rPr>
        <w:t xml:space="preserve"> – prognoza przewiduje wzrost poziomu rotacji należności </w:t>
      </w:r>
      <w:r>
        <w:rPr>
          <w:color w:val="000000"/>
          <w:szCs w:val="20"/>
          <w:shd w:val="clear" w:color="auto" w:fill="FFFFFF"/>
          <w:lang w:eastAsia="en-US" w:bidi="ar-SA"/>
        </w:rPr>
        <w:br/>
        <w:t>(35-36 dni) oraz spadek poziomu rotacji zobowiązań (13 dni) – w każdym z lat prognozy suma punktów wynosi 10. Brak zagrożeń w terminowym uzysk</w:t>
      </w:r>
      <w:r>
        <w:rPr>
          <w:color w:val="000000"/>
          <w:szCs w:val="20"/>
          <w:shd w:val="clear" w:color="auto" w:fill="FFFFFF"/>
          <w:lang w:eastAsia="en-US" w:bidi="ar-SA"/>
        </w:rPr>
        <w:t xml:space="preserve">iwaniu należności </w:t>
      </w:r>
      <w:r>
        <w:rPr>
          <w:color w:val="000000"/>
          <w:szCs w:val="20"/>
          <w:shd w:val="clear" w:color="auto" w:fill="FFFFFF"/>
        </w:rPr>
        <w:br/>
      </w:r>
      <w:r>
        <w:rPr>
          <w:color w:val="000000"/>
          <w:szCs w:val="20"/>
          <w:shd w:val="clear" w:color="auto" w:fill="FFFFFF"/>
          <w:lang w:eastAsia="en-US" w:bidi="ar-SA"/>
        </w:rPr>
        <w:t>oraz pokrywaniu zobowiązań.</w:t>
      </w:r>
    </w:p>
    <w:p w:rsidR="00A9251F" w:rsidRDefault="00A93ACE">
      <w:pPr>
        <w:numPr>
          <w:ilvl w:val="0"/>
          <w:numId w:val="4"/>
        </w:numPr>
        <w:tabs>
          <w:tab w:val="left" w:pos="360"/>
        </w:tabs>
        <w:spacing w:after="200" w:line="276" w:lineRule="auto"/>
        <w:ind w:left="360"/>
        <w:jc w:val="both"/>
        <w:rPr>
          <w:b/>
          <w:color w:val="000000"/>
          <w:szCs w:val="20"/>
          <w:shd w:val="clear" w:color="auto" w:fill="FFFFFF"/>
          <w:lang w:eastAsia="en-US" w:bidi="ar-SA"/>
        </w:rPr>
      </w:pPr>
      <w:r>
        <w:rPr>
          <w:b/>
          <w:color w:val="000000"/>
          <w:szCs w:val="20"/>
          <w:shd w:val="clear" w:color="auto" w:fill="FFFFFF"/>
          <w:lang w:eastAsia="en-US" w:bidi="ar-SA"/>
        </w:rPr>
        <w:t>Wskaźniki zadłużenia</w:t>
      </w:r>
      <w:r>
        <w:rPr>
          <w:color w:val="000000"/>
          <w:szCs w:val="20"/>
          <w:shd w:val="clear" w:color="auto" w:fill="FFFFFF"/>
          <w:lang w:eastAsia="en-US" w:bidi="ar-SA"/>
        </w:rPr>
        <w:t xml:space="preserve"> – prognozowane wielkość są zbliżone do uzyskanych w 2021 roku. Wskaźnik </w:t>
      </w:r>
      <w:r>
        <w:rPr>
          <w:b/>
          <w:color w:val="000000"/>
          <w:szCs w:val="20"/>
          <w:shd w:val="clear" w:color="auto" w:fill="FFFFFF"/>
          <w:lang w:eastAsia="en-US" w:bidi="ar-SA"/>
        </w:rPr>
        <w:t>zadłużenia aktywów</w:t>
      </w:r>
      <w:r>
        <w:rPr>
          <w:color w:val="000000"/>
          <w:szCs w:val="20"/>
          <w:shd w:val="clear" w:color="auto" w:fill="FFFFFF"/>
          <w:lang w:eastAsia="en-US" w:bidi="ar-SA"/>
        </w:rPr>
        <w:t xml:space="preserve"> wynosi 13%, a </w:t>
      </w:r>
      <w:r>
        <w:rPr>
          <w:b/>
          <w:color w:val="000000"/>
          <w:szCs w:val="20"/>
          <w:shd w:val="clear" w:color="auto" w:fill="FFFFFF"/>
          <w:lang w:eastAsia="en-US" w:bidi="ar-SA"/>
        </w:rPr>
        <w:t>wypłacalności</w:t>
      </w:r>
      <w:r>
        <w:rPr>
          <w:color w:val="000000"/>
          <w:szCs w:val="20"/>
          <w:shd w:val="clear" w:color="auto" w:fill="FFFFFF"/>
          <w:lang w:eastAsia="en-US" w:bidi="ar-SA"/>
        </w:rPr>
        <w:t xml:space="preserve"> oscyluje w granicach 0,21-0,22 – w każdym z lat prognozy suma punktów wynosi 20. Oznacza to, że wszystkie one uzyskują akceptowalną wielkość zapewniając o stabilności i wypłacalności podmiotu.</w:t>
      </w:r>
    </w:p>
    <w:p w:rsidR="00A9251F" w:rsidRDefault="00A93ACE">
      <w:pPr>
        <w:tabs>
          <w:tab w:val="left" w:pos="360"/>
        </w:tabs>
        <w:spacing w:after="200" w:line="276" w:lineRule="auto"/>
        <w:jc w:val="both"/>
        <w:rPr>
          <w:b/>
          <w:color w:val="000000"/>
          <w:szCs w:val="20"/>
          <w:shd w:val="clear" w:color="auto" w:fill="FFFFFF"/>
          <w:lang w:eastAsia="en-US" w:bidi="ar-SA"/>
        </w:rPr>
      </w:pPr>
      <w:r>
        <w:rPr>
          <w:b/>
          <w:color w:val="000000"/>
          <w:szCs w:val="20"/>
          <w:shd w:val="clear" w:color="auto" w:fill="FFFFFF"/>
          <w:lang w:eastAsia="en-US" w:bidi="ar-SA"/>
        </w:rPr>
        <w:t>Prognoza MCM „Polesie” w Łodzi na lata 2022-2024 (zł)</w:t>
      </w:r>
    </w:p>
    <w:tbl>
      <w:tblPr>
        <w:tblW w:w="9014" w:type="dxa"/>
        <w:tblInd w:w="56" w:type="dxa"/>
        <w:tblLayout w:type="fixed"/>
        <w:tblCellMar>
          <w:left w:w="70" w:type="dxa"/>
          <w:right w:w="70" w:type="dxa"/>
        </w:tblCellMar>
        <w:tblLook w:val="04A0"/>
      </w:tblPr>
      <w:tblGrid>
        <w:gridCol w:w="1992"/>
        <w:gridCol w:w="995"/>
        <w:gridCol w:w="623"/>
        <w:gridCol w:w="1080"/>
        <w:gridCol w:w="720"/>
        <w:gridCol w:w="1406"/>
        <w:gridCol w:w="756"/>
        <w:gridCol w:w="1442"/>
      </w:tblGrid>
      <w:tr w:rsidR="00A9251F">
        <w:trPr>
          <w:trHeight w:val="257"/>
        </w:trPr>
        <w:tc>
          <w:tcPr>
            <w:tcW w:w="1992" w:type="dxa"/>
            <w:tcBorders>
              <w:top w:val="single" w:sz="8" w:space="0" w:color="000000"/>
              <w:left w:val="single" w:sz="8" w:space="0" w:color="000000"/>
              <w:bottom w:val="single" w:sz="8" w:space="0" w:color="000000"/>
              <w:right w:val="nil"/>
            </w:tcBorders>
            <w:noWrap/>
            <w:vAlign w:val="center"/>
          </w:tcPr>
          <w:p w:rsidR="00A9251F" w:rsidRDefault="00A93ACE">
            <w:pPr>
              <w:jc w:val="left"/>
              <w:rPr>
                <w:color w:val="000000"/>
                <w:sz w:val="22"/>
                <w:szCs w:val="20"/>
                <w:shd w:val="clear" w:color="auto" w:fill="FFFFFF"/>
                <w:lang w:eastAsia="en-US" w:bidi="ar-SA"/>
              </w:rPr>
            </w:pPr>
            <w:r>
              <w:rPr>
                <w:color w:val="000000"/>
                <w:sz w:val="22"/>
                <w:szCs w:val="20"/>
                <w:shd w:val="clear" w:color="auto" w:fill="FFFFFF"/>
                <w:lang w:eastAsia="en-US" w:bidi="ar-SA"/>
              </w:rPr>
              <w:t xml:space="preserve">Dane </w:t>
            </w:r>
            <w:r>
              <w:rPr>
                <w:color w:val="000000"/>
                <w:sz w:val="22"/>
                <w:szCs w:val="20"/>
                <w:shd w:val="clear" w:color="auto" w:fill="FFFFFF"/>
                <w:lang w:eastAsia="en-US" w:bidi="ar-SA"/>
              </w:rPr>
              <w:t>bilansowe</w:t>
            </w:r>
          </w:p>
        </w:tc>
        <w:tc>
          <w:tcPr>
            <w:tcW w:w="995" w:type="dxa"/>
            <w:tcBorders>
              <w:top w:val="single" w:sz="8" w:space="0" w:color="000000"/>
              <w:left w:val="nil"/>
              <w:bottom w:val="single" w:sz="8" w:space="0" w:color="000000"/>
              <w:right w:val="single" w:sz="8" w:space="0" w:color="000000"/>
            </w:tcBorders>
            <w:noWrap/>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 </w:t>
            </w:r>
          </w:p>
        </w:tc>
        <w:tc>
          <w:tcPr>
            <w:tcW w:w="623" w:type="dxa"/>
            <w:tcBorders>
              <w:top w:val="single" w:sz="8" w:space="0" w:color="000000"/>
              <w:left w:val="nil"/>
              <w:bottom w:val="single" w:sz="8" w:space="0" w:color="000000"/>
              <w:right w:val="nil"/>
            </w:tcBorders>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2022</w:t>
            </w:r>
          </w:p>
        </w:tc>
        <w:tc>
          <w:tcPr>
            <w:tcW w:w="1080" w:type="dxa"/>
            <w:tcBorders>
              <w:top w:val="single" w:sz="8" w:space="0" w:color="000000"/>
              <w:left w:val="nil"/>
              <w:bottom w:val="single" w:sz="8" w:space="0" w:color="000000"/>
              <w:right w:val="single" w:sz="8" w:space="0" w:color="000000"/>
            </w:tcBorders>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wartość</w:t>
            </w:r>
          </w:p>
        </w:tc>
        <w:tc>
          <w:tcPr>
            <w:tcW w:w="720" w:type="dxa"/>
            <w:tcBorders>
              <w:top w:val="single" w:sz="8" w:space="0" w:color="000000"/>
              <w:left w:val="nil"/>
              <w:bottom w:val="single" w:sz="8" w:space="0" w:color="000000"/>
              <w:right w:val="nil"/>
            </w:tcBorders>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2023</w:t>
            </w:r>
          </w:p>
        </w:tc>
        <w:tc>
          <w:tcPr>
            <w:tcW w:w="1406" w:type="dxa"/>
            <w:tcBorders>
              <w:top w:val="single" w:sz="8" w:space="0" w:color="000000"/>
              <w:left w:val="nil"/>
              <w:bottom w:val="single" w:sz="8" w:space="0" w:color="000000"/>
              <w:right w:val="single" w:sz="8" w:space="0" w:color="000000"/>
            </w:tcBorders>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wartość</w:t>
            </w:r>
          </w:p>
        </w:tc>
        <w:tc>
          <w:tcPr>
            <w:tcW w:w="756" w:type="dxa"/>
            <w:tcBorders>
              <w:top w:val="single" w:sz="8" w:space="0" w:color="000000"/>
              <w:left w:val="nil"/>
              <w:bottom w:val="single" w:sz="8" w:space="0" w:color="000000"/>
              <w:right w:val="nil"/>
            </w:tcBorders>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2024</w:t>
            </w:r>
          </w:p>
        </w:tc>
        <w:tc>
          <w:tcPr>
            <w:tcW w:w="1442" w:type="dxa"/>
            <w:tcBorders>
              <w:top w:val="single" w:sz="8" w:space="0" w:color="000000"/>
              <w:left w:val="nil"/>
              <w:bottom w:val="single" w:sz="8" w:space="0" w:color="000000"/>
              <w:right w:val="single" w:sz="8" w:space="0" w:color="000000"/>
            </w:tcBorders>
            <w:vAlign w:val="center"/>
          </w:tcPr>
          <w:p w:rsidR="00A9251F" w:rsidRDefault="00A93ACE">
            <w:pPr>
              <w:rPr>
                <w:color w:val="000000"/>
                <w:sz w:val="22"/>
                <w:szCs w:val="20"/>
                <w:shd w:val="clear" w:color="auto" w:fill="FFFFFF"/>
                <w:lang w:eastAsia="en-US" w:bidi="ar-SA"/>
              </w:rPr>
            </w:pPr>
            <w:r>
              <w:rPr>
                <w:color w:val="000000"/>
                <w:sz w:val="22"/>
                <w:szCs w:val="20"/>
                <w:shd w:val="clear" w:color="auto" w:fill="FFFFFF"/>
                <w:lang w:eastAsia="en-US" w:bidi="ar-SA"/>
              </w:rPr>
              <w:t>Wartość</w:t>
            </w:r>
          </w:p>
        </w:tc>
      </w:tr>
      <w:tr w:rsidR="00A9251F">
        <w:trPr>
          <w:trHeight w:val="349"/>
        </w:trPr>
        <w:tc>
          <w:tcPr>
            <w:tcW w:w="2987" w:type="dxa"/>
            <w:gridSpan w:val="2"/>
            <w:tcBorders>
              <w:top w:val="single" w:sz="8" w:space="0" w:color="000000"/>
              <w:left w:val="single" w:sz="8" w:space="0" w:color="000000"/>
              <w:bottom w:val="single" w:sz="8" w:space="0" w:color="000000"/>
              <w:right w:val="single" w:sz="8" w:space="0" w:color="000000"/>
            </w:tcBorders>
            <w:vAlign w:val="bottom"/>
          </w:tcPr>
          <w:p w:rsidR="00A9251F" w:rsidRDefault="00A93ACE">
            <w:pPr>
              <w:jc w:val="left"/>
              <w:rPr>
                <w:color w:val="000000"/>
                <w:sz w:val="22"/>
                <w:szCs w:val="20"/>
                <w:shd w:val="clear" w:color="auto" w:fill="FFFFFF"/>
                <w:lang w:eastAsia="en-US" w:bidi="ar-SA"/>
              </w:rPr>
            </w:pPr>
            <w:r>
              <w:rPr>
                <w:color w:val="000000"/>
                <w:sz w:val="22"/>
                <w:szCs w:val="20"/>
                <w:shd w:val="clear" w:color="auto" w:fill="FFFFFF"/>
                <w:lang w:eastAsia="en-US" w:bidi="ar-SA"/>
              </w:rPr>
              <w:t xml:space="preserve">Wynik finansowy netto                                             trend: </w:t>
            </w:r>
            <w:r>
              <w:rPr>
                <w:b/>
                <w:color w:val="000000"/>
                <w:sz w:val="22"/>
                <w:szCs w:val="20"/>
                <w:shd w:val="clear" w:color="auto" w:fill="FFFFFF"/>
                <w:lang w:eastAsia="en-US" w:bidi="ar-SA"/>
              </w:rPr>
              <w:t>rosnący</w:t>
            </w:r>
            <w:r>
              <w:rPr>
                <w:color w:val="000000"/>
                <w:sz w:val="22"/>
                <w:szCs w:val="20"/>
                <w:shd w:val="clear" w:color="auto" w:fill="FFFFFF"/>
                <w:lang w:eastAsia="en-US" w:bidi="ar-SA"/>
              </w:rPr>
              <w:t xml:space="preserve"> / malejący /stały</w:t>
            </w:r>
          </w:p>
        </w:tc>
        <w:tc>
          <w:tcPr>
            <w:tcW w:w="1703" w:type="dxa"/>
            <w:gridSpan w:val="2"/>
            <w:tcBorders>
              <w:top w:val="single" w:sz="8" w:space="0" w:color="000000"/>
              <w:left w:val="nil"/>
              <w:bottom w:val="single" w:sz="8" w:space="0" w:color="000000"/>
              <w:right w:val="single" w:sz="8" w:space="0" w:color="000000"/>
            </w:tcBorders>
            <w:noWrap/>
            <w:vAlign w:val="bottom"/>
          </w:tcPr>
          <w:p w:rsidR="00A9251F" w:rsidRDefault="00A93ACE">
            <w:pPr>
              <w:jc w:val="right"/>
              <w:rPr>
                <w:color w:val="000000"/>
                <w:szCs w:val="20"/>
                <w:shd w:val="clear" w:color="auto" w:fill="FFFFFF"/>
                <w:lang w:eastAsia="en-US" w:bidi="ar-SA"/>
              </w:rPr>
            </w:pPr>
            <w:r>
              <w:rPr>
                <w:color w:val="000000"/>
                <w:szCs w:val="20"/>
                <w:shd w:val="clear" w:color="auto" w:fill="FFFFFF"/>
                <w:lang w:eastAsia="en-US" w:bidi="ar-SA"/>
              </w:rPr>
              <w:t>62.100</w:t>
            </w:r>
          </w:p>
        </w:tc>
        <w:tc>
          <w:tcPr>
            <w:tcW w:w="2126" w:type="dxa"/>
            <w:gridSpan w:val="2"/>
            <w:tcBorders>
              <w:top w:val="single" w:sz="8" w:space="0" w:color="000000"/>
              <w:left w:val="nil"/>
              <w:bottom w:val="single" w:sz="8" w:space="0" w:color="000000"/>
              <w:right w:val="single" w:sz="8" w:space="0" w:color="000000"/>
            </w:tcBorders>
            <w:noWrap/>
            <w:vAlign w:val="bottom"/>
          </w:tcPr>
          <w:p w:rsidR="00A9251F" w:rsidRDefault="00A93ACE">
            <w:pPr>
              <w:jc w:val="right"/>
              <w:rPr>
                <w:color w:val="000000"/>
                <w:szCs w:val="20"/>
                <w:shd w:val="clear" w:color="auto" w:fill="FFFFFF"/>
                <w:lang w:eastAsia="en-US" w:bidi="ar-SA"/>
              </w:rPr>
            </w:pPr>
            <w:r>
              <w:rPr>
                <w:color w:val="000000"/>
                <w:szCs w:val="20"/>
                <w:shd w:val="clear" w:color="auto" w:fill="FFFFFF"/>
                <w:lang w:eastAsia="en-US" w:bidi="ar-SA"/>
              </w:rPr>
              <w:t>138.590</w:t>
            </w:r>
          </w:p>
        </w:tc>
        <w:tc>
          <w:tcPr>
            <w:tcW w:w="2198" w:type="dxa"/>
            <w:gridSpan w:val="2"/>
            <w:tcBorders>
              <w:top w:val="single" w:sz="8" w:space="0" w:color="000000"/>
              <w:left w:val="nil"/>
              <w:bottom w:val="single" w:sz="8" w:space="0" w:color="000000"/>
              <w:right w:val="single" w:sz="8" w:space="0" w:color="000000"/>
            </w:tcBorders>
            <w:noWrap/>
            <w:vAlign w:val="bottom"/>
          </w:tcPr>
          <w:p w:rsidR="00A9251F" w:rsidRDefault="00A93ACE">
            <w:pPr>
              <w:jc w:val="right"/>
              <w:rPr>
                <w:color w:val="000000"/>
                <w:szCs w:val="20"/>
                <w:shd w:val="clear" w:color="auto" w:fill="FFFFFF"/>
                <w:lang w:eastAsia="en-US" w:bidi="ar-SA"/>
              </w:rPr>
            </w:pPr>
            <w:r>
              <w:rPr>
                <w:color w:val="000000"/>
                <w:szCs w:val="20"/>
                <w:shd w:val="clear" w:color="auto" w:fill="FFFFFF"/>
                <w:lang w:eastAsia="en-US" w:bidi="ar-SA"/>
              </w:rPr>
              <w:t>154.649</w:t>
            </w:r>
          </w:p>
        </w:tc>
      </w:tr>
      <w:tr w:rsidR="00A9251F">
        <w:trPr>
          <w:trHeight w:val="81"/>
        </w:trPr>
        <w:tc>
          <w:tcPr>
            <w:tcW w:w="9014" w:type="dxa"/>
            <w:gridSpan w:val="8"/>
            <w:tcBorders>
              <w:top w:val="single" w:sz="8" w:space="0" w:color="000000"/>
              <w:left w:val="single" w:sz="8" w:space="0" w:color="000000"/>
              <w:bottom w:val="single" w:sz="8" w:space="0" w:color="000000"/>
              <w:right w:val="single" w:sz="8" w:space="0" w:color="000000"/>
            </w:tcBorders>
            <w:vAlign w:val="bottom"/>
          </w:tcPr>
          <w:p w:rsidR="00A9251F" w:rsidRDefault="00A93ACE">
            <w:pPr>
              <w:jc w:val="both"/>
              <w:rPr>
                <w:i/>
                <w:color w:val="000000"/>
                <w:sz w:val="22"/>
                <w:szCs w:val="20"/>
                <w:shd w:val="clear" w:color="auto" w:fill="FFFFFF"/>
                <w:lang w:eastAsia="en-US" w:bidi="ar-SA"/>
              </w:rPr>
            </w:pPr>
            <w:r>
              <w:rPr>
                <w:i/>
                <w:color w:val="000000"/>
                <w:sz w:val="22"/>
                <w:szCs w:val="20"/>
                <w:shd w:val="clear" w:color="auto" w:fill="FFFFFF"/>
                <w:lang w:eastAsia="en-US" w:bidi="ar-SA"/>
              </w:rPr>
              <w:t xml:space="preserve">wnioski: wartość wyniku w latach prognozy będzie ulegać poprawie, jakkolwiek ze względu na brak znaczących inwestycji i reorganizację jednostki zmniejszy się wartość majątku trwałego </w:t>
            </w:r>
            <w:r>
              <w:rPr>
                <w:i/>
                <w:color w:val="000000"/>
                <w:sz w:val="22"/>
                <w:szCs w:val="20"/>
                <w:shd w:val="clear" w:color="auto" w:fill="FFFFFF"/>
              </w:rPr>
              <w:br/>
            </w:r>
            <w:r>
              <w:rPr>
                <w:i/>
                <w:color w:val="000000"/>
                <w:sz w:val="22"/>
                <w:szCs w:val="20"/>
                <w:shd w:val="clear" w:color="auto" w:fill="FFFFFF"/>
                <w:lang w:eastAsia="en-US" w:bidi="ar-SA"/>
              </w:rPr>
              <w:t>i tym samym amortyzacji</w:t>
            </w:r>
          </w:p>
        </w:tc>
      </w:tr>
      <w:tr w:rsidR="00A9251F">
        <w:trPr>
          <w:trHeight w:val="540"/>
        </w:trPr>
        <w:tc>
          <w:tcPr>
            <w:tcW w:w="2987" w:type="dxa"/>
            <w:gridSpan w:val="2"/>
            <w:tcBorders>
              <w:top w:val="single" w:sz="8" w:space="0" w:color="000000"/>
              <w:left w:val="single" w:sz="8" w:space="0" w:color="000000"/>
              <w:bottom w:val="single" w:sz="8" w:space="0" w:color="000000"/>
              <w:right w:val="single" w:sz="8" w:space="0" w:color="000000"/>
            </w:tcBorders>
            <w:vAlign w:val="bottom"/>
          </w:tcPr>
          <w:p w:rsidR="00A9251F" w:rsidRDefault="00A93ACE">
            <w:pPr>
              <w:jc w:val="left"/>
              <w:rPr>
                <w:color w:val="000000"/>
                <w:sz w:val="22"/>
                <w:szCs w:val="20"/>
                <w:shd w:val="clear" w:color="auto" w:fill="FFFFFF"/>
                <w:lang w:eastAsia="en-US" w:bidi="ar-SA"/>
              </w:rPr>
            </w:pPr>
            <w:r>
              <w:rPr>
                <w:color w:val="000000"/>
                <w:sz w:val="22"/>
                <w:szCs w:val="20"/>
                <w:shd w:val="clear" w:color="auto" w:fill="FFFFFF"/>
                <w:lang w:eastAsia="en-US" w:bidi="ar-SA"/>
              </w:rPr>
              <w:t xml:space="preserve">Majątek trwały trend: </w:t>
            </w:r>
            <w:r>
              <w:rPr>
                <w:color w:val="000000"/>
                <w:sz w:val="22"/>
                <w:szCs w:val="20"/>
                <w:shd w:val="clear" w:color="auto" w:fill="FFFFFF"/>
                <w:lang w:eastAsia="en-US" w:bidi="ar-SA"/>
              </w:rPr>
              <w:br/>
              <w:t xml:space="preserve">rosnący / </w:t>
            </w:r>
            <w:r>
              <w:rPr>
                <w:b/>
                <w:color w:val="000000"/>
                <w:sz w:val="22"/>
                <w:szCs w:val="20"/>
                <w:shd w:val="clear" w:color="auto" w:fill="FFFFFF"/>
                <w:lang w:eastAsia="en-US" w:bidi="ar-SA"/>
              </w:rPr>
              <w:t>malejący</w:t>
            </w:r>
            <w:r>
              <w:rPr>
                <w:color w:val="000000"/>
                <w:sz w:val="22"/>
                <w:szCs w:val="20"/>
                <w:shd w:val="clear" w:color="auto" w:fill="FFFFFF"/>
                <w:lang w:eastAsia="en-US" w:bidi="ar-SA"/>
              </w:rPr>
              <w:t xml:space="preserve"> /stał</w:t>
            </w:r>
            <w:r>
              <w:rPr>
                <w:color w:val="000000"/>
                <w:sz w:val="22"/>
                <w:szCs w:val="20"/>
                <w:shd w:val="clear" w:color="auto" w:fill="FFFFFF"/>
                <w:lang w:eastAsia="en-US" w:bidi="ar-SA"/>
              </w:rPr>
              <w:t>y</w:t>
            </w:r>
          </w:p>
        </w:tc>
        <w:tc>
          <w:tcPr>
            <w:tcW w:w="1703" w:type="dxa"/>
            <w:gridSpan w:val="2"/>
            <w:tcBorders>
              <w:top w:val="single" w:sz="8" w:space="0" w:color="000000"/>
              <w:left w:val="nil"/>
              <w:bottom w:val="single" w:sz="8" w:space="0" w:color="000000"/>
              <w:right w:val="single" w:sz="8" w:space="0" w:color="000000"/>
            </w:tcBorders>
            <w:noWrap/>
            <w:vAlign w:val="bottom"/>
          </w:tcPr>
          <w:p w:rsidR="00A9251F" w:rsidRDefault="00A93ACE">
            <w:pPr>
              <w:jc w:val="right"/>
              <w:rPr>
                <w:color w:val="000000"/>
                <w:szCs w:val="20"/>
                <w:shd w:val="clear" w:color="auto" w:fill="FFFFFF"/>
                <w:lang w:eastAsia="en-US" w:bidi="ar-SA"/>
              </w:rPr>
            </w:pPr>
            <w:r>
              <w:rPr>
                <w:color w:val="000000"/>
                <w:szCs w:val="20"/>
                <w:shd w:val="clear" w:color="auto" w:fill="FFFFFF"/>
                <w:lang w:eastAsia="en-US" w:bidi="ar-SA"/>
              </w:rPr>
              <w:t xml:space="preserve">20.626.094 </w:t>
            </w:r>
          </w:p>
        </w:tc>
        <w:tc>
          <w:tcPr>
            <w:tcW w:w="2126" w:type="dxa"/>
            <w:gridSpan w:val="2"/>
            <w:tcBorders>
              <w:top w:val="single" w:sz="8" w:space="0" w:color="000000"/>
              <w:left w:val="nil"/>
              <w:bottom w:val="single" w:sz="8" w:space="0" w:color="000000"/>
              <w:right w:val="single" w:sz="8" w:space="0" w:color="000000"/>
            </w:tcBorders>
            <w:noWrap/>
            <w:vAlign w:val="bottom"/>
          </w:tcPr>
          <w:p w:rsidR="00A9251F" w:rsidRDefault="00A93ACE">
            <w:pPr>
              <w:jc w:val="right"/>
              <w:rPr>
                <w:color w:val="000000"/>
                <w:szCs w:val="20"/>
                <w:shd w:val="clear" w:color="auto" w:fill="FFFFFF"/>
                <w:lang w:eastAsia="en-US" w:bidi="ar-SA"/>
              </w:rPr>
            </w:pPr>
            <w:r>
              <w:rPr>
                <w:color w:val="000000"/>
                <w:szCs w:val="20"/>
                <w:shd w:val="clear" w:color="auto" w:fill="FFFFFF"/>
                <w:lang w:eastAsia="en-US" w:bidi="ar-SA"/>
              </w:rPr>
              <w:t xml:space="preserve">16.305.658 </w:t>
            </w:r>
          </w:p>
        </w:tc>
        <w:tc>
          <w:tcPr>
            <w:tcW w:w="2198" w:type="dxa"/>
            <w:gridSpan w:val="2"/>
            <w:tcBorders>
              <w:top w:val="single" w:sz="8" w:space="0" w:color="000000"/>
              <w:left w:val="nil"/>
              <w:bottom w:val="single" w:sz="8" w:space="0" w:color="000000"/>
              <w:right w:val="single" w:sz="8" w:space="0" w:color="000000"/>
            </w:tcBorders>
            <w:noWrap/>
            <w:vAlign w:val="bottom"/>
          </w:tcPr>
          <w:p w:rsidR="00A9251F" w:rsidRDefault="00A93ACE">
            <w:pPr>
              <w:jc w:val="right"/>
              <w:rPr>
                <w:color w:val="000000"/>
                <w:szCs w:val="20"/>
                <w:shd w:val="clear" w:color="auto" w:fill="FFFFFF"/>
                <w:lang w:eastAsia="en-US" w:bidi="ar-SA"/>
              </w:rPr>
            </w:pPr>
            <w:r>
              <w:rPr>
                <w:color w:val="000000"/>
                <w:szCs w:val="20"/>
                <w:shd w:val="clear" w:color="auto" w:fill="FFFFFF"/>
                <w:lang w:eastAsia="en-US" w:bidi="ar-SA"/>
              </w:rPr>
              <w:t xml:space="preserve">15.875.658 </w:t>
            </w:r>
          </w:p>
        </w:tc>
      </w:tr>
      <w:tr w:rsidR="00A9251F">
        <w:trPr>
          <w:trHeight w:val="196"/>
        </w:trPr>
        <w:tc>
          <w:tcPr>
            <w:tcW w:w="9014" w:type="dxa"/>
            <w:gridSpan w:val="8"/>
            <w:tcBorders>
              <w:top w:val="single" w:sz="8" w:space="0" w:color="000000"/>
              <w:left w:val="single" w:sz="8" w:space="0" w:color="000000"/>
              <w:bottom w:val="single" w:sz="8" w:space="0" w:color="000000"/>
              <w:right w:val="single" w:sz="8" w:space="0" w:color="000000"/>
            </w:tcBorders>
            <w:vAlign w:val="bottom"/>
          </w:tcPr>
          <w:p w:rsidR="00A9251F" w:rsidRDefault="00A93ACE">
            <w:pPr>
              <w:jc w:val="both"/>
              <w:rPr>
                <w:i/>
                <w:color w:val="000000"/>
                <w:sz w:val="22"/>
                <w:szCs w:val="20"/>
                <w:shd w:val="clear" w:color="auto" w:fill="FFFFFF"/>
                <w:lang w:eastAsia="en-US" w:bidi="ar-SA"/>
              </w:rPr>
            </w:pPr>
            <w:r>
              <w:rPr>
                <w:i/>
                <w:color w:val="000000"/>
                <w:sz w:val="22"/>
                <w:szCs w:val="20"/>
                <w:shd w:val="clear" w:color="auto" w:fill="FFFFFF"/>
                <w:lang w:eastAsia="en-US" w:bidi="ar-SA"/>
              </w:rPr>
              <w:t xml:space="preserve">wnioski: w 2022 aktywa trwałe zmniejszą się po zwrocie nieruchomości przy ul. Cmentarnej, </w:t>
            </w:r>
            <w:r>
              <w:rPr>
                <w:i/>
                <w:color w:val="000000"/>
                <w:sz w:val="22"/>
                <w:szCs w:val="20"/>
                <w:shd w:val="clear" w:color="auto" w:fill="FFFFFF"/>
              </w:rPr>
              <w:br/>
            </w:r>
            <w:r>
              <w:rPr>
                <w:i/>
                <w:color w:val="000000"/>
                <w:sz w:val="22"/>
                <w:szCs w:val="20"/>
                <w:shd w:val="clear" w:color="auto" w:fill="FFFFFF"/>
                <w:lang w:eastAsia="en-US" w:bidi="ar-SA"/>
              </w:rPr>
              <w:t>a planowane nakłady inwestycyjne nie przekroczą wartości amortyzacji</w:t>
            </w:r>
          </w:p>
        </w:tc>
      </w:tr>
      <w:tr w:rsidR="00A9251F">
        <w:trPr>
          <w:trHeight w:val="67"/>
        </w:trPr>
        <w:tc>
          <w:tcPr>
            <w:tcW w:w="2987" w:type="dxa"/>
            <w:gridSpan w:val="2"/>
            <w:tcBorders>
              <w:top w:val="single" w:sz="8" w:space="0" w:color="000000"/>
              <w:left w:val="single" w:sz="8" w:space="0" w:color="000000"/>
              <w:bottom w:val="single" w:sz="8" w:space="0" w:color="000000"/>
              <w:right w:val="single" w:sz="8" w:space="0" w:color="000000"/>
            </w:tcBorders>
            <w:vAlign w:val="bottom"/>
          </w:tcPr>
          <w:p w:rsidR="00A9251F" w:rsidRDefault="00A93ACE">
            <w:pPr>
              <w:jc w:val="left"/>
              <w:rPr>
                <w:color w:val="000000"/>
                <w:sz w:val="22"/>
                <w:szCs w:val="20"/>
                <w:shd w:val="clear" w:color="auto" w:fill="FFFFFF"/>
                <w:lang w:eastAsia="en-US" w:bidi="ar-SA"/>
              </w:rPr>
            </w:pPr>
            <w:r>
              <w:rPr>
                <w:color w:val="000000"/>
                <w:sz w:val="22"/>
                <w:szCs w:val="20"/>
                <w:shd w:val="clear" w:color="auto" w:fill="FFFFFF"/>
                <w:lang w:eastAsia="en-US" w:bidi="ar-SA"/>
              </w:rPr>
              <w:t xml:space="preserve">Kapitał własny trend: </w:t>
            </w:r>
            <w:r>
              <w:rPr>
                <w:color w:val="000000"/>
                <w:sz w:val="22"/>
                <w:szCs w:val="20"/>
                <w:shd w:val="clear" w:color="auto" w:fill="FFFFFF"/>
                <w:lang w:eastAsia="en-US" w:bidi="ar-SA"/>
              </w:rPr>
              <w:br/>
              <w:t xml:space="preserve">rosnący / </w:t>
            </w:r>
            <w:r>
              <w:rPr>
                <w:b/>
                <w:color w:val="000000"/>
                <w:sz w:val="22"/>
                <w:szCs w:val="20"/>
                <w:shd w:val="clear" w:color="auto" w:fill="FFFFFF"/>
                <w:lang w:eastAsia="en-US" w:bidi="ar-SA"/>
              </w:rPr>
              <w:t>malejący</w:t>
            </w:r>
            <w:r>
              <w:rPr>
                <w:color w:val="000000"/>
                <w:sz w:val="22"/>
                <w:szCs w:val="20"/>
                <w:shd w:val="clear" w:color="auto" w:fill="FFFFFF"/>
                <w:lang w:eastAsia="en-US" w:bidi="ar-SA"/>
              </w:rPr>
              <w:t xml:space="preserve"> / stały</w:t>
            </w:r>
          </w:p>
        </w:tc>
        <w:tc>
          <w:tcPr>
            <w:tcW w:w="1703" w:type="dxa"/>
            <w:gridSpan w:val="2"/>
            <w:tcBorders>
              <w:top w:val="single" w:sz="8" w:space="0" w:color="000000"/>
              <w:left w:val="nil"/>
              <w:bottom w:val="single" w:sz="8" w:space="0" w:color="000000"/>
              <w:right w:val="single" w:sz="8" w:space="0" w:color="000000"/>
            </w:tcBorders>
            <w:noWrap/>
            <w:vAlign w:val="bottom"/>
          </w:tcPr>
          <w:p w:rsidR="00A9251F" w:rsidRDefault="00A93ACE">
            <w:pPr>
              <w:jc w:val="right"/>
              <w:rPr>
                <w:color w:val="000000"/>
                <w:szCs w:val="20"/>
                <w:shd w:val="clear" w:color="auto" w:fill="FFFFFF"/>
                <w:lang w:eastAsia="en-US" w:bidi="ar-SA"/>
              </w:rPr>
            </w:pPr>
            <w:r>
              <w:rPr>
                <w:color w:val="000000"/>
                <w:szCs w:val="20"/>
                <w:shd w:val="clear" w:color="auto" w:fill="FFFFFF"/>
                <w:lang w:eastAsia="en-US" w:bidi="ar-SA"/>
              </w:rPr>
              <w:t xml:space="preserve">15.518.406 </w:t>
            </w:r>
          </w:p>
        </w:tc>
        <w:tc>
          <w:tcPr>
            <w:tcW w:w="2126" w:type="dxa"/>
            <w:gridSpan w:val="2"/>
            <w:tcBorders>
              <w:top w:val="single" w:sz="8" w:space="0" w:color="000000"/>
              <w:left w:val="nil"/>
              <w:bottom w:val="single" w:sz="8" w:space="0" w:color="000000"/>
              <w:right w:val="single" w:sz="8" w:space="0" w:color="000000"/>
            </w:tcBorders>
            <w:noWrap/>
            <w:vAlign w:val="bottom"/>
          </w:tcPr>
          <w:p w:rsidR="00A9251F" w:rsidRDefault="00A93ACE">
            <w:pPr>
              <w:jc w:val="right"/>
              <w:rPr>
                <w:color w:val="000000"/>
                <w:szCs w:val="20"/>
                <w:shd w:val="clear" w:color="auto" w:fill="FFFFFF"/>
                <w:lang w:eastAsia="en-US" w:bidi="ar-SA"/>
              </w:rPr>
            </w:pPr>
            <w:r>
              <w:rPr>
                <w:color w:val="000000"/>
                <w:szCs w:val="20"/>
                <w:shd w:val="clear" w:color="auto" w:fill="FFFFFF"/>
                <w:lang w:eastAsia="en-US" w:bidi="ar-SA"/>
              </w:rPr>
              <w:t xml:space="preserve">13.806.996 </w:t>
            </w:r>
          </w:p>
        </w:tc>
        <w:tc>
          <w:tcPr>
            <w:tcW w:w="2198" w:type="dxa"/>
            <w:gridSpan w:val="2"/>
            <w:tcBorders>
              <w:top w:val="single" w:sz="8" w:space="0" w:color="000000"/>
              <w:left w:val="nil"/>
              <w:bottom w:val="single" w:sz="8" w:space="0" w:color="000000"/>
              <w:right w:val="single" w:sz="8" w:space="0" w:color="000000"/>
            </w:tcBorders>
            <w:noWrap/>
            <w:vAlign w:val="bottom"/>
          </w:tcPr>
          <w:p w:rsidR="00A9251F" w:rsidRDefault="00A93ACE">
            <w:pPr>
              <w:jc w:val="right"/>
              <w:rPr>
                <w:color w:val="000000"/>
                <w:szCs w:val="20"/>
                <w:shd w:val="clear" w:color="auto" w:fill="FFFFFF"/>
                <w:lang w:eastAsia="en-US" w:bidi="ar-SA"/>
              </w:rPr>
            </w:pPr>
            <w:r>
              <w:rPr>
                <w:color w:val="000000"/>
                <w:szCs w:val="20"/>
                <w:shd w:val="clear" w:color="auto" w:fill="FFFFFF"/>
                <w:lang w:eastAsia="en-US" w:bidi="ar-SA"/>
              </w:rPr>
              <w:t xml:space="preserve">13.961.644 </w:t>
            </w:r>
          </w:p>
        </w:tc>
      </w:tr>
      <w:tr w:rsidR="00A9251F">
        <w:trPr>
          <w:trHeight w:val="67"/>
        </w:trPr>
        <w:tc>
          <w:tcPr>
            <w:tcW w:w="9014" w:type="dxa"/>
            <w:gridSpan w:val="8"/>
            <w:tcBorders>
              <w:top w:val="single" w:sz="8" w:space="0" w:color="000000"/>
              <w:left w:val="single" w:sz="8" w:space="0" w:color="000000"/>
              <w:bottom w:val="single" w:sz="8" w:space="0" w:color="000000"/>
              <w:right w:val="single" w:sz="8" w:space="0" w:color="000000"/>
            </w:tcBorders>
            <w:vAlign w:val="bottom"/>
          </w:tcPr>
          <w:p w:rsidR="00A9251F" w:rsidRDefault="00A93ACE">
            <w:pPr>
              <w:jc w:val="left"/>
              <w:rPr>
                <w:i/>
                <w:color w:val="000000"/>
                <w:sz w:val="22"/>
                <w:szCs w:val="20"/>
                <w:shd w:val="clear" w:color="auto" w:fill="FFFFFF"/>
                <w:lang w:eastAsia="en-US" w:bidi="ar-SA"/>
              </w:rPr>
            </w:pPr>
            <w:r>
              <w:rPr>
                <w:i/>
                <w:color w:val="000000"/>
                <w:sz w:val="22"/>
                <w:szCs w:val="20"/>
                <w:shd w:val="clear" w:color="auto" w:fill="FFFFFF"/>
                <w:lang w:eastAsia="en-US" w:bidi="ar-SA"/>
              </w:rPr>
              <w:t xml:space="preserve">wnioski: kapitał własny będzie się zmniejszał w związku z oddaniem nieruchomości stanowiących </w:t>
            </w:r>
            <w:r>
              <w:rPr>
                <w:i/>
                <w:color w:val="000000"/>
                <w:sz w:val="22"/>
                <w:szCs w:val="20"/>
                <w:shd w:val="clear" w:color="auto" w:fill="FFFFFF"/>
                <w:lang w:eastAsia="en-US" w:bidi="ar-SA"/>
              </w:rPr>
              <w:lastRenderedPageBreak/>
              <w:t>część funduszu założycielskiego</w:t>
            </w:r>
          </w:p>
        </w:tc>
      </w:tr>
      <w:tr w:rsidR="00A9251F">
        <w:trPr>
          <w:trHeight w:val="67"/>
        </w:trPr>
        <w:tc>
          <w:tcPr>
            <w:tcW w:w="2987" w:type="dxa"/>
            <w:gridSpan w:val="2"/>
            <w:tcBorders>
              <w:top w:val="single" w:sz="8" w:space="0" w:color="000000"/>
              <w:left w:val="single" w:sz="8" w:space="0" w:color="000000"/>
              <w:bottom w:val="single" w:sz="8" w:space="0" w:color="000000"/>
              <w:right w:val="single" w:sz="8" w:space="0" w:color="000000"/>
            </w:tcBorders>
            <w:vAlign w:val="bottom"/>
          </w:tcPr>
          <w:p w:rsidR="00A9251F" w:rsidRDefault="00A93ACE">
            <w:pPr>
              <w:jc w:val="left"/>
              <w:rPr>
                <w:color w:val="000000"/>
                <w:sz w:val="22"/>
                <w:szCs w:val="20"/>
                <w:shd w:val="clear" w:color="auto" w:fill="FFFFFF"/>
                <w:lang w:eastAsia="en-US" w:bidi="ar-SA"/>
              </w:rPr>
            </w:pPr>
            <w:r>
              <w:rPr>
                <w:color w:val="000000"/>
                <w:sz w:val="22"/>
                <w:szCs w:val="20"/>
                <w:shd w:val="clear" w:color="auto" w:fill="FFFFFF"/>
                <w:lang w:eastAsia="en-US" w:bidi="ar-SA"/>
              </w:rPr>
              <w:lastRenderedPageBreak/>
              <w:t xml:space="preserve">Wynik finansowy ze sprzedaży                                             </w:t>
            </w:r>
          </w:p>
        </w:tc>
        <w:tc>
          <w:tcPr>
            <w:tcW w:w="1703" w:type="dxa"/>
            <w:gridSpan w:val="2"/>
            <w:tcBorders>
              <w:top w:val="single" w:sz="8" w:space="0" w:color="000000"/>
              <w:left w:val="single" w:sz="8" w:space="0" w:color="000000"/>
              <w:bottom w:val="single" w:sz="8" w:space="0" w:color="000000"/>
              <w:right w:val="single" w:sz="8" w:space="0" w:color="000000"/>
            </w:tcBorders>
            <w:vAlign w:val="bottom"/>
          </w:tcPr>
          <w:p w:rsidR="00A9251F" w:rsidRDefault="00A93ACE">
            <w:pPr>
              <w:jc w:val="right"/>
              <w:rPr>
                <w:color w:val="000000"/>
                <w:szCs w:val="20"/>
                <w:shd w:val="clear" w:color="auto" w:fill="FFFFFF"/>
                <w:lang w:eastAsia="en-US" w:bidi="ar-SA"/>
              </w:rPr>
            </w:pPr>
            <w:r>
              <w:rPr>
                <w:color w:val="000000"/>
                <w:szCs w:val="20"/>
                <w:shd w:val="clear" w:color="auto" w:fill="FFFFFF"/>
                <w:lang w:eastAsia="en-US" w:bidi="ar-SA"/>
              </w:rPr>
              <w:t>-740.000</w:t>
            </w:r>
          </w:p>
        </w:tc>
        <w:tc>
          <w:tcPr>
            <w:tcW w:w="2126" w:type="dxa"/>
            <w:gridSpan w:val="2"/>
            <w:tcBorders>
              <w:top w:val="single" w:sz="8" w:space="0" w:color="000000"/>
              <w:left w:val="single" w:sz="8" w:space="0" w:color="000000"/>
              <w:bottom w:val="single" w:sz="8" w:space="0" w:color="000000"/>
              <w:right w:val="single" w:sz="8" w:space="0" w:color="000000"/>
            </w:tcBorders>
            <w:vAlign w:val="bottom"/>
          </w:tcPr>
          <w:p w:rsidR="00A9251F" w:rsidRDefault="00A93ACE">
            <w:pPr>
              <w:jc w:val="right"/>
              <w:rPr>
                <w:color w:val="000000"/>
                <w:szCs w:val="20"/>
                <w:shd w:val="clear" w:color="auto" w:fill="FFFFFF"/>
                <w:lang w:eastAsia="en-US" w:bidi="ar-SA"/>
              </w:rPr>
            </w:pPr>
            <w:r>
              <w:rPr>
                <w:color w:val="000000"/>
                <w:szCs w:val="20"/>
                <w:shd w:val="clear" w:color="auto" w:fill="FFFFFF"/>
                <w:lang w:eastAsia="en-US" w:bidi="ar-SA"/>
              </w:rPr>
              <w:t>-730.910</w:t>
            </w:r>
          </w:p>
        </w:tc>
        <w:tc>
          <w:tcPr>
            <w:tcW w:w="2198" w:type="dxa"/>
            <w:gridSpan w:val="2"/>
            <w:tcBorders>
              <w:top w:val="single" w:sz="8" w:space="0" w:color="000000"/>
              <w:left w:val="single" w:sz="8" w:space="0" w:color="000000"/>
              <w:bottom w:val="single" w:sz="8" w:space="0" w:color="000000"/>
              <w:right w:val="single" w:sz="8" w:space="0" w:color="000000"/>
            </w:tcBorders>
            <w:vAlign w:val="bottom"/>
          </w:tcPr>
          <w:p w:rsidR="00A9251F" w:rsidRDefault="00A93ACE">
            <w:pPr>
              <w:jc w:val="right"/>
              <w:rPr>
                <w:color w:val="000000"/>
                <w:szCs w:val="20"/>
                <w:shd w:val="clear" w:color="auto" w:fill="FFFFFF"/>
                <w:lang w:eastAsia="en-US" w:bidi="ar-SA"/>
              </w:rPr>
            </w:pPr>
            <w:r>
              <w:rPr>
                <w:color w:val="000000"/>
                <w:szCs w:val="20"/>
                <w:shd w:val="clear" w:color="auto" w:fill="FFFFFF"/>
                <w:lang w:eastAsia="en-US" w:bidi="ar-SA"/>
              </w:rPr>
              <w:t>-379.852</w:t>
            </w:r>
          </w:p>
        </w:tc>
      </w:tr>
      <w:tr w:rsidR="00A9251F">
        <w:trPr>
          <w:trHeight w:val="67"/>
        </w:trPr>
        <w:tc>
          <w:tcPr>
            <w:tcW w:w="2987" w:type="dxa"/>
            <w:gridSpan w:val="2"/>
            <w:tcBorders>
              <w:top w:val="single" w:sz="8" w:space="0" w:color="000000"/>
              <w:left w:val="single" w:sz="8" w:space="0" w:color="000000"/>
              <w:bottom w:val="single" w:sz="8" w:space="0" w:color="000000"/>
              <w:right w:val="single" w:sz="8" w:space="0" w:color="000000"/>
            </w:tcBorders>
            <w:vAlign w:val="bottom"/>
          </w:tcPr>
          <w:p w:rsidR="00A9251F" w:rsidRDefault="00A93ACE">
            <w:pPr>
              <w:jc w:val="left"/>
              <w:rPr>
                <w:color w:val="000000"/>
                <w:sz w:val="22"/>
                <w:szCs w:val="20"/>
                <w:shd w:val="clear" w:color="auto" w:fill="FFFFFF"/>
                <w:lang w:eastAsia="en-US" w:bidi="ar-SA"/>
              </w:rPr>
            </w:pPr>
            <w:r>
              <w:rPr>
                <w:color w:val="000000"/>
                <w:sz w:val="22"/>
                <w:szCs w:val="20"/>
                <w:shd w:val="clear" w:color="auto" w:fill="FFFFFF"/>
                <w:lang w:eastAsia="en-US" w:bidi="ar-SA"/>
              </w:rPr>
              <w:t>Wynik finansowy z działalności operacyjnej</w:t>
            </w:r>
          </w:p>
        </w:tc>
        <w:tc>
          <w:tcPr>
            <w:tcW w:w="1703" w:type="dxa"/>
            <w:gridSpan w:val="2"/>
            <w:tcBorders>
              <w:top w:val="single" w:sz="8" w:space="0" w:color="000000"/>
              <w:left w:val="single" w:sz="8" w:space="0" w:color="000000"/>
              <w:bottom w:val="single" w:sz="8" w:space="0" w:color="000000"/>
              <w:right w:val="single" w:sz="8" w:space="0" w:color="000000"/>
            </w:tcBorders>
            <w:vAlign w:val="bottom"/>
          </w:tcPr>
          <w:p w:rsidR="00A9251F" w:rsidRDefault="00A93ACE">
            <w:pPr>
              <w:jc w:val="right"/>
              <w:rPr>
                <w:color w:val="000000"/>
                <w:szCs w:val="20"/>
                <w:shd w:val="clear" w:color="auto" w:fill="FFFFFF"/>
                <w:lang w:eastAsia="en-US" w:bidi="ar-SA"/>
              </w:rPr>
            </w:pPr>
            <w:r>
              <w:rPr>
                <w:color w:val="000000"/>
                <w:szCs w:val="20"/>
                <w:shd w:val="clear" w:color="auto" w:fill="FFFFFF"/>
                <w:lang w:eastAsia="en-US" w:bidi="ar-SA"/>
              </w:rPr>
              <w:t>65.600</w:t>
            </w:r>
          </w:p>
        </w:tc>
        <w:tc>
          <w:tcPr>
            <w:tcW w:w="2126" w:type="dxa"/>
            <w:gridSpan w:val="2"/>
            <w:tcBorders>
              <w:top w:val="single" w:sz="8" w:space="0" w:color="000000"/>
              <w:left w:val="single" w:sz="8" w:space="0" w:color="000000"/>
              <w:bottom w:val="single" w:sz="8" w:space="0" w:color="000000"/>
              <w:right w:val="single" w:sz="8" w:space="0" w:color="000000"/>
            </w:tcBorders>
            <w:vAlign w:val="bottom"/>
          </w:tcPr>
          <w:p w:rsidR="00A9251F" w:rsidRDefault="00A93ACE">
            <w:pPr>
              <w:jc w:val="right"/>
              <w:rPr>
                <w:color w:val="000000"/>
                <w:szCs w:val="20"/>
                <w:shd w:val="clear" w:color="auto" w:fill="FFFFFF"/>
                <w:lang w:eastAsia="en-US" w:bidi="ar-SA"/>
              </w:rPr>
            </w:pPr>
            <w:r>
              <w:rPr>
                <w:color w:val="000000"/>
                <w:szCs w:val="20"/>
                <w:shd w:val="clear" w:color="auto" w:fill="FFFFFF"/>
                <w:lang w:eastAsia="en-US" w:bidi="ar-SA"/>
              </w:rPr>
              <w:t>144.090</w:t>
            </w:r>
          </w:p>
        </w:tc>
        <w:tc>
          <w:tcPr>
            <w:tcW w:w="2198" w:type="dxa"/>
            <w:gridSpan w:val="2"/>
            <w:tcBorders>
              <w:top w:val="single" w:sz="8" w:space="0" w:color="000000"/>
              <w:left w:val="single" w:sz="8" w:space="0" w:color="000000"/>
              <w:bottom w:val="single" w:sz="8" w:space="0" w:color="000000"/>
              <w:right w:val="single" w:sz="8" w:space="0" w:color="000000"/>
            </w:tcBorders>
            <w:vAlign w:val="bottom"/>
          </w:tcPr>
          <w:p w:rsidR="00A9251F" w:rsidRDefault="00A93ACE">
            <w:pPr>
              <w:jc w:val="right"/>
              <w:rPr>
                <w:color w:val="000000"/>
                <w:szCs w:val="20"/>
                <w:shd w:val="clear" w:color="auto" w:fill="FFFFFF"/>
                <w:lang w:eastAsia="en-US" w:bidi="ar-SA"/>
              </w:rPr>
            </w:pPr>
            <w:r>
              <w:rPr>
                <w:color w:val="000000"/>
                <w:szCs w:val="20"/>
                <w:shd w:val="clear" w:color="auto" w:fill="FFFFFF"/>
                <w:lang w:eastAsia="en-US" w:bidi="ar-SA"/>
              </w:rPr>
              <w:t>160.149</w:t>
            </w:r>
          </w:p>
        </w:tc>
      </w:tr>
      <w:tr w:rsidR="00A9251F">
        <w:trPr>
          <w:trHeight w:val="67"/>
        </w:trPr>
        <w:tc>
          <w:tcPr>
            <w:tcW w:w="2987" w:type="dxa"/>
            <w:gridSpan w:val="2"/>
            <w:tcBorders>
              <w:top w:val="single" w:sz="8" w:space="0" w:color="000000"/>
              <w:left w:val="single" w:sz="8" w:space="0" w:color="000000"/>
              <w:bottom w:val="single" w:sz="8" w:space="0" w:color="000000"/>
              <w:right w:val="single" w:sz="8" w:space="0" w:color="000000"/>
            </w:tcBorders>
            <w:vAlign w:val="bottom"/>
          </w:tcPr>
          <w:p w:rsidR="00A9251F" w:rsidRDefault="00A93ACE">
            <w:pPr>
              <w:jc w:val="left"/>
              <w:rPr>
                <w:color w:val="000000"/>
                <w:sz w:val="22"/>
                <w:szCs w:val="20"/>
                <w:shd w:val="clear" w:color="auto" w:fill="FFFFFF"/>
                <w:lang w:eastAsia="en-US" w:bidi="ar-SA"/>
              </w:rPr>
            </w:pPr>
            <w:r>
              <w:rPr>
                <w:color w:val="000000"/>
                <w:sz w:val="22"/>
                <w:szCs w:val="20"/>
                <w:shd w:val="clear" w:color="auto" w:fill="FFFFFF"/>
                <w:lang w:eastAsia="en-US" w:bidi="ar-SA"/>
              </w:rPr>
              <w:t xml:space="preserve">Koszty amortyzacji                                              </w:t>
            </w:r>
          </w:p>
        </w:tc>
        <w:tc>
          <w:tcPr>
            <w:tcW w:w="1703" w:type="dxa"/>
            <w:gridSpan w:val="2"/>
            <w:tcBorders>
              <w:top w:val="single" w:sz="8" w:space="0" w:color="000000"/>
              <w:left w:val="single" w:sz="8" w:space="0" w:color="000000"/>
              <w:bottom w:val="single" w:sz="8" w:space="0" w:color="000000"/>
              <w:right w:val="single" w:sz="8" w:space="0" w:color="000000"/>
            </w:tcBorders>
            <w:vAlign w:val="bottom"/>
          </w:tcPr>
          <w:p w:rsidR="00A9251F" w:rsidRDefault="00A93ACE">
            <w:pPr>
              <w:jc w:val="right"/>
              <w:rPr>
                <w:color w:val="000000"/>
                <w:szCs w:val="20"/>
                <w:shd w:val="clear" w:color="auto" w:fill="FFFFFF"/>
                <w:lang w:eastAsia="en-US" w:bidi="ar-SA"/>
              </w:rPr>
            </w:pPr>
            <w:r>
              <w:rPr>
                <w:color w:val="000000"/>
                <w:szCs w:val="20"/>
                <w:shd w:val="clear" w:color="auto" w:fill="FFFFFF"/>
                <w:lang w:eastAsia="en-US" w:bidi="ar-SA"/>
              </w:rPr>
              <w:t>768.000</w:t>
            </w:r>
          </w:p>
        </w:tc>
        <w:tc>
          <w:tcPr>
            <w:tcW w:w="2126" w:type="dxa"/>
            <w:gridSpan w:val="2"/>
            <w:tcBorders>
              <w:top w:val="single" w:sz="8" w:space="0" w:color="000000"/>
              <w:left w:val="single" w:sz="8" w:space="0" w:color="000000"/>
              <w:bottom w:val="single" w:sz="8" w:space="0" w:color="000000"/>
              <w:right w:val="single" w:sz="8" w:space="0" w:color="000000"/>
            </w:tcBorders>
            <w:vAlign w:val="bottom"/>
          </w:tcPr>
          <w:p w:rsidR="00A9251F" w:rsidRDefault="00A93ACE">
            <w:pPr>
              <w:jc w:val="right"/>
              <w:rPr>
                <w:color w:val="000000"/>
                <w:szCs w:val="20"/>
                <w:shd w:val="clear" w:color="auto" w:fill="FFFFFF"/>
                <w:lang w:eastAsia="en-US" w:bidi="ar-SA"/>
              </w:rPr>
            </w:pPr>
            <w:r>
              <w:rPr>
                <w:color w:val="000000"/>
                <w:szCs w:val="20"/>
                <w:shd w:val="clear" w:color="auto" w:fill="FFFFFF"/>
                <w:lang w:eastAsia="en-US" w:bidi="ar-SA"/>
              </w:rPr>
              <w:t>650.000</w:t>
            </w:r>
          </w:p>
        </w:tc>
        <w:tc>
          <w:tcPr>
            <w:tcW w:w="2198" w:type="dxa"/>
            <w:gridSpan w:val="2"/>
            <w:tcBorders>
              <w:top w:val="single" w:sz="8" w:space="0" w:color="000000"/>
              <w:left w:val="single" w:sz="8" w:space="0" w:color="000000"/>
              <w:bottom w:val="single" w:sz="8" w:space="0" w:color="000000"/>
              <w:right w:val="single" w:sz="8" w:space="0" w:color="000000"/>
            </w:tcBorders>
            <w:vAlign w:val="bottom"/>
          </w:tcPr>
          <w:p w:rsidR="00A9251F" w:rsidRDefault="00A93ACE">
            <w:pPr>
              <w:jc w:val="right"/>
              <w:rPr>
                <w:color w:val="000000"/>
                <w:szCs w:val="20"/>
                <w:shd w:val="clear" w:color="auto" w:fill="FFFFFF"/>
                <w:lang w:eastAsia="en-US" w:bidi="ar-SA"/>
              </w:rPr>
            </w:pPr>
            <w:r>
              <w:rPr>
                <w:color w:val="000000"/>
                <w:szCs w:val="20"/>
                <w:shd w:val="clear" w:color="auto" w:fill="FFFFFF"/>
                <w:lang w:eastAsia="en-US" w:bidi="ar-SA"/>
              </w:rPr>
              <w:t>550.000</w:t>
            </w:r>
          </w:p>
        </w:tc>
      </w:tr>
      <w:tr w:rsidR="00A9251F">
        <w:trPr>
          <w:trHeight w:val="67"/>
        </w:trPr>
        <w:tc>
          <w:tcPr>
            <w:tcW w:w="2987" w:type="dxa"/>
            <w:gridSpan w:val="2"/>
            <w:tcBorders>
              <w:top w:val="single" w:sz="8" w:space="0" w:color="000000"/>
              <w:left w:val="single" w:sz="8" w:space="0" w:color="000000"/>
              <w:bottom w:val="single" w:sz="8" w:space="0" w:color="000000"/>
              <w:right w:val="single" w:sz="8" w:space="0" w:color="000000"/>
            </w:tcBorders>
            <w:vAlign w:val="bottom"/>
          </w:tcPr>
          <w:p w:rsidR="00A9251F" w:rsidRDefault="00A93ACE">
            <w:pPr>
              <w:jc w:val="left"/>
              <w:rPr>
                <w:color w:val="000000"/>
                <w:sz w:val="22"/>
                <w:szCs w:val="20"/>
                <w:shd w:val="clear" w:color="auto" w:fill="FFFFFF"/>
                <w:lang w:eastAsia="en-US" w:bidi="ar-SA"/>
              </w:rPr>
            </w:pPr>
            <w:r>
              <w:rPr>
                <w:color w:val="000000"/>
                <w:sz w:val="22"/>
                <w:szCs w:val="20"/>
                <w:shd w:val="clear" w:color="auto" w:fill="FFFFFF"/>
                <w:lang w:eastAsia="en-US" w:bidi="ar-SA"/>
              </w:rPr>
              <w:t>Wynik finansowy netto po dodaniu kosztów amortyzacji</w:t>
            </w:r>
          </w:p>
        </w:tc>
        <w:tc>
          <w:tcPr>
            <w:tcW w:w="1703" w:type="dxa"/>
            <w:gridSpan w:val="2"/>
            <w:tcBorders>
              <w:top w:val="single" w:sz="8" w:space="0" w:color="000000"/>
              <w:left w:val="single" w:sz="8" w:space="0" w:color="000000"/>
              <w:bottom w:val="single" w:sz="8" w:space="0" w:color="000000"/>
              <w:right w:val="single" w:sz="8" w:space="0" w:color="000000"/>
            </w:tcBorders>
            <w:vAlign w:val="bottom"/>
          </w:tcPr>
          <w:p w:rsidR="00A9251F" w:rsidRDefault="00A93ACE">
            <w:pPr>
              <w:jc w:val="right"/>
              <w:rPr>
                <w:color w:val="000000"/>
                <w:szCs w:val="20"/>
                <w:shd w:val="clear" w:color="auto" w:fill="FFFFFF"/>
                <w:lang w:eastAsia="en-US" w:bidi="ar-SA"/>
              </w:rPr>
            </w:pPr>
            <w:r>
              <w:rPr>
                <w:color w:val="000000"/>
                <w:szCs w:val="20"/>
                <w:shd w:val="clear" w:color="auto" w:fill="FFFFFF"/>
                <w:lang w:eastAsia="en-US" w:bidi="ar-SA"/>
              </w:rPr>
              <w:t>830.100</w:t>
            </w:r>
          </w:p>
        </w:tc>
        <w:tc>
          <w:tcPr>
            <w:tcW w:w="2126" w:type="dxa"/>
            <w:gridSpan w:val="2"/>
            <w:tcBorders>
              <w:top w:val="single" w:sz="8" w:space="0" w:color="000000"/>
              <w:left w:val="single" w:sz="8" w:space="0" w:color="000000"/>
              <w:bottom w:val="single" w:sz="8" w:space="0" w:color="000000"/>
              <w:right w:val="single" w:sz="8" w:space="0" w:color="000000"/>
            </w:tcBorders>
            <w:vAlign w:val="bottom"/>
          </w:tcPr>
          <w:p w:rsidR="00A9251F" w:rsidRDefault="00A93ACE">
            <w:pPr>
              <w:jc w:val="right"/>
              <w:rPr>
                <w:color w:val="000000"/>
                <w:szCs w:val="20"/>
                <w:shd w:val="clear" w:color="auto" w:fill="FFFFFF"/>
                <w:lang w:eastAsia="en-US" w:bidi="ar-SA"/>
              </w:rPr>
            </w:pPr>
            <w:r>
              <w:rPr>
                <w:color w:val="000000"/>
                <w:szCs w:val="20"/>
                <w:shd w:val="clear" w:color="auto" w:fill="FFFFFF"/>
                <w:lang w:eastAsia="en-US" w:bidi="ar-SA"/>
              </w:rPr>
              <w:t>788.590</w:t>
            </w:r>
          </w:p>
        </w:tc>
        <w:tc>
          <w:tcPr>
            <w:tcW w:w="2198" w:type="dxa"/>
            <w:gridSpan w:val="2"/>
            <w:tcBorders>
              <w:top w:val="single" w:sz="8" w:space="0" w:color="000000"/>
              <w:left w:val="single" w:sz="8" w:space="0" w:color="000000"/>
              <w:bottom w:val="single" w:sz="8" w:space="0" w:color="000000"/>
              <w:right w:val="single" w:sz="8" w:space="0" w:color="000000"/>
            </w:tcBorders>
            <w:vAlign w:val="bottom"/>
          </w:tcPr>
          <w:p w:rsidR="00A9251F" w:rsidRDefault="00A93ACE">
            <w:pPr>
              <w:jc w:val="right"/>
              <w:rPr>
                <w:color w:val="000000"/>
                <w:szCs w:val="20"/>
                <w:shd w:val="clear" w:color="auto" w:fill="FFFFFF"/>
                <w:lang w:eastAsia="en-US" w:bidi="ar-SA"/>
              </w:rPr>
            </w:pPr>
            <w:r>
              <w:rPr>
                <w:color w:val="000000"/>
                <w:szCs w:val="20"/>
                <w:shd w:val="clear" w:color="auto" w:fill="FFFFFF"/>
                <w:lang w:eastAsia="en-US" w:bidi="ar-SA"/>
              </w:rPr>
              <w:t>704.649</w:t>
            </w:r>
          </w:p>
        </w:tc>
      </w:tr>
    </w:tbl>
    <w:p w:rsidR="00A9251F" w:rsidRDefault="00A93ACE">
      <w:pPr>
        <w:spacing w:before="240" w:line="276" w:lineRule="auto"/>
        <w:jc w:val="both"/>
        <w:rPr>
          <w:color w:val="000000"/>
          <w:szCs w:val="20"/>
          <w:shd w:val="clear" w:color="auto" w:fill="FFFFFF"/>
          <w:lang w:eastAsia="en-US" w:bidi="ar-SA"/>
        </w:rPr>
      </w:pPr>
      <w:r>
        <w:rPr>
          <w:color w:val="000000"/>
          <w:szCs w:val="20"/>
          <w:shd w:val="clear" w:color="auto" w:fill="FFFFFF"/>
          <w:lang w:eastAsia="en-US" w:bidi="ar-SA"/>
        </w:rPr>
        <w:t xml:space="preserve">Zgodnie z danymi od jednostki, założenia na lata 2022-2024 opracowano na podstawie wartości wynikających ze skorygowanego w maju br. planu finansowego na 2022 rok </w:t>
      </w:r>
      <w:r>
        <w:rPr>
          <w:color w:val="000000"/>
          <w:szCs w:val="20"/>
          <w:shd w:val="clear" w:color="auto" w:fill="FFFFFF"/>
        </w:rPr>
        <w:br/>
      </w:r>
      <w:r>
        <w:rPr>
          <w:color w:val="000000"/>
          <w:szCs w:val="20"/>
          <w:shd w:val="clear" w:color="auto" w:fill="FFFFFF"/>
          <w:lang w:eastAsia="en-US" w:bidi="ar-SA"/>
        </w:rPr>
        <w:t>oraz wskaźników makroekonomicznych, wynikających z Wieloletniego Planu Finansowego Państwa n</w:t>
      </w:r>
      <w:r>
        <w:rPr>
          <w:color w:val="000000"/>
          <w:szCs w:val="20"/>
          <w:shd w:val="clear" w:color="auto" w:fill="FFFFFF"/>
          <w:lang w:eastAsia="en-US" w:bidi="ar-SA"/>
        </w:rPr>
        <w:t>a lata 2022 – 2025 oraz założeń do Budżetu Państwa na 2023 rok.</w:t>
      </w:r>
    </w:p>
    <w:p w:rsidR="00A9251F" w:rsidRDefault="00A93ACE">
      <w:pPr>
        <w:spacing w:before="240" w:line="276" w:lineRule="auto"/>
        <w:jc w:val="both"/>
        <w:rPr>
          <w:color w:val="000000"/>
          <w:szCs w:val="20"/>
          <w:shd w:val="clear" w:color="auto" w:fill="FFFFFF"/>
          <w:lang w:eastAsia="en-US" w:bidi="ar-SA"/>
        </w:rPr>
      </w:pPr>
      <w:r>
        <w:rPr>
          <w:color w:val="000000"/>
          <w:szCs w:val="20"/>
          <w:shd w:val="clear" w:color="auto" w:fill="FFFFFF"/>
          <w:lang w:eastAsia="en-US" w:bidi="ar-SA"/>
        </w:rPr>
        <w:t xml:space="preserve">MCM „Polesie” </w:t>
      </w:r>
      <w:r>
        <w:rPr>
          <w:color w:val="000000"/>
          <w:szCs w:val="20"/>
          <w:shd w:val="clear" w:color="auto" w:fill="FFFFFF"/>
        </w:rPr>
        <w:t xml:space="preserve">w  Łodzi </w:t>
      </w:r>
      <w:r>
        <w:rPr>
          <w:color w:val="000000"/>
          <w:szCs w:val="20"/>
          <w:shd w:val="clear" w:color="auto" w:fill="FFFFFF"/>
          <w:lang w:eastAsia="en-US" w:bidi="ar-SA"/>
        </w:rPr>
        <w:t xml:space="preserve">wskazuje, że struktura kosztów jednostki, w najwyższym stopniu kształtuje się w oparciu o wzrastający poziom obciążeń finansowych, które wynikają </w:t>
      </w:r>
      <w:r>
        <w:rPr>
          <w:color w:val="000000"/>
          <w:szCs w:val="20"/>
          <w:shd w:val="clear" w:color="auto" w:fill="FFFFFF"/>
        </w:rPr>
        <w:br/>
      </w:r>
      <w:r>
        <w:rPr>
          <w:color w:val="000000"/>
          <w:szCs w:val="20"/>
          <w:shd w:val="clear" w:color="auto" w:fill="FFFFFF"/>
          <w:lang w:eastAsia="en-US" w:bidi="ar-SA"/>
        </w:rPr>
        <w:t>m.in. z kolejnego wzro</w:t>
      </w:r>
      <w:r>
        <w:rPr>
          <w:color w:val="000000"/>
          <w:szCs w:val="20"/>
          <w:shd w:val="clear" w:color="auto" w:fill="FFFFFF"/>
          <w:lang w:eastAsia="en-US" w:bidi="ar-SA"/>
        </w:rPr>
        <w:t xml:space="preserve">stu wynagrodzeń (nowelizacja ustawy o zasadach ustalania minimalnego wynagrodzenia zasadniczego). Stąd, w ramach planowanych przychodów, jednostka wskazuje na konieczność utrzymania obecnej dynamiki, co ma być zrealizowane </w:t>
      </w:r>
      <w:r>
        <w:rPr>
          <w:color w:val="000000"/>
          <w:szCs w:val="20"/>
          <w:shd w:val="clear" w:color="auto" w:fill="FFFFFF"/>
        </w:rPr>
        <w:br/>
      </w:r>
      <w:r>
        <w:rPr>
          <w:color w:val="000000"/>
          <w:szCs w:val="20"/>
          <w:shd w:val="clear" w:color="auto" w:fill="FFFFFF"/>
          <w:lang w:eastAsia="en-US" w:bidi="ar-SA"/>
        </w:rPr>
        <w:t>w efekcie działań reorganizacyjn</w:t>
      </w:r>
      <w:r>
        <w:rPr>
          <w:color w:val="000000"/>
          <w:szCs w:val="20"/>
          <w:shd w:val="clear" w:color="auto" w:fill="FFFFFF"/>
          <w:lang w:eastAsia="en-US" w:bidi="ar-SA"/>
        </w:rPr>
        <w:t xml:space="preserve">ych i restrukturyzacyjnych, w tym koncentracji usług </w:t>
      </w:r>
      <w:r>
        <w:rPr>
          <w:color w:val="000000"/>
          <w:szCs w:val="20"/>
          <w:shd w:val="clear" w:color="auto" w:fill="FFFFFF"/>
        </w:rPr>
        <w:br/>
      </w:r>
      <w:r>
        <w:rPr>
          <w:color w:val="000000"/>
          <w:szCs w:val="20"/>
          <w:shd w:val="clear" w:color="auto" w:fill="FFFFFF"/>
          <w:lang w:eastAsia="en-US" w:bidi="ar-SA"/>
        </w:rPr>
        <w:t>i rezygnacji z prowadzenia działalności (jeśli będzie to konieczne) w nierentownych lokalizacjach i obszarach. W prognozie przyjęto również założenie o zmianach regulacji centralnych, w tym o podnoszeni</w:t>
      </w:r>
      <w:r>
        <w:rPr>
          <w:color w:val="000000"/>
          <w:szCs w:val="20"/>
          <w:shd w:val="clear" w:color="auto" w:fill="FFFFFF"/>
          <w:lang w:eastAsia="en-US" w:bidi="ar-SA"/>
        </w:rPr>
        <w:t>u wyceny świadczeń ambulatoryjnych.</w:t>
      </w:r>
    </w:p>
    <w:p w:rsidR="00A9251F" w:rsidRDefault="00A93ACE">
      <w:pPr>
        <w:spacing w:before="240" w:after="200" w:line="276" w:lineRule="auto"/>
        <w:jc w:val="both"/>
        <w:rPr>
          <w:color w:val="000000"/>
          <w:szCs w:val="20"/>
          <w:shd w:val="clear" w:color="auto" w:fill="FFFFFF"/>
          <w:lang w:eastAsia="en-US" w:bidi="ar-SA"/>
        </w:rPr>
      </w:pPr>
      <w:r>
        <w:rPr>
          <w:color w:val="000000"/>
          <w:szCs w:val="20"/>
          <w:shd w:val="clear" w:color="auto" w:fill="FFFFFF"/>
          <w:lang w:eastAsia="en-US" w:bidi="ar-SA"/>
        </w:rPr>
        <w:t>Prognoza dalszego funkcjonowania jednostki w latach 2022-2024 zakłada następującą strukturę przychodów, m.in. w następujący pozycjach:</w:t>
      </w:r>
    </w:p>
    <w:p w:rsidR="00A9251F" w:rsidRDefault="00A93ACE">
      <w:pPr>
        <w:spacing w:line="276" w:lineRule="auto"/>
        <w:ind w:left="283" w:hanging="283"/>
        <w:jc w:val="both"/>
        <w:rPr>
          <w:color w:val="000000"/>
          <w:szCs w:val="20"/>
          <w:shd w:val="clear" w:color="auto" w:fill="FFFFFF"/>
          <w:lang w:eastAsia="en-US" w:bidi="ar-SA"/>
        </w:rPr>
      </w:pPr>
      <w:r>
        <w:rPr>
          <w:b/>
          <w:color w:val="000000"/>
          <w:szCs w:val="20"/>
          <w:shd w:val="clear" w:color="auto" w:fill="FFFFFF"/>
        </w:rPr>
        <w:t>1) </w:t>
      </w:r>
      <w:r>
        <w:rPr>
          <w:b/>
          <w:color w:val="000000"/>
          <w:szCs w:val="20"/>
          <w:shd w:val="clear" w:color="auto" w:fill="FFFFFF"/>
          <w:lang w:eastAsia="en-US" w:bidi="ar-SA"/>
        </w:rPr>
        <w:t>POZ</w:t>
      </w:r>
      <w:r>
        <w:rPr>
          <w:color w:val="000000"/>
          <w:szCs w:val="20"/>
          <w:shd w:val="clear" w:color="auto" w:fill="FFFFFF"/>
          <w:lang w:eastAsia="en-US" w:bidi="ar-SA"/>
        </w:rPr>
        <w:t xml:space="preserve"> – 17.850.000 zł w roku 2022; 19 099.500 zł w roku 2023; 20.054.475 zł w roku 2024;</w:t>
      </w:r>
    </w:p>
    <w:p w:rsidR="00A9251F" w:rsidRDefault="00A93ACE">
      <w:pPr>
        <w:spacing w:line="276" w:lineRule="auto"/>
        <w:ind w:left="283" w:hanging="283"/>
        <w:jc w:val="both"/>
        <w:rPr>
          <w:color w:val="000000"/>
          <w:szCs w:val="20"/>
          <w:shd w:val="clear" w:color="auto" w:fill="FFFFFF"/>
          <w:lang w:eastAsia="en-US" w:bidi="ar-SA"/>
        </w:rPr>
      </w:pPr>
      <w:r>
        <w:rPr>
          <w:b/>
          <w:color w:val="000000"/>
          <w:szCs w:val="20"/>
          <w:shd w:val="clear" w:color="auto" w:fill="FFFFFF"/>
        </w:rPr>
        <w:t>2) </w:t>
      </w:r>
      <w:r>
        <w:rPr>
          <w:b/>
          <w:color w:val="000000"/>
          <w:szCs w:val="20"/>
          <w:shd w:val="clear" w:color="auto" w:fill="FFFFFF"/>
          <w:lang w:eastAsia="en-US" w:bidi="ar-SA"/>
        </w:rPr>
        <w:t>AOS</w:t>
      </w:r>
      <w:r>
        <w:rPr>
          <w:color w:val="000000"/>
          <w:szCs w:val="20"/>
          <w:shd w:val="clear" w:color="auto" w:fill="FFFFFF"/>
          <w:lang w:eastAsia="en-US" w:bidi="ar-SA"/>
        </w:rPr>
        <w:t xml:space="preserve"> – 2.227.000 zł w roku 2022; 2 382.890 zł w roku 2023; 2.502.035 zł w roku 2024;</w:t>
      </w:r>
    </w:p>
    <w:p w:rsidR="00A9251F" w:rsidRDefault="00A93ACE">
      <w:pPr>
        <w:spacing w:line="276" w:lineRule="auto"/>
        <w:ind w:left="283" w:hanging="283"/>
        <w:jc w:val="both"/>
        <w:rPr>
          <w:color w:val="000000"/>
          <w:szCs w:val="20"/>
          <w:shd w:val="clear" w:color="auto" w:fill="FFFFFF"/>
          <w:lang w:eastAsia="en-US" w:bidi="ar-SA"/>
        </w:rPr>
      </w:pPr>
      <w:r>
        <w:rPr>
          <w:b/>
          <w:color w:val="000000"/>
          <w:szCs w:val="20"/>
          <w:shd w:val="clear" w:color="auto" w:fill="FFFFFF"/>
        </w:rPr>
        <w:t>3) </w:t>
      </w:r>
      <w:r>
        <w:rPr>
          <w:b/>
          <w:color w:val="000000"/>
          <w:szCs w:val="20"/>
          <w:shd w:val="clear" w:color="auto" w:fill="FFFFFF"/>
          <w:lang w:eastAsia="en-US" w:bidi="ar-SA"/>
        </w:rPr>
        <w:t>Rehabilitacji</w:t>
      </w:r>
      <w:r>
        <w:rPr>
          <w:color w:val="000000"/>
          <w:szCs w:val="20"/>
          <w:shd w:val="clear" w:color="auto" w:fill="FFFFFF"/>
          <w:lang w:eastAsia="en-US" w:bidi="ar-SA"/>
        </w:rPr>
        <w:t xml:space="preserve"> – 756.000 zł w roku 2022; 793.800 zł w roku 2023; 817.614 zł w roku </w:t>
      </w:r>
      <w:r>
        <w:rPr>
          <w:color w:val="000000"/>
          <w:szCs w:val="20"/>
          <w:shd w:val="clear" w:color="auto" w:fill="FFFFFF"/>
          <w:lang w:eastAsia="en-US" w:bidi="ar-SA"/>
        </w:rPr>
        <w:t>2024;</w:t>
      </w:r>
    </w:p>
    <w:p w:rsidR="00A9251F" w:rsidRDefault="00A93ACE">
      <w:pPr>
        <w:spacing w:line="276" w:lineRule="auto"/>
        <w:jc w:val="both"/>
        <w:rPr>
          <w:color w:val="000000"/>
          <w:szCs w:val="20"/>
          <w:shd w:val="clear" w:color="auto" w:fill="FFFFFF"/>
          <w:lang w:eastAsia="en-US" w:bidi="ar-SA"/>
        </w:rPr>
      </w:pPr>
      <w:r>
        <w:rPr>
          <w:b/>
          <w:color w:val="000000"/>
          <w:szCs w:val="20"/>
          <w:shd w:val="clear" w:color="auto" w:fill="FFFFFF"/>
        </w:rPr>
        <w:t>4) </w:t>
      </w:r>
      <w:r>
        <w:rPr>
          <w:b/>
          <w:color w:val="000000"/>
          <w:szCs w:val="20"/>
          <w:shd w:val="clear" w:color="auto" w:fill="FFFFFF"/>
          <w:lang w:eastAsia="en-US" w:bidi="ar-SA"/>
        </w:rPr>
        <w:t>Stomatologii</w:t>
      </w:r>
      <w:r>
        <w:rPr>
          <w:color w:val="000000"/>
          <w:szCs w:val="20"/>
          <w:shd w:val="clear" w:color="auto" w:fill="FFFFFF"/>
          <w:lang w:eastAsia="en-US" w:bidi="ar-SA"/>
        </w:rPr>
        <w:t xml:space="preserve"> – 600.000 zł w roku 2022; 618.000 zł w roku 2023; 636.540 zł w roku 2024;</w:t>
      </w:r>
    </w:p>
    <w:p w:rsidR="00A9251F" w:rsidRDefault="00A93ACE">
      <w:pPr>
        <w:spacing w:line="276" w:lineRule="auto"/>
        <w:ind w:left="283" w:hanging="283"/>
        <w:jc w:val="both"/>
        <w:rPr>
          <w:color w:val="000000"/>
          <w:szCs w:val="20"/>
          <w:shd w:val="clear" w:color="auto" w:fill="FFFFFF"/>
          <w:lang w:eastAsia="en-US" w:bidi="ar-SA"/>
        </w:rPr>
      </w:pPr>
      <w:r>
        <w:rPr>
          <w:b/>
          <w:color w:val="000000"/>
          <w:szCs w:val="20"/>
          <w:shd w:val="clear" w:color="auto" w:fill="FFFFFF"/>
        </w:rPr>
        <w:t>5) </w:t>
      </w:r>
      <w:r>
        <w:rPr>
          <w:b/>
          <w:color w:val="000000"/>
          <w:szCs w:val="20"/>
          <w:shd w:val="clear" w:color="auto" w:fill="FFFFFF"/>
          <w:lang w:eastAsia="en-US" w:bidi="ar-SA"/>
        </w:rPr>
        <w:t xml:space="preserve">Odpłatne usługi medyczne </w:t>
      </w:r>
      <w:r>
        <w:rPr>
          <w:color w:val="000000"/>
          <w:szCs w:val="20"/>
          <w:shd w:val="clear" w:color="auto" w:fill="FFFFFF"/>
          <w:lang w:eastAsia="en-US" w:bidi="ar-SA"/>
        </w:rPr>
        <w:t>– 483.000 zł w roku 2022; 500.000 zł w roku 2023; 525.000 zł w roku 2024.</w:t>
      </w:r>
    </w:p>
    <w:p w:rsidR="00A9251F" w:rsidRDefault="00A93ACE">
      <w:pPr>
        <w:spacing w:before="240" w:after="120" w:line="276" w:lineRule="auto"/>
        <w:jc w:val="both"/>
        <w:rPr>
          <w:color w:val="000000"/>
          <w:szCs w:val="20"/>
          <w:shd w:val="clear" w:color="auto" w:fill="FFFFFF"/>
          <w:lang w:eastAsia="en-US" w:bidi="ar-SA"/>
        </w:rPr>
      </w:pPr>
      <w:r>
        <w:rPr>
          <w:color w:val="000000"/>
          <w:szCs w:val="20"/>
          <w:shd w:val="clear" w:color="auto" w:fill="FFFFFF"/>
          <w:lang w:eastAsia="en-US" w:bidi="ar-SA"/>
        </w:rPr>
        <w:t xml:space="preserve">Prognoza w latach 2022-2024 zakłada następującą strukturę </w:t>
      </w:r>
      <w:r>
        <w:rPr>
          <w:color w:val="000000"/>
          <w:szCs w:val="20"/>
          <w:shd w:val="clear" w:color="auto" w:fill="FFFFFF"/>
          <w:lang w:eastAsia="en-US" w:bidi="ar-SA"/>
        </w:rPr>
        <w:t>kosztów, m.in. w następujący pozycjach:</w:t>
      </w:r>
    </w:p>
    <w:p w:rsidR="00A9251F" w:rsidRDefault="00A93ACE">
      <w:pPr>
        <w:spacing w:line="276" w:lineRule="auto"/>
        <w:ind w:left="283" w:hanging="283"/>
        <w:jc w:val="both"/>
        <w:rPr>
          <w:color w:val="000000"/>
          <w:szCs w:val="20"/>
          <w:shd w:val="clear" w:color="auto" w:fill="FFFFFF"/>
          <w:lang w:eastAsia="en-US" w:bidi="ar-SA"/>
        </w:rPr>
      </w:pPr>
      <w:r>
        <w:rPr>
          <w:b/>
          <w:color w:val="000000"/>
          <w:szCs w:val="20"/>
          <w:shd w:val="clear" w:color="auto" w:fill="FFFFFF"/>
        </w:rPr>
        <w:t>1) </w:t>
      </w:r>
      <w:r>
        <w:rPr>
          <w:b/>
          <w:color w:val="000000"/>
          <w:szCs w:val="20"/>
          <w:shd w:val="clear" w:color="auto" w:fill="FFFFFF"/>
          <w:lang w:eastAsia="en-US" w:bidi="ar-SA"/>
        </w:rPr>
        <w:t>zużycie materiałów i energii</w:t>
      </w:r>
      <w:r>
        <w:rPr>
          <w:color w:val="000000"/>
          <w:szCs w:val="20"/>
          <w:shd w:val="clear" w:color="auto" w:fill="FFFFFF"/>
          <w:lang w:eastAsia="en-US" w:bidi="ar-SA"/>
        </w:rPr>
        <w:t xml:space="preserve"> – 1.475.000 zł w roku 2022; 1.558.000 zł w roku 2023; 1.601.624 zł w roku 2024</w:t>
      </w:r>
      <w:r>
        <w:rPr>
          <w:color w:val="000000"/>
          <w:szCs w:val="20"/>
          <w:shd w:val="clear" w:color="auto" w:fill="FFFFFF"/>
        </w:rPr>
        <w:t xml:space="preserve"> w tym: </w:t>
      </w:r>
      <w:r>
        <w:rPr>
          <w:b/>
          <w:color w:val="000000"/>
          <w:szCs w:val="20"/>
          <w:shd w:val="clear" w:color="auto" w:fill="FFFFFF"/>
          <w:lang w:eastAsia="en-US" w:bidi="ar-SA"/>
        </w:rPr>
        <w:t>energii</w:t>
      </w:r>
      <w:r>
        <w:rPr>
          <w:color w:val="000000"/>
          <w:szCs w:val="20"/>
          <w:shd w:val="clear" w:color="auto" w:fill="FFFFFF"/>
          <w:lang w:eastAsia="en-US" w:bidi="ar-SA"/>
        </w:rPr>
        <w:t xml:space="preserve"> – 907.000 zł w roku 2022; 952.350 zł w roku 2023; 979.016 zł w roku 2024;</w:t>
      </w:r>
    </w:p>
    <w:p w:rsidR="00A9251F" w:rsidRDefault="00A93ACE">
      <w:pPr>
        <w:spacing w:line="276" w:lineRule="auto"/>
        <w:ind w:left="283" w:hanging="283"/>
        <w:jc w:val="both"/>
        <w:rPr>
          <w:color w:val="000000"/>
          <w:szCs w:val="20"/>
          <w:shd w:val="clear" w:color="auto" w:fill="FFFFFF"/>
          <w:lang w:eastAsia="en-US" w:bidi="ar-SA"/>
        </w:rPr>
      </w:pPr>
      <w:r>
        <w:rPr>
          <w:b/>
          <w:color w:val="000000"/>
          <w:szCs w:val="20"/>
          <w:shd w:val="clear" w:color="auto" w:fill="FFFFFF"/>
        </w:rPr>
        <w:t>2) </w:t>
      </w:r>
      <w:r>
        <w:rPr>
          <w:b/>
          <w:color w:val="000000"/>
          <w:szCs w:val="20"/>
          <w:shd w:val="clear" w:color="auto" w:fill="FFFFFF"/>
          <w:lang w:eastAsia="en-US" w:bidi="ar-SA"/>
        </w:rPr>
        <w:t>usługi obce</w:t>
      </w:r>
      <w:r>
        <w:rPr>
          <w:color w:val="000000"/>
          <w:szCs w:val="20"/>
          <w:shd w:val="clear" w:color="auto" w:fill="FFFFFF"/>
          <w:lang w:eastAsia="en-US" w:bidi="ar-SA"/>
        </w:rPr>
        <w:t xml:space="preserve"> –</w:t>
      </w:r>
      <w:r>
        <w:rPr>
          <w:color w:val="000000"/>
          <w:szCs w:val="20"/>
          <w:shd w:val="clear" w:color="auto" w:fill="FFFFFF"/>
          <w:lang w:eastAsia="en-US" w:bidi="ar-SA"/>
        </w:rPr>
        <w:t xml:space="preserve"> 6.788.000 zł w roku 2022; 7.288.000 zł w roku 2023; 7.492.064 zł </w:t>
      </w:r>
      <w:r>
        <w:rPr>
          <w:color w:val="000000"/>
          <w:szCs w:val="20"/>
          <w:shd w:val="clear" w:color="auto" w:fill="FFFFFF"/>
          <w:lang w:eastAsia="en-US" w:bidi="ar-SA"/>
        </w:rPr>
        <w:br/>
        <w:t>w roku 2024;</w:t>
      </w:r>
    </w:p>
    <w:p w:rsidR="00A9251F" w:rsidRDefault="00A93ACE">
      <w:pPr>
        <w:spacing w:line="276" w:lineRule="auto"/>
        <w:ind w:left="283" w:hanging="283"/>
        <w:jc w:val="both"/>
        <w:rPr>
          <w:color w:val="000000"/>
          <w:szCs w:val="20"/>
          <w:shd w:val="clear" w:color="auto" w:fill="FFFFFF"/>
          <w:lang w:eastAsia="en-US" w:bidi="ar-SA"/>
        </w:rPr>
      </w:pPr>
      <w:r>
        <w:rPr>
          <w:b/>
          <w:color w:val="000000"/>
          <w:szCs w:val="20"/>
          <w:shd w:val="clear" w:color="auto" w:fill="FFFFFF"/>
        </w:rPr>
        <w:t>3) </w:t>
      </w:r>
      <w:r>
        <w:rPr>
          <w:b/>
          <w:color w:val="000000"/>
          <w:szCs w:val="20"/>
          <w:shd w:val="clear" w:color="auto" w:fill="FFFFFF"/>
          <w:lang w:eastAsia="en-US" w:bidi="ar-SA"/>
        </w:rPr>
        <w:t>wynagrodzenia</w:t>
      </w:r>
      <w:r>
        <w:rPr>
          <w:color w:val="000000"/>
          <w:szCs w:val="20"/>
          <w:shd w:val="clear" w:color="auto" w:fill="FFFFFF"/>
          <w:lang w:eastAsia="en-US" w:bidi="ar-SA"/>
        </w:rPr>
        <w:t xml:space="preserve"> – 11.744.000 zł w roku 2022; 12.611.500 zł w roku 2023; 13.156.825 zł </w:t>
      </w:r>
      <w:r>
        <w:rPr>
          <w:color w:val="000000"/>
          <w:szCs w:val="20"/>
          <w:shd w:val="clear" w:color="auto" w:fill="FFFFFF"/>
        </w:rPr>
        <w:br/>
      </w:r>
      <w:r>
        <w:rPr>
          <w:color w:val="000000"/>
          <w:szCs w:val="20"/>
          <w:shd w:val="clear" w:color="auto" w:fill="FFFFFF"/>
          <w:lang w:eastAsia="en-US" w:bidi="ar-SA"/>
        </w:rPr>
        <w:t>w roku 2024, w tym:</w:t>
      </w:r>
    </w:p>
    <w:p w:rsidR="00A9251F" w:rsidRDefault="00A93ACE">
      <w:pPr>
        <w:spacing w:line="276" w:lineRule="auto"/>
        <w:ind w:left="566" w:hanging="283"/>
        <w:jc w:val="both"/>
        <w:rPr>
          <w:b/>
          <w:color w:val="000000"/>
          <w:szCs w:val="20"/>
          <w:shd w:val="clear" w:color="auto" w:fill="FFFFFF"/>
          <w:lang w:eastAsia="en-US" w:bidi="ar-SA"/>
        </w:rPr>
      </w:pPr>
      <w:r>
        <w:rPr>
          <w:b/>
          <w:color w:val="000000"/>
          <w:szCs w:val="20"/>
          <w:shd w:val="clear" w:color="auto" w:fill="FFFFFF"/>
        </w:rPr>
        <w:t>a) </w:t>
      </w:r>
      <w:r>
        <w:rPr>
          <w:b/>
          <w:color w:val="000000"/>
          <w:szCs w:val="20"/>
          <w:shd w:val="clear" w:color="auto" w:fill="FFFFFF"/>
          <w:lang w:eastAsia="en-US" w:bidi="ar-SA"/>
        </w:rPr>
        <w:t xml:space="preserve">wynagrodzenia wynikające ze stosunku pracy </w:t>
      </w:r>
      <w:r>
        <w:rPr>
          <w:color w:val="000000"/>
          <w:szCs w:val="20"/>
          <w:shd w:val="clear" w:color="auto" w:fill="FFFFFF"/>
          <w:lang w:eastAsia="en-US" w:bidi="ar-SA"/>
        </w:rPr>
        <w:t xml:space="preserve">– 9.915.000 zł w roku </w:t>
      </w:r>
      <w:r>
        <w:rPr>
          <w:color w:val="000000"/>
          <w:szCs w:val="20"/>
          <w:shd w:val="clear" w:color="auto" w:fill="FFFFFF"/>
          <w:lang w:eastAsia="en-US" w:bidi="ar-SA"/>
        </w:rPr>
        <w:t>2022; 10.906.500 zł w roku 2023; 11.451.825 zł w roku 2024</w:t>
      </w:r>
      <w:r>
        <w:rPr>
          <w:color w:val="000000"/>
          <w:szCs w:val="20"/>
          <w:shd w:val="clear" w:color="auto" w:fill="FFFFFF"/>
        </w:rPr>
        <w:t>,</w:t>
      </w:r>
    </w:p>
    <w:p w:rsidR="00A9251F" w:rsidRDefault="00A93ACE">
      <w:pPr>
        <w:spacing w:line="276" w:lineRule="auto"/>
        <w:ind w:left="283"/>
        <w:jc w:val="both"/>
        <w:rPr>
          <w:color w:val="000000"/>
          <w:szCs w:val="20"/>
          <w:shd w:val="clear" w:color="auto" w:fill="FFFFFF"/>
          <w:lang w:eastAsia="en-US" w:bidi="ar-SA"/>
        </w:rPr>
      </w:pPr>
      <w:r>
        <w:rPr>
          <w:b/>
          <w:color w:val="000000"/>
          <w:szCs w:val="20"/>
          <w:shd w:val="clear" w:color="auto" w:fill="FFFFFF"/>
        </w:rPr>
        <w:t>b) </w:t>
      </w:r>
      <w:r>
        <w:rPr>
          <w:b/>
          <w:color w:val="000000"/>
          <w:szCs w:val="20"/>
          <w:shd w:val="clear" w:color="auto" w:fill="FFFFFF"/>
          <w:lang w:eastAsia="en-US" w:bidi="ar-SA"/>
        </w:rPr>
        <w:t>wynagrodzenia</w:t>
      </w:r>
      <w:r>
        <w:rPr>
          <w:color w:val="000000"/>
          <w:szCs w:val="20"/>
          <w:shd w:val="clear" w:color="auto" w:fill="FFFFFF"/>
          <w:lang w:eastAsia="en-US" w:bidi="ar-SA"/>
        </w:rPr>
        <w:t xml:space="preserve"> </w:t>
      </w:r>
      <w:r>
        <w:rPr>
          <w:b/>
          <w:color w:val="000000"/>
          <w:szCs w:val="20"/>
          <w:shd w:val="clear" w:color="auto" w:fill="FFFFFF"/>
          <w:lang w:eastAsia="en-US" w:bidi="ar-SA"/>
        </w:rPr>
        <w:t>z umów zleceń i o dzieło</w:t>
      </w:r>
      <w:r>
        <w:rPr>
          <w:color w:val="000000"/>
          <w:szCs w:val="20"/>
          <w:shd w:val="clear" w:color="auto" w:fill="FFFFFF"/>
          <w:lang w:eastAsia="en-US" w:bidi="ar-SA"/>
        </w:rPr>
        <w:t xml:space="preserve"> – 1.255.000 zł w każdy z lat 2022-2024;</w:t>
      </w:r>
    </w:p>
    <w:p w:rsidR="00A9251F" w:rsidRDefault="00A93ACE">
      <w:pPr>
        <w:spacing w:line="276" w:lineRule="auto"/>
        <w:ind w:left="283" w:hanging="283"/>
        <w:jc w:val="both"/>
        <w:rPr>
          <w:color w:val="000000"/>
          <w:szCs w:val="20"/>
          <w:shd w:val="clear" w:color="auto" w:fill="FFFFFF"/>
          <w:lang w:eastAsia="en-US" w:bidi="ar-SA"/>
        </w:rPr>
      </w:pPr>
      <w:r>
        <w:rPr>
          <w:b/>
          <w:color w:val="000000"/>
          <w:szCs w:val="20"/>
          <w:shd w:val="clear" w:color="auto" w:fill="FFFFFF"/>
        </w:rPr>
        <w:t>4) </w:t>
      </w:r>
      <w:r>
        <w:rPr>
          <w:b/>
          <w:color w:val="000000"/>
          <w:szCs w:val="20"/>
          <w:shd w:val="clear" w:color="auto" w:fill="FFFFFF"/>
          <w:lang w:eastAsia="en-US" w:bidi="ar-SA"/>
        </w:rPr>
        <w:t>ubezpieczenia społeczne i inne świadczenia</w:t>
      </w:r>
      <w:r>
        <w:rPr>
          <w:color w:val="000000"/>
          <w:szCs w:val="20"/>
          <w:shd w:val="clear" w:color="auto" w:fill="FFFFFF"/>
          <w:lang w:eastAsia="en-US" w:bidi="ar-SA"/>
        </w:rPr>
        <w:t xml:space="preserve"> – 2.323.000 zł w roku 2022; 2.528.400 zł </w:t>
      </w:r>
      <w:r>
        <w:rPr>
          <w:color w:val="000000"/>
          <w:szCs w:val="20"/>
          <w:shd w:val="clear" w:color="auto" w:fill="FFFFFF"/>
        </w:rPr>
        <w:br/>
      </w:r>
      <w:r>
        <w:rPr>
          <w:color w:val="000000"/>
          <w:szCs w:val="20"/>
          <w:shd w:val="clear" w:color="auto" w:fill="FFFFFF"/>
          <w:lang w:eastAsia="en-US" w:bidi="ar-SA"/>
        </w:rPr>
        <w:t xml:space="preserve">w roku 2023; 2.640.666 zł </w:t>
      </w:r>
      <w:r>
        <w:rPr>
          <w:color w:val="000000"/>
          <w:szCs w:val="20"/>
          <w:shd w:val="clear" w:color="auto" w:fill="FFFFFF"/>
          <w:lang w:eastAsia="en-US" w:bidi="ar-SA"/>
        </w:rPr>
        <w:t>w roku 2024.</w:t>
      </w:r>
    </w:p>
    <w:p w:rsidR="00A9251F" w:rsidRDefault="00A93ACE">
      <w:pPr>
        <w:spacing w:before="240" w:line="276" w:lineRule="auto"/>
        <w:jc w:val="both"/>
        <w:rPr>
          <w:color w:val="000000"/>
          <w:szCs w:val="20"/>
          <w:shd w:val="clear" w:color="auto" w:fill="FFFFFF"/>
          <w:lang w:eastAsia="en-US" w:bidi="ar-SA"/>
        </w:rPr>
      </w:pPr>
      <w:r>
        <w:rPr>
          <w:color w:val="000000"/>
          <w:szCs w:val="20"/>
          <w:shd w:val="clear" w:color="auto" w:fill="FFFFFF"/>
          <w:lang w:eastAsia="en-US" w:bidi="ar-SA"/>
        </w:rPr>
        <w:lastRenderedPageBreak/>
        <w:t>Ogółem w prognozowanym okresie planuję się osiągnąć:</w:t>
      </w:r>
    </w:p>
    <w:p w:rsidR="00A9251F" w:rsidRDefault="00A93ACE">
      <w:pPr>
        <w:spacing w:line="276" w:lineRule="auto"/>
        <w:ind w:left="285" w:hanging="285"/>
        <w:jc w:val="both"/>
        <w:rPr>
          <w:color w:val="000000"/>
          <w:szCs w:val="20"/>
          <w:shd w:val="clear" w:color="auto" w:fill="FFFFFF"/>
          <w:lang w:eastAsia="en-US" w:bidi="ar-SA"/>
        </w:rPr>
      </w:pPr>
      <w:r>
        <w:rPr>
          <w:b/>
          <w:color w:val="000000"/>
          <w:szCs w:val="20"/>
          <w:shd w:val="clear" w:color="auto" w:fill="FFFFFF"/>
        </w:rPr>
        <w:t>1) </w:t>
      </w:r>
      <w:r>
        <w:rPr>
          <w:b/>
          <w:color w:val="000000"/>
          <w:szCs w:val="20"/>
          <w:shd w:val="clear" w:color="auto" w:fill="FFFFFF"/>
          <w:lang w:eastAsia="en-US" w:bidi="ar-SA"/>
        </w:rPr>
        <w:t>przychody</w:t>
      </w:r>
      <w:r>
        <w:rPr>
          <w:b/>
          <w:color w:val="000000"/>
          <w:szCs w:val="20"/>
          <w:shd w:val="clear" w:color="auto" w:fill="FFFFFF"/>
        </w:rPr>
        <w:t xml:space="preserve"> ogółem</w:t>
      </w:r>
      <w:r>
        <w:rPr>
          <w:color w:val="000000"/>
          <w:szCs w:val="20"/>
          <w:shd w:val="clear" w:color="auto" w:fill="FFFFFF"/>
          <w:lang w:eastAsia="en-US" w:bidi="ar-SA"/>
        </w:rPr>
        <w:t xml:space="preserve"> na poziomie: 23.393.600 zł w roku 2022; 25.012.990 zł w roku 2023; 25.841.328 zł w roku 2024;</w:t>
      </w:r>
    </w:p>
    <w:p w:rsidR="00A9251F" w:rsidRDefault="00A93ACE">
      <w:pPr>
        <w:spacing w:line="276" w:lineRule="auto"/>
        <w:ind w:left="285" w:hanging="285"/>
        <w:jc w:val="both"/>
        <w:rPr>
          <w:color w:val="000000"/>
          <w:szCs w:val="20"/>
          <w:shd w:val="clear" w:color="auto" w:fill="FFFFFF"/>
          <w:lang w:eastAsia="en-US" w:bidi="ar-SA"/>
        </w:rPr>
      </w:pPr>
      <w:r>
        <w:rPr>
          <w:b/>
          <w:color w:val="000000"/>
          <w:szCs w:val="20"/>
          <w:shd w:val="clear" w:color="auto" w:fill="FFFFFF"/>
        </w:rPr>
        <w:t>2) </w:t>
      </w:r>
      <w:r>
        <w:rPr>
          <w:b/>
          <w:color w:val="000000"/>
          <w:szCs w:val="20"/>
          <w:shd w:val="clear" w:color="auto" w:fill="FFFFFF"/>
          <w:lang w:eastAsia="en-US" w:bidi="ar-SA"/>
        </w:rPr>
        <w:t>koszty</w:t>
      </w:r>
      <w:r>
        <w:rPr>
          <w:b/>
          <w:color w:val="000000"/>
          <w:szCs w:val="20"/>
          <w:shd w:val="clear" w:color="auto" w:fill="FFFFFF"/>
        </w:rPr>
        <w:t xml:space="preserve"> ogółem</w:t>
      </w:r>
      <w:r>
        <w:rPr>
          <w:color w:val="000000"/>
          <w:szCs w:val="20"/>
          <w:shd w:val="clear" w:color="auto" w:fill="FFFFFF"/>
          <w:lang w:eastAsia="en-US" w:bidi="ar-SA"/>
        </w:rPr>
        <w:t xml:space="preserve"> na poziomie: 23.331.500 zł w roku 2022; 24.874.400 zł w rok</w:t>
      </w:r>
      <w:r>
        <w:rPr>
          <w:color w:val="000000"/>
          <w:szCs w:val="20"/>
          <w:shd w:val="clear" w:color="auto" w:fill="FFFFFF"/>
          <w:lang w:eastAsia="en-US" w:bidi="ar-SA"/>
        </w:rPr>
        <w:t>u 2023; 25.686.679 zł w roku 2024.</w:t>
      </w:r>
    </w:p>
    <w:p w:rsidR="00A9251F" w:rsidRDefault="00A93ACE">
      <w:pPr>
        <w:spacing w:before="120" w:after="120" w:line="276" w:lineRule="auto"/>
        <w:jc w:val="both"/>
        <w:rPr>
          <w:b/>
          <w:color w:val="000000"/>
          <w:szCs w:val="20"/>
          <w:shd w:val="clear" w:color="auto" w:fill="FFFFFF"/>
          <w:lang w:eastAsia="en-US" w:bidi="ar-SA"/>
        </w:rPr>
      </w:pPr>
      <w:r>
        <w:rPr>
          <w:b/>
          <w:color w:val="000000"/>
          <w:szCs w:val="20"/>
          <w:shd w:val="clear" w:color="auto" w:fill="FFFFFF"/>
          <w:lang w:eastAsia="en-US" w:bidi="ar-SA"/>
        </w:rPr>
        <w:t>Pozostałe założenia przyjęte przez MCM „Polesie” w Łodzi na lata 2022-2024</w:t>
      </w:r>
    </w:p>
    <w:p w:rsidR="00A9251F" w:rsidRDefault="00A93ACE">
      <w:pPr>
        <w:spacing w:after="120" w:line="276" w:lineRule="auto"/>
        <w:jc w:val="both"/>
        <w:rPr>
          <w:color w:val="000000"/>
          <w:szCs w:val="20"/>
          <w:shd w:val="clear" w:color="auto" w:fill="FFFFFF"/>
          <w:lang w:eastAsia="en-US" w:bidi="ar-SA"/>
        </w:rPr>
      </w:pPr>
      <w:r>
        <w:rPr>
          <w:color w:val="000000"/>
          <w:szCs w:val="20"/>
          <w:shd w:val="clear" w:color="auto" w:fill="FFFFFF"/>
          <w:lang w:eastAsia="en-US" w:bidi="ar-SA"/>
        </w:rPr>
        <w:t xml:space="preserve">Prognoza na 2022 rok zakłada </w:t>
      </w:r>
      <w:r>
        <w:rPr>
          <w:b/>
          <w:color w:val="000000"/>
          <w:szCs w:val="20"/>
          <w:shd w:val="clear" w:color="auto" w:fill="FFFFFF"/>
          <w:lang w:eastAsia="en-US" w:bidi="ar-SA"/>
        </w:rPr>
        <w:t>wydatki majątkowe</w:t>
      </w:r>
      <w:r>
        <w:rPr>
          <w:color w:val="000000"/>
          <w:szCs w:val="20"/>
          <w:shd w:val="clear" w:color="auto" w:fill="FFFFFF"/>
          <w:lang w:eastAsia="en-US" w:bidi="ar-SA"/>
        </w:rPr>
        <w:t xml:space="preserve"> na kwotę 381.000 zł, z przeznaczeniem na realizację następujących zadań:</w:t>
      </w:r>
    </w:p>
    <w:p w:rsidR="00A9251F" w:rsidRDefault="00A93ACE">
      <w:pPr>
        <w:spacing w:after="100" w:line="259" w:lineRule="auto"/>
        <w:contextualSpacing/>
        <w:jc w:val="both"/>
        <w:rPr>
          <w:szCs w:val="20"/>
          <w:lang w:val="en-US" w:eastAsia="en-US" w:bidi="en-US"/>
        </w:rPr>
      </w:pPr>
      <w:r>
        <w:rPr>
          <w:szCs w:val="20"/>
        </w:rPr>
        <w:t>1) </w:t>
      </w:r>
      <w:proofErr w:type="spellStart"/>
      <w:r>
        <w:rPr>
          <w:szCs w:val="20"/>
          <w:lang w:val="en-US" w:eastAsia="en-US" w:bidi="en-US"/>
        </w:rPr>
        <w:t>inwestycje</w:t>
      </w:r>
      <w:proofErr w:type="spellEnd"/>
      <w:r>
        <w:rPr>
          <w:szCs w:val="20"/>
          <w:lang w:val="en-US" w:eastAsia="en-US" w:bidi="en-US"/>
        </w:rPr>
        <w:t xml:space="preserve"> </w:t>
      </w:r>
      <w:proofErr w:type="spellStart"/>
      <w:r>
        <w:rPr>
          <w:szCs w:val="20"/>
          <w:lang w:val="en-US" w:eastAsia="en-US" w:bidi="en-US"/>
        </w:rPr>
        <w:t>informatyczn</w:t>
      </w:r>
      <w:r>
        <w:rPr>
          <w:szCs w:val="20"/>
          <w:lang w:val="en-US" w:eastAsia="en-US" w:bidi="en-US"/>
        </w:rPr>
        <w:t>e</w:t>
      </w:r>
      <w:proofErr w:type="spellEnd"/>
      <w:r>
        <w:rPr>
          <w:szCs w:val="20"/>
          <w:lang w:val="en-US" w:eastAsia="en-US" w:bidi="en-US"/>
        </w:rPr>
        <w:t xml:space="preserve"> (</w:t>
      </w:r>
      <w:proofErr w:type="spellStart"/>
      <w:r>
        <w:rPr>
          <w:szCs w:val="20"/>
          <w:lang w:val="en-US" w:eastAsia="en-US" w:bidi="en-US"/>
        </w:rPr>
        <w:t>sprzęt</w:t>
      </w:r>
      <w:proofErr w:type="spellEnd"/>
      <w:r>
        <w:rPr>
          <w:szCs w:val="20"/>
          <w:lang w:val="en-US" w:eastAsia="en-US" w:bidi="en-US"/>
        </w:rPr>
        <w:t xml:space="preserve">, </w:t>
      </w:r>
      <w:proofErr w:type="spellStart"/>
      <w:r>
        <w:rPr>
          <w:szCs w:val="20"/>
          <w:lang w:val="en-US" w:eastAsia="en-US" w:bidi="en-US"/>
        </w:rPr>
        <w:t>oprogramowanie</w:t>
      </w:r>
      <w:proofErr w:type="spellEnd"/>
      <w:r>
        <w:rPr>
          <w:szCs w:val="20"/>
          <w:lang w:val="en-US" w:eastAsia="en-US" w:bidi="en-US"/>
        </w:rPr>
        <w:t xml:space="preserve">, </w:t>
      </w:r>
      <w:proofErr w:type="spellStart"/>
      <w:r>
        <w:rPr>
          <w:szCs w:val="20"/>
          <w:lang w:val="en-US" w:eastAsia="en-US" w:bidi="en-US"/>
        </w:rPr>
        <w:t>infrastruktura</w:t>
      </w:r>
      <w:proofErr w:type="spellEnd"/>
      <w:r>
        <w:rPr>
          <w:szCs w:val="20"/>
          <w:lang w:val="en-US" w:eastAsia="en-US" w:bidi="en-US"/>
        </w:rPr>
        <w:t xml:space="preserve">) – 33 </w:t>
      </w:r>
      <w:proofErr w:type="spellStart"/>
      <w:r>
        <w:rPr>
          <w:szCs w:val="20"/>
          <w:lang w:val="en-US" w:eastAsia="en-US" w:bidi="en-US"/>
        </w:rPr>
        <w:t>tys</w:t>
      </w:r>
      <w:proofErr w:type="spellEnd"/>
      <w:r>
        <w:rPr>
          <w:szCs w:val="20"/>
          <w:lang w:val="en-US" w:eastAsia="en-US" w:bidi="en-US"/>
        </w:rPr>
        <w:t xml:space="preserve">. </w:t>
      </w:r>
      <w:proofErr w:type="spellStart"/>
      <w:r>
        <w:rPr>
          <w:szCs w:val="20"/>
          <w:lang w:val="en-US" w:eastAsia="en-US" w:bidi="en-US"/>
        </w:rPr>
        <w:t>zł</w:t>
      </w:r>
      <w:proofErr w:type="spellEnd"/>
      <w:r>
        <w:rPr>
          <w:szCs w:val="20"/>
        </w:rPr>
        <w:t>;</w:t>
      </w:r>
    </w:p>
    <w:p w:rsidR="00A9251F" w:rsidRDefault="00A93ACE">
      <w:pPr>
        <w:spacing w:after="160" w:line="259" w:lineRule="auto"/>
        <w:contextualSpacing/>
        <w:jc w:val="both"/>
        <w:rPr>
          <w:szCs w:val="20"/>
          <w:lang w:val="en-US" w:eastAsia="en-US" w:bidi="en-US"/>
        </w:rPr>
      </w:pPr>
      <w:r>
        <w:rPr>
          <w:szCs w:val="20"/>
        </w:rPr>
        <w:t>2) </w:t>
      </w:r>
      <w:proofErr w:type="spellStart"/>
      <w:r>
        <w:rPr>
          <w:szCs w:val="20"/>
          <w:lang w:val="en-US" w:eastAsia="en-US" w:bidi="en-US"/>
        </w:rPr>
        <w:t>modernizacja</w:t>
      </w:r>
      <w:proofErr w:type="spellEnd"/>
      <w:r>
        <w:rPr>
          <w:szCs w:val="20"/>
          <w:lang w:val="en-US" w:eastAsia="en-US" w:bidi="en-US"/>
        </w:rPr>
        <w:t xml:space="preserve"> </w:t>
      </w:r>
      <w:proofErr w:type="spellStart"/>
      <w:r>
        <w:rPr>
          <w:szCs w:val="20"/>
          <w:lang w:val="en-US" w:eastAsia="en-US" w:bidi="en-US"/>
        </w:rPr>
        <w:t>przychodni</w:t>
      </w:r>
      <w:proofErr w:type="spellEnd"/>
      <w:r>
        <w:rPr>
          <w:szCs w:val="20"/>
          <w:lang w:val="en-US" w:eastAsia="en-US" w:bidi="en-US"/>
        </w:rPr>
        <w:t xml:space="preserve"> nr 39 </w:t>
      </w:r>
      <w:proofErr w:type="spellStart"/>
      <w:r>
        <w:rPr>
          <w:szCs w:val="20"/>
          <w:lang w:val="en-US" w:eastAsia="en-US" w:bidi="en-US"/>
        </w:rPr>
        <w:t>przy</w:t>
      </w:r>
      <w:proofErr w:type="spellEnd"/>
      <w:r>
        <w:rPr>
          <w:szCs w:val="20"/>
          <w:lang w:val="en-US" w:eastAsia="en-US" w:bidi="en-US"/>
        </w:rPr>
        <w:t xml:space="preserve"> </w:t>
      </w:r>
      <w:proofErr w:type="spellStart"/>
      <w:r>
        <w:rPr>
          <w:szCs w:val="20"/>
          <w:lang w:val="en-US" w:eastAsia="en-US" w:bidi="en-US"/>
        </w:rPr>
        <w:t>ul</w:t>
      </w:r>
      <w:proofErr w:type="spellEnd"/>
      <w:r>
        <w:rPr>
          <w:szCs w:val="20"/>
          <w:lang w:val="en-US" w:eastAsia="en-US" w:bidi="en-US"/>
        </w:rPr>
        <w:t xml:space="preserve">. </w:t>
      </w:r>
      <w:proofErr w:type="spellStart"/>
      <w:r>
        <w:rPr>
          <w:szCs w:val="20"/>
          <w:lang w:val="en-US" w:eastAsia="en-US" w:bidi="en-US"/>
        </w:rPr>
        <w:t>Maratońskiej</w:t>
      </w:r>
      <w:proofErr w:type="spellEnd"/>
      <w:r>
        <w:rPr>
          <w:szCs w:val="20"/>
          <w:lang w:val="en-US" w:eastAsia="en-US" w:bidi="en-US"/>
        </w:rPr>
        <w:t xml:space="preserve"> – 300 </w:t>
      </w:r>
      <w:proofErr w:type="spellStart"/>
      <w:r>
        <w:rPr>
          <w:szCs w:val="20"/>
          <w:lang w:val="en-US" w:eastAsia="en-US" w:bidi="en-US"/>
        </w:rPr>
        <w:t>tys</w:t>
      </w:r>
      <w:proofErr w:type="spellEnd"/>
      <w:r>
        <w:rPr>
          <w:szCs w:val="20"/>
          <w:lang w:val="en-US" w:eastAsia="en-US" w:bidi="en-US"/>
        </w:rPr>
        <w:t xml:space="preserve">. </w:t>
      </w:r>
      <w:proofErr w:type="spellStart"/>
      <w:r>
        <w:rPr>
          <w:szCs w:val="20"/>
          <w:lang w:val="en-US" w:eastAsia="en-US" w:bidi="en-US"/>
        </w:rPr>
        <w:t>zł</w:t>
      </w:r>
      <w:proofErr w:type="spellEnd"/>
      <w:r>
        <w:rPr>
          <w:szCs w:val="20"/>
        </w:rPr>
        <w:t>;</w:t>
      </w:r>
    </w:p>
    <w:p w:rsidR="00A9251F" w:rsidRDefault="00A93ACE">
      <w:pPr>
        <w:spacing w:after="160" w:line="259" w:lineRule="auto"/>
        <w:contextualSpacing/>
        <w:jc w:val="both"/>
        <w:rPr>
          <w:szCs w:val="20"/>
          <w:lang w:val="en-US" w:eastAsia="en-US" w:bidi="en-US"/>
        </w:rPr>
      </w:pPr>
      <w:r>
        <w:rPr>
          <w:szCs w:val="20"/>
        </w:rPr>
        <w:t>3) </w:t>
      </w:r>
      <w:proofErr w:type="spellStart"/>
      <w:r>
        <w:rPr>
          <w:szCs w:val="20"/>
          <w:lang w:val="en-US" w:eastAsia="en-US" w:bidi="en-US"/>
        </w:rPr>
        <w:t>zakup</w:t>
      </w:r>
      <w:proofErr w:type="spellEnd"/>
      <w:r>
        <w:rPr>
          <w:szCs w:val="20"/>
          <w:lang w:val="en-US" w:eastAsia="en-US" w:bidi="en-US"/>
        </w:rPr>
        <w:t xml:space="preserve"> </w:t>
      </w:r>
      <w:proofErr w:type="spellStart"/>
      <w:r>
        <w:rPr>
          <w:szCs w:val="20"/>
          <w:lang w:val="en-US" w:eastAsia="en-US" w:bidi="en-US"/>
        </w:rPr>
        <w:t>mebli</w:t>
      </w:r>
      <w:proofErr w:type="spellEnd"/>
      <w:r>
        <w:rPr>
          <w:szCs w:val="20"/>
          <w:lang w:val="en-US" w:eastAsia="en-US" w:bidi="en-US"/>
        </w:rPr>
        <w:t xml:space="preserve"> </w:t>
      </w:r>
      <w:proofErr w:type="spellStart"/>
      <w:r>
        <w:rPr>
          <w:szCs w:val="20"/>
          <w:lang w:val="en-US" w:eastAsia="en-US" w:bidi="en-US"/>
        </w:rPr>
        <w:t>i</w:t>
      </w:r>
      <w:proofErr w:type="spellEnd"/>
      <w:r>
        <w:rPr>
          <w:szCs w:val="20"/>
          <w:lang w:val="en-US" w:eastAsia="en-US" w:bidi="en-US"/>
        </w:rPr>
        <w:t xml:space="preserve"> </w:t>
      </w:r>
      <w:proofErr w:type="spellStart"/>
      <w:r>
        <w:rPr>
          <w:szCs w:val="20"/>
          <w:lang w:val="en-US" w:eastAsia="en-US" w:bidi="en-US"/>
        </w:rPr>
        <w:t>wyposażenia</w:t>
      </w:r>
      <w:proofErr w:type="spellEnd"/>
      <w:r>
        <w:rPr>
          <w:szCs w:val="20"/>
          <w:lang w:val="en-US" w:eastAsia="en-US" w:bidi="en-US"/>
        </w:rPr>
        <w:t xml:space="preserve"> do </w:t>
      </w:r>
      <w:proofErr w:type="spellStart"/>
      <w:r>
        <w:rPr>
          <w:szCs w:val="20"/>
          <w:lang w:val="en-US" w:eastAsia="en-US" w:bidi="en-US"/>
        </w:rPr>
        <w:t>siedziby</w:t>
      </w:r>
      <w:proofErr w:type="spellEnd"/>
      <w:r>
        <w:rPr>
          <w:szCs w:val="20"/>
          <w:lang w:val="en-US" w:eastAsia="en-US" w:bidi="en-US"/>
        </w:rPr>
        <w:t xml:space="preserve"> </w:t>
      </w:r>
      <w:proofErr w:type="spellStart"/>
      <w:r>
        <w:rPr>
          <w:szCs w:val="20"/>
          <w:lang w:val="en-US" w:eastAsia="en-US" w:bidi="en-US"/>
        </w:rPr>
        <w:t>przy</w:t>
      </w:r>
      <w:proofErr w:type="spellEnd"/>
      <w:r>
        <w:rPr>
          <w:szCs w:val="20"/>
          <w:lang w:val="en-US" w:eastAsia="en-US" w:bidi="en-US"/>
        </w:rPr>
        <w:t xml:space="preserve"> </w:t>
      </w:r>
      <w:proofErr w:type="spellStart"/>
      <w:r>
        <w:rPr>
          <w:szCs w:val="20"/>
          <w:lang w:val="en-US" w:eastAsia="en-US" w:bidi="en-US"/>
        </w:rPr>
        <w:t>ul</w:t>
      </w:r>
      <w:proofErr w:type="spellEnd"/>
      <w:r>
        <w:rPr>
          <w:szCs w:val="20"/>
          <w:lang w:val="en-US" w:eastAsia="en-US" w:bidi="en-US"/>
        </w:rPr>
        <w:t xml:space="preserve">. </w:t>
      </w:r>
      <w:proofErr w:type="spellStart"/>
      <w:r>
        <w:rPr>
          <w:szCs w:val="20"/>
          <w:lang w:val="en-US" w:eastAsia="en-US" w:bidi="en-US"/>
        </w:rPr>
        <w:t>Struga</w:t>
      </w:r>
      <w:proofErr w:type="spellEnd"/>
      <w:r>
        <w:rPr>
          <w:szCs w:val="20"/>
          <w:lang w:val="en-US" w:eastAsia="en-US" w:bidi="en-US"/>
        </w:rPr>
        <w:t xml:space="preserve"> – 48 </w:t>
      </w:r>
      <w:proofErr w:type="spellStart"/>
      <w:r>
        <w:rPr>
          <w:szCs w:val="20"/>
          <w:lang w:val="en-US" w:eastAsia="en-US" w:bidi="en-US"/>
        </w:rPr>
        <w:t>tys</w:t>
      </w:r>
      <w:proofErr w:type="spellEnd"/>
      <w:r>
        <w:rPr>
          <w:szCs w:val="20"/>
          <w:lang w:val="en-US" w:eastAsia="en-US" w:bidi="en-US"/>
        </w:rPr>
        <w:t xml:space="preserve">. </w:t>
      </w:r>
      <w:proofErr w:type="spellStart"/>
      <w:r>
        <w:rPr>
          <w:szCs w:val="20"/>
          <w:lang w:val="en-US" w:eastAsia="en-US" w:bidi="en-US"/>
        </w:rPr>
        <w:t>zł</w:t>
      </w:r>
      <w:proofErr w:type="spellEnd"/>
      <w:r>
        <w:rPr>
          <w:szCs w:val="20"/>
          <w:lang w:val="en-US" w:eastAsia="en-US" w:bidi="en-US"/>
        </w:rPr>
        <w:t>.</w:t>
      </w:r>
    </w:p>
    <w:p w:rsidR="00A9251F" w:rsidRDefault="00A93ACE">
      <w:pPr>
        <w:spacing w:line="276" w:lineRule="auto"/>
        <w:jc w:val="both"/>
        <w:rPr>
          <w:color w:val="000000"/>
          <w:szCs w:val="20"/>
          <w:shd w:val="clear" w:color="auto" w:fill="FFFFFF"/>
          <w:lang w:eastAsia="en-US" w:bidi="ar-SA"/>
        </w:rPr>
      </w:pPr>
      <w:r>
        <w:rPr>
          <w:color w:val="000000"/>
          <w:szCs w:val="20"/>
          <w:shd w:val="clear" w:color="auto" w:fill="FFFFFF"/>
          <w:lang w:eastAsia="en-US" w:bidi="ar-SA"/>
        </w:rPr>
        <w:t>Planowane zadania w roku bieżącym uwzględniają także część</w:t>
      </w:r>
      <w:r>
        <w:rPr>
          <w:color w:val="000000"/>
          <w:szCs w:val="20"/>
          <w:shd w:val="clear" w:color="auto" w:fill="FFFFFF"/>
          <w:lang w:eastAsia="en-US" w:bidi="ar-SA"/>
        </w:rPr>
        <w:t xml:space="preserve"> prac związanych </w:t>
      </w:r>
      <w:r>
        <w:rPr>
          <w:color w:val="000000"/>
          <w:szCs w:val="20"/>
          <w:shd w:val="clear" w:color="auto" w:fill="FFFFFF"/>
          <w:lang w:eastAsia="en-US" w:bidi="ar-SA"/>
        </w:rPr>
        <w:br/>
        <w:t>z reorganizacją jednostki</w:t>
      </w:r>
      <w:r>
        <w:rPr>
          <w:color w:val="000000"/>
          <w:szCs w:val="20"/>
          <w:shd w:val="clear" w:color="auto" w:fill="FFFFFF"/>
        </w:rPr>
        <w:t xml:space="preserve"> </w:t>
      </w:r>
      <w:r>
        <w:rPr>
          <w:color w:val="000000"/>
          <w:szCs w:val="20"/>
          <w:shd w:val="clear" w:color="auto" w:fill="FFFFFF"/>
          <w:lang w:eastAsia="en-US" w:bidi="ar-SA"/>
        </w:rPr>
        <w:t>m.in.</w:t>
      </w:r>
      <w:r>
        <w:rPr>
          <w:color w:val="000000"/>
          <w:szCs w:val="20"/>
          <w:shd w:val="clear" w:color="auto" w:fill="FFFFFF"/>
        </w:rPr>
        <w:t xml:space="preserve"> w zakresie</w:t>
      </w:r>
      <w:r>
        <w:rPr>
          <w:color w:val="000000"/>
          <w:szCs w:val="20"/>
          <w:shd w:val="clear" w:color="auto" w:fill="FFFFFF"/>
          <w:lang w:eastAsia="en-US" w:bidi="ar-SA"/>
        </w:rPr>
        <w:t xml:space="preserve"> dostosowani</w:t>
      </w:r>
      <w:r>
        <w:rPr>
          <w:color w:val="000000"/>
          <w:szCs w:val="20"/>
          <w:shd w:val="clear" w:color="auto" w:fill="FFFFFF"/>
        </w:rPr>
        <w:t>a</w:t>
      </w:r>
      <w:r>
        <w:rPr>
          <w:color w:val="000000"/>
          <w:szCs w:val="20"/>
          <w:shd w:val="clear" w:color="auto" w:fill="FFFFFF"/>
          <w:lang w:eastAsia="en-US" w:bidi="ar-SA"/>
        </w:rPr>
        <w:t xml:space="preserve"> pomieszczeń</w:t>
      </w:r>
      <w:r>
        <w:rPr>
          <w:color w:val="000000"/>
          <w:szCs w:val="20"/>
          <w:shd w:val="clear" w:color="auto" w:fill="FFFFFF"/>
        </w:rPr>
        <w:t xml:space="preserve"> przychodni przy </w:t>
      </w:r>
      <w:r>
        <w:rPr>
          <w:color w:val="000000"/>
          <w:szCs w:val="20"/>
          <w:shd w:val="clear" w:color="auto" w:fill="FFFFFF"/>
        </w:rPr>
        <w:br/>
        <w:t>ul. Maratońskiej</w:t>
      </w:r>
      <w:r>
        <w:rPr>
          <w:color w:val="000000"/>
          <w:szCs w:val="20"/>
          <w:shd w:val="clear" w:color="auto" w:fill="FFFFFF"/>
          <w:lang w:eastAsia="en-US" w:bidi="ar-SA"/>
        </w:rPr>
        <w:t xml:space="preserve"> na potrzeby RTG</w:t>
      </w:r>
      <w:r>
        <w:rPr>
          <w:color w:val="000000"/>
          <w:szCs w:val="20"/>
          <w:shd w:val="clear" w:color="auto" w:fill="FFFFFF"/>
        </w:rPr>
        <w:t xml:space="preserve"> </w:t>
      </w:r>
      <w:r>
        <w:rPr>
          <w:color w:val="000000"/>
          <w:szCs w:val="20"/>
          <w:shd w:val="clear" w:color="auto" w:fill="FFFFFF"/>
          <w:lang w:eastAsia="en-US" w:bidi="ar-SA"/>
        </w:rPr>
        <w:t>oraz</w:t>
      </w:r>
      <w:r>
        <w:rPr>
          <w:color w:val="000000"/>
          <w:szCs w:val="20"/>
          <w:shd w:val="clear" w:color="auto" w:fill="FFFFFF"/>
        </w:rPr>
        <w:t xml:space="preserve"> przy</w:t>
      </w:r>
      <w:r>
        <w:rPr>
          <w:color w:val="000000"/>
          <w:szCs w:val="20"/>
          <w:shd w:val="clear" w:color="auto" w:fill="FFFFFF"/>
          <w:lang w:eastAsia="en-US" w:bidi="ar-SA"/>
        </w:rPr>
        <w:t xml:space="preserve"> ul. Struga</w:t>
      </w:r>
      <w:r>
        <w:rPr>
          <w:color w:val="000000"/>
          <w:szCs w:val="20"/>
          <w:shd w:val="clear" w:color="auto" w:fill="FFFFFF"/>
        </w:rPr>
        <w:t>.</w:t>
      </w:r>
    </w:p>
    <w:p w:rsidR="00A9251F" w:rsidRDefault="00A9251F">
      <w:pPr>
        <w:spacing w:line="276" w:lineRule="auto"/>
        <w:jc w:val="both"/>
        <w:rPr>
          <w:color w:val="000000"/>
          <w:szCs w:val="20"/>
          <w:shd w:val="clear" w:color="auto" w:fill="FFFFFF"/>
          <w:lang w:eastAsia="en-US" w:bidi="ar-SA"/>
        </w:rPr>
      </w:pPr>
    </w:p>
    <w:p w:rsidR="00A9251F" w:rsidRDefault="00A93ACE">
      <w:pPr>
        <w:spacing w:line="276" w:lineRule="auto"/>
        <w:jc w:val="both"/>
        <w:rPr>
          <w:color w:val="000000"/>
          <w:szCs w:val="20"/>
          <w:shd w:val="clear" w:color="auto" w:fill="FFFFFF"/>
          <w:lang w:eastAsia="en-US" w:bidi="ar-SA"/>
        </w:rPr>
      </w:pPr>
      <w:r>
        <w:rPr>
          <w:color w:val="000000"/>
          <w:szCs w:val="20"/>
          <w:shd w:val="clear" w:color="auto" w:fill="FFFFFF"/>
          <w:lang w:eastAsia="en-US" w:bidi="ar-SA"/>
        </w:rPr>
        <w:t xml:space="preserve">W projekcji na kolejne lata nie założono ewentualnych zadań finansowanych ze źródeł zewnętrznych tj. środki unijne, fundusze celowe oraz dotacje podmiotu tworzącego zakładając, że dla bilansu mają one skutek równoważny dla aktywów i pasywów oraz neutralny </w:t>
      </w:r>
      <w:r>
        <w:rPr>
          <w:color w:val="000000"/>
          <w:szCs w:val="20"/>
          <w:shd w:val="clear" w:color="auto" w:fill="FFFFFF"/>
          <w:lang w:eastAsia="en-US" w:bidi="ar-SA"/>
        </w:rPr>
        <w:t xml:space="preserve">dla wyniku finansowego, nie prognozowano także dodatkowego finansowania </w:t>
      </w:r>
      <w:r>
        <w:rPr>
          <w:color w:val="000000"/>
          <w:szCs w:val="20"/>
          <w:shd w:val="clear" w:color="auto" w:fill="FFFFFF"/>
          <w:lang w:eastAsia="en-US" w:bidi="ar-SA"/>
        </w:rPr>
        <w:br/>
        <w:t>w formie pożyczki lub kredytu.</w:t>
      </w:r>
    </w:p>
    <w:p w:rsidR="00A9251F" w:rsidRDefault="00A93ACE">
      <w:pPr>
        <w:spacing w:before="240"/>
        <w:jc w:val="both"/>
        <w:rPr>
          <w:color w:val="000000"/>
          <w:szCs w:val="20"/>
          <w:shd w:val="clear" w:color="auto" w:fill="FFFFFF"/>
          <w:lang w:eastAsia="en-US" w:bidi="ar-SA"/>
        </w:rPr>
      </w:pPr>
      <w:r>
        <w:rPr>
          <w:color w:val="000000"/>
          <w:szCs w:val="20"/>
          <w:shd w:val="clear" w:color="auto" w:fill="FFFFFF"/>
          <w:lang w:eastAsia="en-US" w:bidi="ar-SA"/>
        </w:rPr>
        <w:t>W latach 2023-2024 jednostka prognozuje się utrzymanie dodatniego wyniku, przy założeniu:</w:t>
      </w:r>
    </w:p>
    <w:p w:rsidR="00A9251F" w:rsidRDefault="00A93ACE">
      <w:pPr>
        <w:spacing w:before="120" w:after="120" w:line="259" w:lineRule="auto"/>
        <w:ind w:left="283" w:hanging="283"/>
        <w:contextualSpacing/>
        <w:jc w:val="both"/>
        <w:rPr>
          <w:szCs w:val="20"/>
          <w:lang w:val="en-US" w:eastAsia="en-US" w:bidi="en-US"/>
        </w:rPr>
      </w:pPr>
      <w:r>
        <w:rPr>
          <w:szCs w:val="20"/>
        </w:rPr>
        <w:t>1) </w:t>
      </w:r>
      <w:proofErr w:type="spellStart"/>
      <w:r>
        <w:rPr>
          <w:szCs w:val="20"/>
          <w:lang w:val="en-US" w:eastAsia="en-US" w:bidi="en-US"/>
        </w:rPr>
        <w:t>rozszerzenia</w:t>
      </w:r>
      <w:proofErr w:type="spellEnd"/>
      <w:r>
        <w:rPr>
          <w:szCs w:val="20"/>
          <w:lang w:val="en-US" w:eastAsia="en-US" w:bidi="en-US"/>
        </w:rPr>
        <w:t xml:space="preserve"> </w:t>
      </w:r>
      <w:proofErr w:type="spellStart"/>
      <w:r>
        <w:rPr>
          <w:szCs w:val="20"/>
          <w:lang w:val="en-US" w:eastAsia="en-US" w:bidi="en-US"/>
        </w:rPr>
        <w:t>zakresu</w:t>
      </w:r>
      <w:proofErr w:type="spellEnd"/>
      <w:r>
        <w:rPr>
          <w:szCs w:val="20"/>
          <w:lang w:val="en-US" w:eastAsia="en-US" w:bidi="en-US"/>
        </w:rPr>
        <w:t xml:space="preserve"> </w:t>
      </w:r>
      <w:proofErr w:type="spellStart"/>
      <w:r>
        <w:rPr>
          <w:szCs w:val="20"/>
          <w:lang w:val="en-US" w:eastAsia="en-US" w:bidi="en-US"/>
        </w:rPr>
        <w:t>świadczeń</w:t>
      </w:r>
      <w:proofErr w:type="spellEnd"/>
      <w:r>
        <w:rPr>
          <w:szCs w:val="20"/>
          <w:lang w:val="en-US" w:eastAsia="en-US" w:bidi="en-US"/>
        </w:rPr>
        <w:t xml:space="preserve"> w </w:t>
      </w:r>
      <w:proofErr w:type="spellStart"/>
      <w:r>
        <w:rPr>
          <w:szCs w:val="20"/>
          <w:lang w:val="en-US" w:eastAsia="en-US" w:bidi="en-US"/>
        </w:rPr>
        <w:t>obszarze</w:t>
      </w:r>
      <w:proofErr w:type="spellEnd"/>
      <w:r>
        <w:rPr>
          <w:szCs w:val="20"/>
          <w:lang w:val="en-US" w:eastAsia="en-US" w:bidi="en-US"/>
        </w:rPr>
        <w:t xml:space="preserve"> </w:t>
      </w:r>
      <w:proofErr w:type="spellStart"/>
      <w:r>
        <w:rPr>
          <w:szCs w:val="20"/>
          <w:lang w:val="en-US" w:eastAsia="en-US" w:bidi="en-US"/>
        </w:rPr>
        <w:t>specjalistycznej</w:t>
      </w:r>
      <w:proofErr w:type="spellEnd"/>
      <w:r>
        <w:rPr>
          <w:szCs w:val="20"/>
          <w:lang w:val="en-US" w:eastAsia="en-US" w:bidi="en-US"/>
        </w:rPr>
        <w:t xml:space="preserve"> </w:t>
      </w:r>
      <w:proofErr w:type="spellStart"/>
      <w:r>
        <w:rPr>
          <w:szCs w:val="20"/>
          <w:lang w:val="en-US" w:eastAsia="en-US" w:bidi="en-US"/>
        </w:rPr>
        <w:t>opieki</w:t>
      </w:r>
      <w:proofErr w:type="spellEnd"/>
      <w:r>
        <w:rPr>
          <w:szCs w:val="20"/>
          <w:lang w:val="en-US" w:eastAsia="en-US" w:bidi="en-US"/>
        </w:rPr>
        <w:t xml:space="preserve"> </w:t>
      </w:r>
      <w:proofErr w:type="spellStart"/>
      <w:r>
        <w:rPr>
          <w:szCs w:val="20"/>
          <w:lang w:val="en-US" w:eastAsia="en-US" w:bidi="en-US"/>
        </w:rPr>
        <w:t>ambulatoryjnej</w:t>
      </w:r>
      <w:proofErr w:type="spellEnd"/>
      <w:r>
        <w:rPr>
          <w:szCs w:val="20"/>
          <w:lang w:val="en-US" w:eastAsia="en-US" w:bidi="en-US"/>
        </w:rPr>
        <w:t xml:space="preserve"> </w:t>
      </w:r>
      <w:proofErr w:type="spellStart"/>
      <w:r>
        <w:rPr>
          <w:szCs w:val="20"/>
          <w:lang w:val="en-US" w:eastAsia="en-US" w:bidi="en-US"/>
        </w:rPr>
        <w:t>oraz</w:t>
      </w:r>
      <w:proofErr w:type="spellEnd"/>
      <w:r>
        <w:rPr>
          <w:szCs w:val="20"/>
          <w:lang w:val="en-US" w:eastAsia="en-US" w:bidi="en-US"/>
        </w:rPr>
        <w:t xml:space="preserve"> </w:t>
      </w:r>
      <w:proofErr w:type="spellStart"/>
      <w:r>
        <w:rPr>
          <w:szCs w:val="20"/>
          <w:lang w:val="en-US" w:eastAsia="en-US" w:bidi="en-US"/>
        </w:rPr>
        <w:t>ich</w:t>
      </w:r>
      <w:proofErr w:type="spellEnd"/>
      <w:r>
        <w:rPr>
          <w:szCs w:val="20"/>
          <w:lang w:val="en-US" w:eastAsia="en-US" w:bidi="en-US"/>
        </w:rPr>
        <w:t xml:space="preserve"> </w:t>
      </w:r>
      <w:proofErr w:type="spellStart"/>
      <w:r>
        <w:rPr>
          <w:szCs w:val="20"/>
          <w:lang w:val="en-US" w:eastAsia="en-US" w:bidi="en-US"/>
        </w:rPr>
        <w:t>kumulację</w:t>
      </w:r>
      <w:proofErr w:type="spellEnd"/>
      <w:r>
        <w:rPr>
          <w:szCs w:val="20"/>
          <w:lang w:val="en-US" w:eastAsia="en-US" w:bidi="en-US"/>
        </w:rPr>
        <w:t xml:space="preserve"> w </w:t>
      </w:r>
      <w:proofErr w:type="spellStart"/>
      <w:r>
        <w:rPr>
          <w:szCs w:val="20"/>
          <w:lang w:val="en-US" w:eastAsia="en-US" w:bidi="en-US"/>
        </w:rPr>
        <w:t>jednej</w:t>
      </w:r>
      <w:proofErr w:type="spellEnd"/>
      <w:r>
        <w:rPr>
          <w:szCs w:val="20"/>
          <w:lang w:val="en-US" w:eastAsia="en-US" w:bidi="en-US"/>
        </w:rPr>
        <w:t xml:space="preserve"> </w:t>
      </w:r>
      <w:proofErr w:type="spellStart"/>
      <w:r>
        <w:rPr>
          <w:szCs w:val="20"/>
          <w:lang w:val="en-US" w:eastAsia="en-US" w:bidi="en-US"/>
        </w:rPr>
        <w:t>lokalizacji</w:t>
      </w:r>
      <w:proofErr w:type="spellEnd"/>
      <w:r>
        <w:rPr>
          <w:szCs w:val="20"/>
          <w:lang w:val="en-US" w:eastAsia="en-US" w:bidi="en-US"/>
        </w:rPr>
        <w:t xml:space="preserve"> (</w:t>
      </w:r>
      <w:proofErr w:type="spellStart"/>
      <w:r>
        <w:rPr>
          <w:szCs w:val="20"/>
          <w:lang w:val="en-US" w:eastAsia="en-US" w:bidi="en-US"/>
        </w:rPr>
        <w:t>ul</w:t>
      </w:r>
      <w:proofErr w:type="spellEnd"/>
      <w:r>
        <w:rPr>
          <w:szCs w:val="20"/>
          <w:lang w:val="en-US" w:eastAsia="en-US" w:bidi="en-US"/>
        </w:rPr>
        <w:t xml:space="preserve">. </w:t>
      </w:r>
      <w:proofErr w:type="spellStart"/>
      <w:r>
        <w:rPr>
          <w:szCs w:val="20"/>
          <w:lang w:val="en-US" w:eastAsia="en-US" w:bidi="en-US"/>
        </w:rPr>
        <w:t>Maratońska</w:t>
      </w:r>
      <w:proofErr w:type="spellEnd"/>
      <w:r>
        <w:rPr>
          <w:szCs w:val="20"/>
          <w:lang w:val="en-US" w:eastAsia="en-US" w:bidi="en-US"/>
        </w:rPr>
        <w:t>)</w:t>
      </w:r>
      <w:r>
        <w:rPr>
          <w:szCs w:val="20"/>
        </w:rPr>
        <w:t>;</w:t>
      </w:r>
    </w:p>
    <w:p w:rsidR="00A9251F" w:rsidRDefault="00A93ACE">
      <w:pPr>
        <w:spacing w:after="160" w:line="259" w:lineRule="auto"/>
        <w:ind w:left="283" w:hanging="283"/>
        <w:contextualSpacing/>
        <w:jc w:val="both"/>
        <w:rPr>
          <w:szCs w:val="20"/>
          <w:lang w:val="en-US" w:eastAsia="en-US" w:bidi="en-US"/>
        </w:rPr>
      </w:pPr>
      <w:r>
        <w:rPr>
          <w:szCs w:val="20"/>
        </w:rPr>
        <w:t>2) </w:t>
      </w:r>
      <w:proofErr w:type="spellStart"/>
      <w:r>
        <w:rPr>
          <w:szCs w:val="20"/>
          <w:lang w:val="en-US" w:eastAsia="en-US" w:bidi="en-US"/>
        </w:rPr>
        <w:t>zwiększenie</w:t>
      </w:r>
      <w:proofErr w:type="spellEnd"/>
      <w:r>
        <w:rPr>
          <w:szCs w:val="20"/>
          <w:lang w:val="en-US" w:eastAsia="en-US" w:bidi="en-US"/>
        </w:rPr>
        <w:t xml:space="preserve"> </w:t>
      </w:r>
      <w:proofErr w:type="spellStart"/>
      <w:r>
        <w:rPr>
          <w:szCs w:val="20"/>
          <w:lang w:val="en-US" w:eastAsia="en-US" w:bidi="en-US"/>
        </w:rPr>
        <w:t>populacji</w:t>
      </w:r>
      <w:proofErr w:type="spellEnd"/>
      <w:r>
        <w:rPr>
          <w:szCs w:val="20"/>
          <w:lang w:val="en-US" w:eastAsia="en-US" w:bidi="en-US"/>
        </w:rPr>
        <w:t xml:space="preserve"> </w:t>
      </w:r>
      <w:proofErr w:type="spellStart"/>
      <w:r>
        <w:rPr>
          <w:szCs w:val="20"/>
          <w:lang w:val="en-US" w:eastAsia="en-US" w:bidi="en-US"/>
        </w:rPr>
        <w:t>objętej</w:t>
      </w:r>
      <w:proofErr w:type="spellEnd"/>
      <w:r>
        <w:rPr>
          <w:szCs w:val="20"/>
          <w:lang w:val="en-US" w:eastAsia="en-US" w:bidi="en-US"/>
        </w:rPr>
        <w:t xml:space="preserve"> </w:t>
      </w:r>
      <w:proofErr w:type="spellStart"/>
      <w:r>
        <w:rPr>
          <w:szCs w:val="20"/>
          <w:lang w:val="en-US" w:eastAsia="en-US" w:bidi="en-US"/>
        </w:rPr>
        <w:t>opieką</w:t>
      </w:r>
      <w:proofErr w:type="spellEnd"/>
      <w:r>
        <w:rPr>
          <w:szCs w:val="20"/>
          <w:lang w:val="en-US" w:eastAsia="en-US" w:bidi="en-US"/>
        </w:rPr>
        <w:t xml:space="preserve"> POZ (</w:t>
      </w:r>
      <w:proofErr w:type="spellStart"/>
      <w:r>
        <w:rPr>
          <w:szCs w:val="20"/>
          <w:lang w:val="en-US" w:eastAsia="en-US" w:bidi="en-US"/>
        </w:rPr>
        <w:t>nowe</w:t>
      </w:r>
      <w:proofErr w:type="spellEnd"/>
      <w:r>
        <w:rPr>
          <w:szCs w:val="20"/>
          <w:lang w:val="en-US" w:eastAsia="en-US" w:bidi="en-US"/>
        </w:rPr>
        <w:t xml:space="preserve"> </w:t>
      </w:r>
      <w:proofErr w:type="spellStart"/>
      <w:r>
        <w:rPr>
          <w:szCs w:val="20"/>
          <w:lang w:val="en-US" w:eastAsia="en-US" w:bidi="en-US"/>
        </w:rPr>
        <w:t>lokalizacje</w:t>
      </w:r>
      <w:proofErr w:type="spellEnd"/>
      <w:r>
        <w:rPr>
          <w:szCs w:val="20"/>
          <w:lang w:val="en-US" w:eastAsia="en-US" w:bidi="en-US"/>
        </w:rPr>
        <w:t xml:space="preserve"> </w:t>
      </w:r>
      <w:proofErr w:type="spellStart"/>
      <w:r>
        <w:rPr>
          <w:szCs w:val="20"/>
          <w:lang w:val="en-US" w:eastAsia="en-US" w:bidi="en-US"/>
        </w:rPr>
        <w:t>przychodni</w:t>
      </w:r>
      <w:proofErr w:type="spellEnd"/>
      <w:r>
        <w:rPr>
          <w:szCs w:val="20"/>
          <w:lang w:val="en-US" w:eastAsia="en-US" w:bidi="en-US"/>
        </w:rPr>
        <w:t xml:space="preserve">, </w:t>
      </w:r>
      <w:proofErr w:type="spellStart"/>
      <w:r>
        <w:rPr>
          <w:szCs w:val="20"/>
          <w:lang w:val="en-US" w:eastAsia="en-US" w:bidi="en-US"/>
        </w:rPr>
        <w:t>mieszkańcy</w:t>
      </w:r>
      <w:proofErr w:type="spellEnd"/>
      <w:r>
        <w:rPr>
          <w:szCs w:val="20"/>
          <w:lang w:val="en-US" w:eastAsia="en-US" w:bidi="en-US"/>
        </w:rPr>
        <w:t xml:space="preserve"> </w:t>
      </w:r>
      <w:proofErr w:type="spellStart"/>
      <w:r>
        <w:rPr>
          <w:szCs w:val="20"/>
          <w:lang w:val="en-US" w:eastAsia="en-US" w:bidi="en-US"/>
        </w:rPr>
        <w:t>Domów</w:t>
      </w:r>
      <w:proofErr w:type="spellEnd"/>
      <w:r>
        <w:rPr>
          <w:szCs w:val="20"/>
          <w:lang w:val="en-US" w:eastAsia="en-US" w:bidi="en-US"/>
        </w:rPr>
        <w:t xml:space="preserve"> </w:t>
      </w:r>
      <w:proofErr w:type="spellStart"/>
      <w:r>
        <w:rPr>
          <w:szCs w:val="20"/>
          <w:lang w:val="en-US" w:eastAsia="en-US" w:bidi="en-US"/>
        </w:rPr>
        <w:t>Pomocy</w:t>
      </w:r>
      <w:proofErr w:type="spellEnd"/>
      <w:r>
        <w:rPr>
          <w:szCs w:val="20"/>
          <w:lang w:val="en-US" w:eastAsia="en-US" w:bidi="en-US"/>
        </w:rPr>
        <w:t xml:space="preserve"> </w:t>
      </w:r>
      <w:proofErr w:type="spellStart"/>
      <w:r>
        <w:rPr>
          <w:szCs w:val="20"/>
          <w:lang w:val="en-US" w:eastAsia="en-US" w:bidi="en-US"/>
        </w:rPr>
        <w:t>Społecznej</w:t>
      </w:r>
      <w:proofErr w:type="spellEnd"/>
      <w:r>
        <w:rPr>
          <w:szCs w:val="20"/>
          <w:lang w:val="en-US" w:eastAsia="en-US" w:bidi="en-US"/>
        </w:rPr>
        <w:t>)</w:t>
      </w:r>
      <w:r>
        <w:rPr>
          <w:szCs w:val="20"/>
        </w:rPr>
        <w:t>;</w:t>
      </w:r>
    </w:p>
    <w:p w:rsidR="00A9251F" w:rsidRDefault="00A93ACE">
      <w:pPr>
        <w:spacing w:after="160" w:line="259" w:lineRule="auto"/>
        <w:ind w:left="283" w:hanging="283"/>
        <w:contextualSpacing/>
        <w:jc w:val="both"/>
        <w:rPr>
          <w:szCs w:val="20"/>
          <w:lang w:val="en-US" w:eastAsia="en-US" w:bidi="en-US"/>
        </w:rPr>
      </w:pPr>
      <w:r>
        <w:rPr>
          <w:szCs w:val="20"/>
        </w:rPr>
        <w:t>3) </w:t>
      </w:r>
      <w:proofErr w:type="spellStart"/>
      <w:r>
        <w:rPr>
          <w:szCs w:val="20"/>
          <w:lang w:val="en-US" w:eastAsia="en-US" w:bidi="en-US"/>
        </w:rPr>
        <w:t>utrzymania</w:t>
      </w:r>
      <w:proofErr w:type="spellEnd"/>
      <w:r>
        <w:rPr>
          <w:szCs w:val="20"/>
          <w:lang w:val="en-US" w:eastAsia="en-US" w:bidi="en-US"/>
        </w:rPr>
        <w:t xml:space="preserve"> </w:t>
      </w:r>
      <w:proofErr w:type="spellStart"/>
      <w:r>
        <w:rPr>
          <w:szCs w:val="20"/>
          <w:lang w:val="en-US" w:eastAsia="en-US" w:bidi="en-US"/>
        </w:rPr>
        <w:t>dotychczasowego</w:t>
      </w:r>
      <w:proofErr w:type="spellEnd"/>
      <w:r>
        <w:rPr>
          <w:szCs w:val="20"/>
          <w:lang w:val="en-US" w:eastAsia="en-US" w:bidi="en-US"/>
        </w:rPr>
        <w:t xml:space="preserve"> </w:t>
      </w:r>
      <w:proofErr w:type="spellStart"/>
      <w:r>
        <w:rPr>
          <w:szCs w:val="20"/>
          <w:lang w:val="en-US" w:eastAsia="en-US" w:bidi="en-US"/>
        </w:rPr>
        <w:t>trendu</w:t>
      </w:r>
      <w:proofErr w:type="spellEnd"/>
      <w:r>
        <w:rPr>
          <w:szCs w:val="20"/>
          <w:lang w:val="en-US" w:eastAsia="en-US" w:bidi="en-US"/>
        </w:rPr>
        <w:t xml:space="preserve"> </w:t>
      </w:r>
      <w:proofErr w:type="spellStart"/>
      <w:r>
        <w:rPr>
          <w:szCs w:val="20"/>
          <w:lang w:val="en-US" w:eastAsia="en-US" w:bidi="en-US"/>
        </w:rPr>
        <w:t>wzrostu</w:t>
      </w:r>
      <w:proofErr w:type="spellEnd"/>
      <w:r>
        <w:rPr>
          <w:szCs w:val="20"/>
          <w:lang w:val="en-US" w:eastAsia="en-US" w:bidi="en-US"/>
        </w:rPr>
        <w:t xml:space="preserve"> </w:t>
      </w:r>
      <w:proofErr w:type="spellStart"/>
      <w:r>
        <w:rPr>
          <w:szCs w:val="20"/>
          <w:lang w:val="en-US" w:eastAsia="en-US" w:bidi="en-US"/>
        </w:rPr>
        <w:t>finansowania</w:t>
      </w:r>
      <w:proofErr w:type="spellEnd"/>
      <w:r>
        <w:rPr>
          <w:szCs w:val="20"/>
          <w:lang w:val="en-US" w:eastAsia="en-US" w:bidi="en-US"/>
        </w:rPr>
        <w:t xml:space="preserve"> </w:t>
      </w:r>
      <w:proofErr w:type="spellStart"/>
      <w:r>
        <w:rPr>
          <w:szCs w:val="20"/>
          <w:lang w:val="en-US" w:eastAsia="en-US" w:bidi="en-US"/>
        </w:rPr>
        <w:t>świadcz</w:t>
      </w:r>
      <w:r>
        <w:rPr>
          <w:szCs w:val="20"/>
          <w:lang w:val="en-US" w:eastAsia="en-US" w:bidi="en-US"/>
        </w:rPr>
        <w:t>eń</w:t>
      </w:r>
      <w:proofErr w:type="spellEnd"/>
      <w:r>
        <w:rPr>
          <w:szCs w:val="20"/>
          <w:lang w:val="en-US" w:eastAsia="en-US" w:bidi="en-US"/>
        </w:rPr>
        <w:t xml:space="preserve"> w POZ </w:t>
      </w:r>
      <w:proofErr w:type="spellStart"/>
      <w:r>
        <w:rPr>
          <w:szCs w:val="20"/>
          <w:lang w:val="en-US" w:eastAsia="en-US" w:bidi="en-US"/>
        </w:rPr>
        <w:t>oraz</w:t>
      </w:r>
      <w:proofErr w:type="spellEnd"/>
      <w:r>
        <w:rPr>
          <w:szCs w:val="20"/>
          <w:lang w:val="en-US" w:eastAsia="en-US" w:bidi="en-US"/>
        </w:rPr>
        <w:t xml:space="preserve"> </w:t>
      </w:r>
      <w:proofErr w:type="spellStart"/>
      <w:r>
        <w:rPr>
          <w:szCs w:val="20"/>
          <w:lang w:val="en-US" w:eastAsia="en-US" w:bidi="en-US"/>
        </w:rPr>
        <w:t>warunków</w:t>
      </w:r>
      <w:proofErr w:type="spellEnd"/>
      <w:r>
        <w:rPr>
          <w:szCs w:val="20"/>
          <w:lang w:val="en-US" w:eastAsia="en-US" w:bidi="en-US"/>
        </w:rPr>
        <w:t xml:space="preserve"> </w:t>
      </w:r>
      <w:proofErr w:type="spellStart"/>
      <w:r>
        <w:rPr>
          <w:szCs w:val="20"/>
          <w:lang w:val="en-US" w:eastAsia="en-US" w:bidi="en-US"/>
        </w:rPr>
        <w:t>ich</w:t>
      </w:r>
      <w:proofErr w:type="spellEnd"/>
      <w:r>
        <w:rPr>
          <w:szCs w:val="20"/>
          <w:lang w:val="en-US" w:eastAsia="en-US" w:bidi="en-US"/>
        </w:rPr>
        <w:t xml:space="preserve"> </w:t>
      </w:r>
      <w:proofErr w:type="spellStart"/>
      <w:r>
        <w:rPr>
          <w:szCs w:val="20"/>
          <w:lang w:val="en-US" w:eastAsia="en-US" w:bidi="en-US"/>
        </w:rPr>
        <w:t>udzielania</w:t>
      </w:r>
      <w:proofErr w:type="spellEnd"/>
      <w:r>
        <w:rPr>
          <w:szCs w:val="20"/>
          <w:lang w:val="en-US" w:eastAsia="en-US" w:bidi="en-US"/>
        </w:rPr>
        <w:t xml:space="preserve"> </w:t>
      </w:r>
      <w:proofErr w:type="spellStart"/>
      <w:r>
        <w:rPr>
          <w:szCs w:val="20"/>
          <w:lang w:val="en-US" w:eastAsia="en-US" w:bidi="en-US"/>
        </w:rPr>
        <w:t>i</w:t>
      </w:r>
      <w:proofErr w:type="spellEnd"/>
      <w:r>
        <w:rPr>
          <w:szCs w:val="20"/>
          <w:lang w:val="en-US" w:eastAsia="en-US" w:bidi="en-US"/>
        </w:rPr>
        <w:t xml:space="preserve"> </w:t>
      </w:r>
      <w:proofErr w:type="spellStart"/>
      <w:r>
        <w:rPr>
          <w:szCs w:val="20"/>
          <w:lang w:val="en-US" w:eastAsia="en-US" w:bidi="en-US"/>
        </w:rPr>
        <w:t>nielimitowanego</w:t>
      </w:r>
      <w:proofErr w:type="spellEnd"/>
      <w:r>
        <w:rPr>
          <w:szCs w:val="20"/>
          <w:lang w:val="en-US" w:eastAsia="en-US" w:bidi="en-US"/>
        </w:rPr>
        <w:t xml:space="preserve"> </w:t>
      </w:r>
      <w:proofErr w:type="spellStart"/>
      <w:r>
        <w:rPr>
          <w:szCs w:val="20"/>
          <w:lang w:val="en-US" w:eastAsia="en-US" w:bidi="en-US"/>
        </w:rPr>
        <w:t>finansowania</w:t>
      </w:r>
      <w:proofErr w:type="spellEnd"/>
      <w:r>
        <w:rPr>
          <w:szCs w:val="20"/>
          <w:lang w:val="en-US" w:eastAsia="en-US" w:bidi="en-US"/>
        </w:rPr>
        <w:t xml:space="preserve"> </w:t>
      </w:r>
      <w:proofErr w:type="spellStart"/>
      <w:r>
        <w:rPr>
          <w:szCs w:val="20"/>
          <w:lang w:val="en-US" w:eastAsia="en-US" w:bidi="en-US"/>
        </w:rPr>
        <w:t>świadczeń</w:t>
      </w:r>
      <w:proofErr w:type="spellEnd"/>
      <w:r>
        <w:rPr>
          <w:szCs w:val="20"/>
          <w:lang w:val="en-US" w:eastAsia="en-US" w:bidi="en-US"/>
        </w:rPr>
        <w:t xml:space="preserve"> </w:t>
      </w:r>
      <w:proofErr w:type="spellStart"/>
      <w:r>
        <w:rPr>
          <w:szCs w:val="20"/>
          <w:lang w:val="en-US" w:eastAsia="en-US" w:bidi="en-US"/>
        </w:rPr>
        <w:t>ambulatoryjnych</w:t>
      </w:r>
      <w:proofErr w:type="spellEnd"/>
      <w:r>
        <w:rPr>
          <w:szCs w:val="20"/>
          <w:lang w:val="en-US" w:eastAsia="en-US" w:bidi="en-US"/>
        </w:rPr>
        <w:t xml:space="preserve"> </w:t>
      </w:r>
      <w:proofErr w:type="spellStart"/>
      <w:r>
        <w:rPr>
          <w:szCs w:val="20"/>
          <w:lang w:val="en-US" w:eastAsia="en-US" w:bidi="en-US"/>
        </w:rPr>
        <w:t>specjalistycznych</w:t>
      </w:r>
      <w:proofErr w:type="spellEnd"/>
      <w:r>
        <w:rPr>
          <w:szCs w:val="20"/>
        </w:rPr>
        <w:t>;</w:t>
      </w:r>
    </w:p>
    <w:p w:rsidR="00A9251F" w:rsidRDefault="00A93ACE">
      <w:pPr>
        <w:spacing w:after="160" w:line="259" w:lineRule="auto"/>
        <w:ind w:left="283" w:hanging="283"/>
        <w:contextualSpacing/>
        <w:jc w:val="both"/>
        <w:rPr>
          <w:szCs w:val="20"/>
          <w:lang w:val="en-US" w:eastAsia="en-US" w:bidi="en-US"/>
        </w:rPr>
      </w:pPr>
      <w:r>
        <w:rPr>
          <w:szCs w:val="20"/>
        </w:rPr>
        <w:t>4) </w:t>
      </w:r>
      <w:proofErr w:type="spellStart"/>
      <w:r>
        <w:rPr>
          <w:szCs w:val="20"/>
          <w:lang w:val="en-US" w:eastAsia="en-US" w:bidi="en-US"/>
        </w:rPr>
        <w:t>wzrostu</w:t>
      </w:r>
      <w:proofErr w:type="spellEnd"/>
      <w:r>
        <w:rPr>
          <w:szCs w:val="20"/>
          <w:lang w:val="en-US" w:eastAsia="en-US" w:bidi="en-US"/>
        </w:rPr>
        <w:t xml:space="preserve"> </w:t>
      </w:r>
      <w:proofErr w:type="spellStart"/>
      <w:r>
        <w:rPr>
          <w:szCs w:val="20"/>
          <w:lang w:val="en-US" w:eastAsia="en-US" w:bidi="en-US"/>
        </w:rPr>
        <w:t>poziomu</w:t>
      </w:r>
      <w:proofErr w:type="spellEnd"/>
      <w:r>
        <w:rPr>
          <w:szCs w:val="20"/>
          <w:lang w:val="en-US" w:eastAsia="en-US" w:bidi="en-US"/>
        </w:rPr>
        <w:t xml:space="preserve"> </w:t>
      </w:r>
      <w:proofErr w:type="spellStart"/>
      <w:r>
        <w:rPr>
          <w:szCs w:val="20"/>
          <w:lang w:val="en-US" w:eastAsia="en-US" w:bidi="en-US"/>
        </w:rPr>
        <w:t>finansowania</w:t>
      </w:r>
      <w:proofErr w:type="spellEnd"/>
      <w:r>
        <w:rPr>
          <w:szCs w:val="20"/>
          <w:lang w:val="en-US" w:eastAsia="en-US" w:bidi="en-US"/>
        </w:rPr>
        <w:t xml:space="preserve"> </w:t>
      </w:r>
      <w:proofErr w:type="spellStart"/>
      <w:r>
        <w:rPr>
          <w:szCs w:val="20"/>
          <w:lang w:val="en-US" w:eastAsia="en-US" w:bidi="en-US"/>
        </w:rPr>
        <w:t>świadczeń</w:t>
      </w:r>
      <w:proofErr w:type="spellEnd"/>
      <w:r>
        <w:rPr>
          <w:szCs w:val="20"/>
          <w:lang w:val="en-US" w:eastAsia="en-US" w:bidi="en-US"/>
        </w:rPr>
        <w:t xml:space="preserve"> </w:t>
      </w:r>
      <w:proofErr w:type="spellStart"/>
      <w:r>
        <w:rPr>
          <w:szCs w:val="20"/>
          <w:lang w:val="en-US" w:eastAsia="en-US" w:bidi="en-US"/>
        </w:rPr>
        <w:t>przez</w:t>
      </w:r>
      <w:proofErr w:type="spellEnd"/>
      <w:r>
        <w:rPr>
          <w:szCs w:val="20"/>
          <w:lang w:val="en-US" w:eastAsia="en-US" w:bidi="en-US"/>
        </w:rPr>
        <w:t xml:space="preserve"> NFZ, w </w:t>
      </w:r>
      <w:proofErr w:type="spellStart"/>
      <w:r>
        <w:rPr>
          <w:szCs w:val="20"/>
          <w:lang w:val="en-US" w:eastAsia="en-US" w:bidi="en-US"/>
        </w:rPr>
        <w:t>związku</w:t>
      </w:r>
      <w:proofErr w:type="spellEnd"/>
      <w:r>
        <w:rPr>
          <w:szCs w:val="20"/>
          <w:lang w:val="en-US" w:eastAsia="en-US" w:bidi="en-US"/>
        </w:rPr>
        <w:t xml:space="preserve"> </w:t>
      </w:r>
      <w:proofErr w:type="spellStart"/>
      <w:r>
        <w:rPr>
          <w:szCs w:val="20"/>
          <w:lang w:val="en-US" w:eastAsia="en-US" w:bidi="en-US"/>
        </w:rPr>
        <w:t>ze</w:t>
      </w:r>
      <w:proofErr w:type="spellEnd"/>
      <w:r>
        <w:rPr>
          <w:szCs w:val="20"/>
          <w:lang w:val="en-US" w:eastAsia="en-US" w:bidi="en-US"/>
        </w:rPr>
        <w:t xml:space="preserve"> </w:t>
      </w:r>
      <w:proofErr w:type="spellStart"/>
      <w:r>
        <w:rPr>
          <w:szCs w:val="20"/>
          <w:lang w:val="en-US" w:eastAsia="en-US" w:bidi="en-US"/>
        </w:rPr>
        <w:t>wzrostem</w:t>
      </w:r>
      <w:proofErr w:type="spellEnd"/>
      <w:r>
        <w:rPr>
          <w:szCs w:val="20"/>
          <w:lang w:val="en-US" w:eastAsia="en-US" w:bidi="en-US"/>
        </w:rPr>
        <w:t xml:space="preserve"> </w:t>
      </w:r>
      <w:proofErr w:type="spellStart"/>
      <w:r>
        <w:rPr>
          <w:szCs w:val="20"/>
          <w:lang w:val="en-US" w:eastAsia="en-US" w:bidi="en-US"/>
        </w:rPr>
        <w:t>wynagrodzeń</w:t>
      </w:r>
      <w:proofErr w:type="spellEnd"/>
      <w:r>
        <w:rPr>
          <w:szCs w:val="20"/>
          <w:lang w:val="en-US" w:eastAsia="en-US" w:bidi="en-US"/>
        </w:rPr>
        <w:t xml:space="preserve"> </w:t>
      </w:r>
      <w:proofErr w:type="spellStart"/>
      <w:r>
        <w:rPr>
          <w:szCs w:val="20"/>
          <w:lang w:val="en-US" w:eastAsia="en-US" w:bidi="en-US"/>
        </w:rPr>
        <w:t>i</w:t>
      </w:r>
      <w:proofErr w:type="spellEnd"/>
      <w:r>
        <w:rPr>
          <w:szCs w:val="20"/>
          <w:lang w:val="en-US" w:eastAsia="en-US" w:bidi="en-US"/>
        </w:rPr>
        <w:t xml:space="preserve"> </w:t>
      </w:r>
      <w:proofErr w:type="spellStart"/>
      <w:r>
        <w:rPr>
          <w:szCs w:val="20"/>
          <w:lang w:val="en-US" w:eastAsia="en-US" w:bidi="en-US"/>
        </w:rPr>
        <w:t>jego</w:t>
      </w:r>
      <w:proofErr w:type="spellEnd"/>
      <w:r>
        <w:rPr>
          <w:szCs w:val="20"/>
          <w:lang w:val="en-US" w:eastAsia="en-US" w:bidi="en-US"/>
        </w:rPr>
        <w:t xml:space="preserve"> </w:t>
      </w:r>
      <w:proofErr w:type="spellStart"/>
      <w:r>
        <w:rPr>
          <w:szCs w:val="20"/>
          <w:lang w:val="en-US" w:eastAsia="en-US" w:bidi="en-US"/>
        </w:rPr>
        <w:t>skutkiem</w:t>
      </w:r>
      <w:proofErr w:type="spellEnd"/>
      <w:r>
        <w:rPr>
          <w:szCs w:val="20"/>
          <w:lang w:val="en-US" w:eastAsia="en-US" w:bidi="en-US"/>
        </w:rPr>
        <w:t xml:space="preserve"> w </w:t>
      </w:r>
      <w:proofErr w:type="spellStart"/>
      <w:r>
        <w:rPr>
          <w:szCs w:val="20"/>
          <w:lang w:val="en-US" w:eastAsia="en-US" w:bidi="en-US"/>
        </w:rPr>
        <w:t>postaci</w:t>
      </w:r>
      <w:proofErr w:type="spellEnd"/>
      <w:r>
        <w:rPr>
          <w:szCs w:val="20"/>
          <w:lang w:val="en-US" w:eastAsia="en-US" w:bidi="en-US"/>
        </w:rPr>
        <w:t xml:space="preserve"> </w:t>
      </w:r>
      <w:proofErr w:type="spellStart"/>
      <w:r>
        <w:rPr>
          <w:szCs w:val="20"/>
          <w:lang w:val="en-US" w:eastAsia="en-US" w:bidi="en-US"/>
        </w:rPr>
        <w:t>zwiększenia</w:t>
      </w:r>
      <w:proofErr w:type="spellEnd"/>
      <w:r>
        <w:rPr>
          <w:szCs w:val="20"/>
          <w:lang w:val="en-US" w:eastAsia="en-US" w:bidi="en-US"/>
        </w:rPr>
        <w:t xml:space="preserve"> </w:t>
      </w:r>
      <w:proofErr w:type="spellStart"/>
      <w:r>
        <w:rPr>
          <w:szCs w:val="20"/>
          <w:lang w:val="en-US" w:eastAsia="en-US" w:bidi="en-US"/>
        </w:rPr>
        <w:t>wpływów</w:t>
      </w:r>
      <w:proofErr w:type="spellEnd"/>
      <w:r>
        <w:rPr>
          <w:szCs w:val="20"/>
          <w:lang w:val="en-US" w:eastAsia="en-US" w:bidi="en-US"/>
        </w:rPr>
        <w:t xml:space="preserve"> </w:t>
      </w:r>
      <w:proofErr w:type="spellStart"/>
      <w:r>
        <w:rPr>
          <w:szCs w:val="20"/>
          <w:lang w:val="en-US" w:eastAsia="en-US" w:bidi="en-US"/>
        </w:rPr>
        <w:t>ze</w:t>
      </w:r>
      <w:proofErr w:type="spellEnd"/>
      <w:r>
        <w:rPr>
          <w:szCs w:val="20"/>
          <w:lang w:val="en-US" w:eastAsia="en-US" w:bidi="en-US"/>
        </w:rPr>
        <w:t xml:space="preserve"> </w:t>
      </w:r>
      <w:proofErr w:type="spellStart"/>
      <w:r>
        <w:rPr>
          <w:szCs w:val="20"/>
          <w:lang w:val="en-US" w:eastAsia="en-US" w:bidi="en-US"/>
        </w:rPr>
        <w:t>składk</w:t>
      </w:r>
      <w:r>
        <w:rPr>
          <w:szCs w:val="20"/>
          <w:lang w:val="en-US" w:eastAsia="en-US" w:bidi="en-US"/>
        </w:rPr>
        <w:t>i</w:t>
      </w:r>
      <w:proofErr w:type="spellEnd"/>
      <w:r>
        <w:rPr>
          <w:szCs w:val="20"/>
          <w:lang w:val="en-US" w:eastAsia="en-US" w:bidi="en-US"/>
        </w:rPr>
        <w:t xml:space="preserve"> </w:t>
      </w:r>
      <w:proofErr w:type="spellStart"/>
      <w:r>
        <w:rPr>
          <w:szCs w:val="20"/>
          <w:lang w:val="en-US" w:eastAsia="en-US" w:bidi="en-US"/>
        </w:rPr>
        <w:t>zdrowotnej</w:t>
      </w:r>
      <w:proofErr w:type="spellEnd"/>
      <w:r>
        <w:rPr>
          <w:szCs w:val="20"/>
        </w:rPr>
        <w:t>;</w:t>
      </w:r>
    </w:p>
    <w:p w:rsidR="00A9251F" w:rsidRDefault="00A93ACE">
      <w:pPr>
        <w:spacing w:after="160" w:line="259" w:lineRule="auto"/>
        <w:ind w:left="283" w:hanging="283"/>
        <w:contextualSpacing/>
        <w:jc w:val="both"/>
        <w:rPr>
          <w:szCs w:val="20"/>
          <w:lang w:val="en-US" w:eastAsia="en-US" w:bidi="en-US"/>
        </w:rPr>
      </w:pPr>
      <w:r>
        <w:rPr>
          <w:szCs w:val="20"/>
        </w:rPr>
        <w:t>5) </w:t>
      </w:r>
      <w:proofErr w:type="spellStart"/>
      <w:r>
        <w:rPr>
          <w:szCs w:val="20"/>
          <w:lang w:val="en-US" w:eastAsia="en-US" w:bidi="en-US"/>
        </w:rPr>
        <w:t>wzrostem</w:t>
      </w:r>
      <w:proofErr w:type="spellEnd"/>
      <w:r>
        <w:rPr>
          <w:szCs w:val="20"/>
          <w:lang w:val="en-US" w:eastAsia="en-US" w:bidi="en-US"/>
        </w:rPr>
        <w:t xml:space="preserve"> </w:t>
      </w:r>
      <w:proofErr w:type="spellStart"/>
      <w:r>
        <w:rPr>
          <w:szCs w:val="20"/>
          <w:lang w:val="en-US" w:eastAsia="en-US" w:bidi="en-US"/>
        </w:rPr>
        <w:t>kosztów</w:t>
      </w:r>
      <w:proofErr w:type="spellEnd"/>
      <w:r>
        <w:rPr>
          <w:szCs w:val="20"/>
          <w:lang w:val="en-US" w:eastAsia="en-US" w:bidi="en-US"/>
        </w:rPr>
        <w:t xml:space="preserve"> </w:t>
      </w:r>
      <w:proofErr w:type="spellStart"/>
      <w:r>
        <w:rPr>
          <w:szCs w:val="20"/>
          <w:lang w:val="en-US" w:eastAsia="en-US" w:bidi="en-US"/>
        </w:rPr>
        <w:t>realizacji</w:t>
      </w:r>
      <w:proofErr w:type="spellEnd"/>
      <w:r>
        <w:rPr>
          <w:szCs w:val="20"/>
          <w:lang w:val="en-US" w:eastAsia="en-US" w:bidi="en-US"/>
        </w:rPr>
        <w:t xml:space="preserve"> </w:t>
      </w:r>
      <w:proofErr w:type="spellStart"/>
      <w:r>
        <w:rPr>
          <w:szCs w:val="20"/>
          <w:lang w:val="en-US" w:eastAsia="en-US" w:bidi="en-US"/>
        </w:rPr>
        <w:t>świadczeń</w:t>
      </w:r>
      <w:proofErr w:type="spellEnd"/>
      <w:r>
        <w:rPr>
          <w:szCs w:val="20"/>
          <w:lang w:val="en-US" w:eastAsia="en-US" w:bidi="en-US"/>
        </w:rPr>
        <w:t xml:space="preserve"> </w:t>
      </w:r>
      <w:proofErr w:type="spellStart"/>
      <w:r>
        <w:rPr>
          <w:szCs w:val="20"/>
          <w:lang w:val="en-US" w:eastAsia="en-US" w:bidi="en-US"/>
        </w:rPr>
        <w:t>na</w:t>
      </w:r>
      <w:proofErr w:type="spellEnd"/>
      <w:r>
        <w:rPr>
          <w:szCs w:val="20"/>
          <w:lang w:val="en-US" w:eastAsia="en-US" w:bidi="en-US"/>
        </w:rPr>
        <w:t xml:space="preserve"> </w:t>
      </w:r>
      <w:proofErr w:type="spellStart"/>
      <w:r>
        <w:rPr>
          <w:szCs w:val="20"/>
          <w:lang w:val="en-US" w:eastAsia="en-US" w:bidi="en-US"/>
        </w:rPr>
        <w:t>poziomie</w:t>
      </w:r>
      <w:proofErr w:type="spellEnd"/>
      <w:r>
        <w:rPr>
          <w:szCs w:val="20"/>
          <w:lang w:val="en-US" w:eastAsia="en-US" w:bidi="en-US"/>
        </w:rPr>
        <w:t xml:space="preserve"> </w:t>
      </w:r>
      <w:proofErr w:type="spellStart"/>
      <w:r>
        <w:rPr>
          <w:szCs w:val="20"/>
          <w:lang w:val="en-US" w:eastAsia="en-US" w:bidi="en-US"/>
        </w:rPr>
        <w:t>prognozowanych</w:t>
      </w:r>
      <w:proofErr w:type="spellEnd"/>
      <w:r>
        <w:rPr>
          <w:szCs w:val="20"/>
          <w:lang w:val="en-US" w:eastAsia="en-US" w:bidi="en-US"/>
        </w:rPr>
        <w:t xml:space="preserve"> </w:t>
      </w:r>
      <w:proofErr w:type="spellStart"/>
      <w:r>
        <w:rPr>
          <w:szCs w:val="20"/>
          <w:lang w:val="en-US" w:eastAsia="en-US" w:bidi="en-US"/>
        </w:rPr>
        <w:t>wartości</w:t>
      </w:r>
      <w:proofErr w:type="spellEnd"/>
      <w:r>
        <w:rPr>
          <w:szCs w:val="20"/>
          <w:lang w:val="en-US" w:eastAsia="en-US" w:bidi="en-US"/>
        </w:rPr>
        <w:t xml:space="preserve"> </w:t>
      </w:r>
      <w:proofErr w:type="spellStart"/>
      <w:r>
        <w:rPr>
          <w:szCs w:val="20"/>
          <w:lang w:val="en-US" w:eastAsia="en-US" w:bidi="en-US"/>
        </w:rPr>
        <w:t>wskaźników</w:t>
      </w:r>
      <w:proofErr w:type="spellEnd"/>
      <w:r>
        <w:rPr>
          <w:szCs w:val="20"/>
          <w:lang w:val="en-US" w:eastAsia="en-US" w:bidi="en-US"/>
        </w:rPr>
        <w:t xml:space="preserve"> </w:t>
      </w:r>
      <w:proofErr w:type="spellStart"/>
      <w:r>
        <w:rPr>
          <w:szCs w:val="20"/>
          <w:lang w:val="en-US" w:eastAsia="en-US" w:bidi="en-US"/>
        </w:rPr>
        <w:t>makroekonomicznych</w:t>
      </w:r>
      <w:proofErr w:type="spellEnd"/>
      <w:r>
        <w:rPr>
          <w:szCs w:val="20"/>
        </w:rPr>
        <w:t>;</w:t>
      </w:r>
    </w:p>
    <w:p w:rsidR="00A9251F" w:rsidRDefault="00A93ACE">
      <w:pPr>
        <w:spacing w:after="160" w:line="259" w:lineRule="auto"/>
        <w:ind w:left="283" w:hanging="283"/>
        <w:contextualSpacing/>
        <w:jc w:val="both"/>
        <w:rPr>
          <w:szCs w:val="20"/>
          <w:lang w:val="en-US" w:eastAsia="en-US" w:bidi="en-US"/>
        </w:rPr>
      </w:pPr>
      <w:r>
        <w:rPr>
          <w:szCs w:val="20"/>
        </w:rPr>
        <w:t>6) </w:t>
      </w:r>
      <w:proofErr w:type="spellStart"/>
      <w:r>
        <w:rPr>
          <w:szCs w:val="20"/>
          <w:lang w:val="en-US" w:eastAsia="en-US" w:bidi="en-US"/>
        </w:rPr>
        <w:t>planowane</w:t>
      </w:r>
      <w:proofErr w:type="spellEnd"/>
      <w:r>
        <w:rPr>
          <w:szCs w:val="20"/>
          <w:lang w:val="en-US" w:eastAsia="en-US" w:bidi="en-US"/>
        </w:rPr>
        <w:t xml:space="preserve"> </w:t>
      </w:r>
      <w:proofErr w:type="spellStart"/>
      <w:r>
        <w:rPr>
          <w:szCs w:val="20"/>
          <w:lang w:val="en-US" w:eastAsia="en-US" w:bidi="en-US"/>
        </w:rPr>
        <w:t>finansowanie</w:t>
      </w:r>
      <w:proofErr w:type="spellEnd"/>
      <w:r>
        <w:rPr>
          <w:szCs w:val="20"/>
          <w:lang w:val="en-US" w:eastAsia="en-US" w:bidi="en-US"/>
        </w:rPr>
        <w:t xml:space="preserve"> </w:t>
      </w:r>
      <w:proofErr w:type="spellStart"/>
      <w:r>
        <w:rPr>
          <w:szCs w:val="20"/>
          <w:lang w:val="en-US" w:eastAsia="en-US" w:bidi="en-US"/>
        </w:rPr>
        <w:t>zakupów</w:t>
      </w:r>
      <w:proofErr w:type="spellEnd"/>
      <w:r>
        <w:rPr>
          <w:szCs w:val="20"/>
          <w:lang w:val="en-US" w:eastAsia="en-US" w:bidi="en-US"/>
        </w:rPr>
        <w:t xml:space="preserve"> </w:t>
      </w:r>
      <w:proofErr w:type="spellStart"/>
      <w:r>
        <w:rPr>
          <w:szCs w:val="20"/>
          <w:lang w:val="en-US" w:eastAsia="en-US" w:bidi="en-US"/>
        </w:rPr>
        <w:t>inwestycyjnych</w:t>
      </w:r>
      <w:proofErr w:type="spellEnd"/>
      <w:r>
        <w:rPr>
          <w:szCs w:val="20"/>
          <w:lang w:val="en-US" w:eastAsia="en-US" w:bidi="en-US"/>
        </w:rPr>
        <w:t xml:space="preserve"> </w:t>
      </w:r>
      <w:proofErr w:type="spellStart"/>
      <w:r>
        <w:rPr>
          <w:szCs w:val="20"/>
          <w:lang w:val="en-US" w:eastAsia="en-US" w:bidi="en-US"/>
        </w:rPr>
        <w:t>leasingiem</w:t>
      </w:r>
      <w:proofErr w:type="spellEnd"/>
      <w:r>
        <w:rPr>
          <w:szCs w:val="20"/>
          <w:lang w:val="en-US" w:eastAsia="en-US" w:bidi="en-US"/>
        </w:rPr>
        <w:t>.</w:t>
      </w:r>
    </w:p>
    <w:p w:rsidR="00A9251F" w:rsidRDefault="00A93ACE">
      <w:pPr>
        <w:spacing w:before="240" w:after="200" w:line="276" w:lineRule="auto"/>
        <w:jc w:val="both"/>
        <w:rPr>
          <w:b/>
          <w:color w:val="000000"/>
          <w:szCs w:val="20"/>
          <w:shd w:val="clear" w:color="auto" w:fill="FFFFFF"/>
          <w:lang w:eastAsia="en-US" w:bidi="ar-SA"/>
        </w:rPr>
      </w:pPr>
      <w:r>
        <w:rPr>
          <w:b/>
          <w:color w:val="000000"/>
          <w:szCs w:val="20"/>
          <w:shd w:val="clear" w:color="auto" w:fill="FFFFFF"/>
          <w:lang w:eastAsia="en-US" w:bidi="ar-SA"/>
        </w:rPr>
        <w:t>Informacja o istotnych zdarzeniach dla MCM „Polesie” w Łodzi – prognoza n</w:t>
      </w:r>
      <w:r>
        <w:rPr>
          <w:b/>
          <w:color w:val="000000"/>
          <w:szCs w:val="20"/>
          <w:shd w:val="clear" w:color="auto" w:fill="FFFFFF"/>
          <w:lang w:eastAsia="en-US" w:bidi="ar-SA"/>
        </w:rPr>
        <w:t>a lata 2022-2024</w:t>
      </w:r>
      <w:r>
        <w:rPr>
          <w:b/>
          <w:color w:val="000000"/>
          <w:szCs w:val="20"/>
          <w:shd w:val="clear" w:color="auto" w:fill="FFFFFF"/>
        </w:rPr>
        <w:t>.</w:t>
      </w:r>
    </w:p>
    <w:p w:rsidR="00A9251F" w:rsidRDefault="00A93ACE">
      <w:pPr>
        <w:spacing w:line="276" w:lineRule="auto"/>
        <w:jc w:val="both"/>
        <w:rPr>
          <w:color w:val="000000"/>
          <w:szCs w:val="20"/>
          <w:shd w:val="clear" w:color="auto" w:fill="FFFFFF"/>
          <w:lang w:eastAsia="en-US" w:bidi="ar-SA"/>
        </w:rPr>
      </w:pPr>
      <w:r>
        <w:rPr>
          <w:color w:val="000000"/>
          <w:szCs w:val="20"/>
          <w:shd w:val="clear" w:color="auto" w:fill="FFFFFF"/>
          <w:lang w:eastAsia="en-US" w:bidi="ar-SA"/>
        </w:rPr>
        <w:t xml:space="preserve">Prognoza na lata 2022-2024 MCM „Polesie” w Łodzi zakłada utrzymanie działalności </w:t>
      </w:r>
      <w:r>
        <w:rPr>
          <w:color w:val="000000"/>
          <w:szCs w:val="20"/>
          <w:shd w:val="clear" w:color="auto" w:fill="FFFFFF"/>
          <w:lang w:eastAsia="en-US" w:bidi="ar-SA"/>
        </w:rPr>
        <w:br/>
        <w:t>w zakresie roku 2021. Największym zagrożeniem dla osiąganych wyników finansowych dla MCM „Polesie” w Łodzi są:</w:t>
      </w:r>
    </w:p>
    <w:p w:rsidR="00A9251F" w:rsidRDefault="00A93ACE">
      <w:pPr>
        <w:spacing w:before="120" w:line="276" w:lineRule="auto"/>
        <w:ind w:left="283" w:hanging="283"/>
        <w:jc w:val="both"/>
        <w:rPr>
          <w:color w:val="000000"/>
          <w:szCs w:val="20"/>
          <w:shd w:val="clear" w:color="auto" w:fill="FFFFFF"/>
          <w:lang w:eastAsia="en-US" w:bidi="ar-SA"/>
        </w:rPr>
      </w:pPr>
      <w:r>
        <w:rPr>
          <w:color w:val="000000"/>
          <w:szCs w:val="20"/>
          <w:shd w:val="clear" w:color="auto" w:fill="FFFFFF"/>
        </w:rPr>
        <w:t>1) </w:t>
      </w:r>
      <w:r>
        <w:rPr>
          <w:color w:val="000000"/>
          <w:szCs w:val="20"/>
          <w:shd w:val="clear" w:color="auto" w:fill="FFFFFF"/>
          <w:lang w:eastAsia="en-US" w:bidi="ar-SA"/>
        </w:rPr>
        <w:t xml:space="preserve">wzrost kosztów wynagrodzeń personelu </w:t>
      </w:r>
      <w:r>
        <w:rPr>
          <w:color w:val="000000"/>
          <w:szCs w:val="20"/>
          <w:shd w:val="clear" w:color="auto" w:fill="FFFFFF"/>
          <w:lang w:eastAsia="en-US" w:bidi="ar-SA"/>
        </w:rPr>
        <w:t>medycznego i niemedycznego;</w:t>
      </w:r>
    </w:p>
    <w:p w:rsidR="00A9251F" w:rsidRDefault="00A93ACE">
      <w:pPr>
        <w:spacing w:line="276" w:lineRule="auto"/>
        <w:ind w:left="283" w:hanging="283"/>
        <w:jc w:val="both"/>
        <w:rPr>
          <w:color w:val="000000"/>
          <w:szCs w:val="20"/>
          <w:shd w:val="clear" w:color="auto" w:fill="FFFFFF"/>
          <w:lang w:eastAsia="en-US" w:bidi="ar-SA"/>
        </w:rPr>
      </w:pPr>
      <w:r>
        <w:rPr>
          <w:color w:val="000000"/>
          <w:szCs w:val="20"/>
          <w:shd w:val="clear" w:color="auto" w:fill="FFFFFF"/>
        </w:rPr>
        <w:t>2) </w:t>
      </w:r>
      <w:r>
        <w:rPr>
          <w:color w:val="000000"/>
          <w:szCs w:val="20"/>
          <w:shd w:val="clear" w:color="auto" w:fill="FFFFFF"/>
          <w:lang w:eastAsia="en-US" w:bidi="ar-SA"/>
        </w:rPr>
        <w:t>wzrost kosztów usług obcych;</w:t>
      </w:r>
    </w:p>
    <w:p w:rsidR="00A9251F" w:rsidRDefault="00A93ACE">
      <w:pPr>
        <w:spacing w:line="276" w:lineRule="auto"/>
        <w:ind w:left="283" w:hanging="283"/>
        <w:jc w:val="both"/>
        <w:rPr>
          <w:color w:val="000000"/>
          <w:szCs w:val="20"/>
          <w:shd w:val="clear" w:color="auto" w:fill="FFFFFF"/>
          <w:lang w:eastAsia="en-US" w:bidi="ar-SA"/>
        </w:rPr>
      </w:pPr>
      <w:r>
        <w:rPr>
          <w:color w:val="000000"/>
          <w:szCs w:val="20"/>
          <w:shd w:val="clear" w:color="auto" w:fill="FFFFFF"/>
        </w:rPr>
        <w:t>3) </w:t>
      </w:r>
      <w:r>
        <w:rPr>
          <w:color w:val="000000"/>
          <w:szCs w:val="20"/>
          <w:shd w:val="clear" w:color="auto" w:fill="FFFFFF"/>
          <w:lang w:eastAsia="en-US" w:bidi="ar-SA"/>
        </w:rPr>
        <w:t xml:space="preserve">brak urealnienia wyceny świadczeń oraz stawki </w:t>
      </w:r>
      <w:proofErr w:type="spellStart"/>
      <w:r>
        <w:rPr>
          <w:color w:val="000000"/>
          <w:szCs w:val="20"/>
          <w:shd w:val="clear" w:color="auto" w:fill="FFFFFF"/>
          <w:lang w:eastAsia="en-US" w:bidi="ar-SA"/>
        </w:rPr>
        <w:t>kapitacyjnej</w:t>
      </w:r>
      <w:proofErr w:type="spellEnd"/>
      <w:r>
        <w:rPr>
          <w:color w:val="000000"/>
          <w:szCs w:val="20"/>
          <w:shd w:val="clear" w:color="auto" w:fill="FFFFFF"/>
          <w:lang w:eastAsia="en-US" w:bidi="ar-SA"/>
        </w:rPr>
        <w:t xml:space="preserve"> w przypadku POZ;</w:t>
      </w:r>
    </w:p>
    <w:p w:rsidR="00A9251F" w:rsidRDefault="00A93ACE">
      <w:pPr>
        <w:spacing w:line="276" w:lineRule="auto"/>
        <w:ind w:left="283" w:hanging="283"/>
        <w:jc w:val="both"/>
        <w:rPr>
          <w:color w:val="000000"/>
          <w:szCs w:val="20"/>
          <w:shd w:val="clear" w:color="auto" w:fill="FFFFFF"/>
          <w:lang w:eastAsia="en-US" w:bidi="ar-SA"/>
        </w:rPr>
      </w:pPr>
      <w:r>
        <w:rPr>
          <w:color w:val="000000"/>
          <w:szCs w:val="20"/>
          <w:shd w:val="clear" w:color="auto" w:fill="FFFFFF"/>
        </w:rPr>
        <w:t>4) </w:t>
      </w:r>
      <w:r>
        <w:rPr>
          <w:color w:val="000000"/>
          <w:szCs w:val="20"/>
          <w:shd w:val="clear" w:color="auto" w:fill="FFFFFF"/>
          <w:lang w:eastAsia="en-US" w:bidi="ar-SA"/>
        </w:rPr>
        <w:t>odpływ wykwalifikowanej kadry medycznej (w szczególności lekarzy specjalistów), problem w znalezieniu kadry medycz</w:t>
      </w:r>
      <w:r>
        <w:rPr>
          <w:color w:val="000000"/>
          <w:szCs w:val="20"/>
          <w:shd w:val="clear" w:color="auto" w:fill="FFFFFF"/>
          <w:lang w:eastAsia="en-US" w:bidi="ar-SA"/>
        </w:rPr>
        <w:t xml:space="preserve">nej niezbędnej do realizacji świadczeń </w:t>
      </w:r>
      <w:r>
        <w:rPr>
          <w:color w:val="000000"/>
          <w:szCs w:val="20"/>
          <w:shd w:val="clear" w:color="auto" w:fill="FFFFFF"/>
        </w:rPr>
        <w:br/>
      </w:r>
      <w:r>
        <w:rPr>
          <w:color w:val="000000"/>
          <w:szCs w:val="20"/>
          <w:shd w:val="clear" w:color="auto" w:fill="FFFFFF"/>
          <w:lang w:eastAsia="en-US" w:bidi="ar-SA"/>
        </w:rPr>
        <w:t xml:space="preserve">oraz konkurencja </w:t>
      </w:r>
      <w:r>
        <w:rPr>
          <w:color w:val="000000"/>
          <w:szCs w:val="20"/>
          <w:shd w:val="clear" w:color="auto" w:fill="FFFFFF"/>
        </w:rPr>
        <w:t>n</w:t>
      </w:r>
      <w:proofErr w:type="spellStart"/>
      <w:r>
        <w:rPr>
          <w:color w:val="000000"/>
          <w:szCs w:val="20"/>
          <w:shd w:val="clear" w:color="auto" w:fill="FFFFFF"/>
          <w:lang w:eastAsia="en-US" w:bidi="ar-SA"/>
        </w:rPr>
        <w:t>iezależnych</w:t>
      </w:r>
      <w:proofErr w:type="spellEnd"/>
      <w:r>
        <w:rPr>
          <w:color w:val="000000"/>
          <w:szCs w:val="20"/>
          <w:shd w:val="clear" w:color="auto" w:fill="FFFFFF"/>
          <w:lang w:eastAsia="en-US" w:bidi="ar-SA"/>
        </w:rPr>
        <w:t xml:space="preserve"> </w:t>
      </w:r>
      <w:r>
        <w:rPr>
          <w:color w:val="000000"/>
          <w:szCs w:val="20"/>
          <w:shd w:val="clear" w:color="auto" w:fill="FFFFFF"/>
        </w:rPr>
        <w:t>z</w:t>
      </w:r>
      <w:proofErr w:type="spellStart"/>
      <w:r>
        <w:rPr>
          <w:color w:val="000000"/>
          <w:szCs w:val="20"/>
          <w:shd w:val="clear" w:color="auto" w:fill="FFFFFF"/>
          <w:lang w:eastAsia="en-US" w:bidi="ar-SA"/>
        </w:rPr>
        <w:t>akładów</w:t>
      </w:r>
      <w:proofErr w:type="spellEnd"/>
      <w:r>
        <w:rPr>
          <w:color w:val="000000"/>
          <w:szCs w:val="20"/>
          <w:shd w:val="clear" w:color="auto" w:fill="FFFFFF"/>
          <w:lang w:eastAsia="en-US" w:bidi="ar-SA"/>
        </w:rPr>
        <w:t xml:space="preserve"> </w:t>
      </w:r>
      <w:r>
        <w:rPr>
          <w:color w:val="000000"/>
          <w:szCs w:val="20"/>
          <w:shd w:val="clear" w:color="auto" w:fill="FFFFFF"/>
        </w:rPr>
        <w:t>o</w:t>
      </w:r>
      <w:proofErr w:type="spellStart"/>
      <w:r>
        <w:rPr>
          <w:color w:val="000000"/>
          <w:szCs w:val="20"/>
          <w:shd w:val="clear" w:color="auto" w:fill="FFFFFF"/>
          <w:lang w:eastAsia="en-US" w:bidi="ar-SA"/>
        </w:rPr>
        <w:t>pieki</w:t>
      </w:r>
      <w:proofErr w:type="spellEnd"/>
      <w:r>
        <w:rPr>
          <w:color w:val="000000"/>
          <w:szCs w:val="20"/>
          <w:shd w:val="clear" w:color="auto" w:fill="FFFFFF"/>
          <w:lang w:eastAsia="en-US" w:bidi="ar-SA"/>
        </w:rPr>
        <w:t xml:space="preserve"> </w:t>
      </w:r>
      <w:r>
        <w:rPr>
          <w:color w:val="000000"/>
          <w:szCs w:val="20"/>
          <w:shd w:val="clear" w:color="auto" w:fill="FFFFFF"/>
        </w:rPr>
        <w:t>z</w:t>
      </w:r>
      <w:proofErr w:type="spellStart"/>
      <w:r>
        <w:rPr>
          <w:color w:val="000000"/>
          <w:szCs w:val="20"/>
          <w:shd w:val="clear" w:color="auto" w:fill="FFFFFF"/>
          <w:lang w:eastAsia="en-US" w:bidi="ar-SA"/>
        </w:rPr>
        <w:t>drowotnej</w:t>
      </w:r>
      <w:proofErr w:type="spellEnd"/>
      <w:r>
        <w:rPr>
          <w:color w:val="000000"/>
          <w:szCs w:val="20"/>
          <w:shd w:val="clear" w:color="auto" w:fill="FFFFFF"/>
          <w:lang w:eastAsia="en-US" w:bidi="ar-SA"/>
        </w:rPr>
        <w:t>.</w:t>
      </w:r>
    </w:p>
    <w:p w:rsidR="00A9251F" w:rsidRDefault="00A93ACE">
      <w:pPr>
        <w:spacing w:before="240" w:after="200" w:line="276" w:lineRule="auto"/>
        <w:jc w:val="both"/>
        <w:rPr>
          <w:b/>
          <w:color w:val="000000"/>
          <w:szCs w:val="20"/>
          <w:shd w:val="clear" w:color="auto" w:fill="FFFFFF"/>
          <w:lang w:eastAsia="en-US" w:bidi="ar-SA"/>
        </w:rPr>
      </w:pPr>
      <w:r>
        <w:rPr>
          <w:b/>
          <w:color w:val="000000"/>
          <w:szCs w:val="20"/>
          <w:shd w:val="clear" w:color="auto" w:fill="FFFFFF"/>
          <w:lang w:eastAsia="en-US" w:bidi="ar-SA"/>
        </w:rPr>
        <w:lastRenderedPageBreak/>
        <w:t>Podsumowanie</w:t>
      </w:r>
    </w:p>
    <w:p w:rsidR="00A9251F" w:rsidRDefault="00A93ACE">
      <w:pPr>
        <w:spacing w:line="276" w:lineRule="auto"/>
        <w:jc w:val="both"/>
        <w:rPr>
          <w:color w:val="000000"/>
          <w:szCs w:val="20"/>
          <w:shd w:val="clear" w:color="auto" w:fill="FFFFFF"/>
          <w:lang w:eastAsia="en-US" w:bidi="ar-SA"/>
        </w:rPr>
      </w:pPr>
      <w:r>
        <w:rPr>
          <w:color w:val="000000"/>
          <w:szCs w:val="20"/>
          <w:shd w:val="clear" w:color="auto" w:fill="FFFFFF"/>
          <w:lang w:eastAsia="en-US" w:bidi="ar-SA"/>
        </w:rPr>
        <w:t>Na podstawie raportu o sytuacji ekonomiczno-finansowej MCM „Polesie” w Łodzi, funkcjonującego jako Samodzielny Publiczny</w:t>
      </w:r>
      <w:r>
        <w:rPr>
          <w:color w:val="000000"/>
          <w:szCs w:val="20"/>
          <w:shd w:val="clear" w:color="auto" w:fill="FFFFFF"/>
        </w:rPr>
        <w:t xml:space="preserve"> </w:t>
      </w:r>
      <w:r>
        <w:rPr>
          <w:color w:val="000000"/>
          <w:szCs w:val="20"/>
          <w:shd w:val="clear" w:color="auto" w:fill="FFFFFF"/>
          <w:lang w:eastAsia="en-US" w:bidi="ar-SA"/>
        </w:rPr>
        <w:t>Zakład Opieki Zdrowotnej</w:t>
      </w:r>
      <w:r>
        <w:rPr>
          <w:color w:val="000000"/>
          <w:szCs w:val="20"/>
          <w:shd w:val="clear" w:color="auto" w:fill="FFFFFF"/>
          <w:lang w:eastAsia="en-US" w:bidi="ar-SA"/>
        </w:rPr>
        <w:t xml:space="preserve"> należy stwierdzić, że:</w:t>
      </w:r>
    </w:p>
    <w:p w:rsidR="00A9251F" w:rsidRDefault="00A93ACE">
      <w:pPr>
        <w:spacing w:line="276" w:lineRule="auto"/>
        <w:ind w:left="285" w:hanging="285"/>
        <w:jc w:val="both"/>
        <w:rPr>
          <w:color w:val="000000"/>
          <w:szCs w:val="20"/>
          <w:shd w:val="clear" w:color="auto" w:fill="FFFFFF"/>
          <w:lang w:eastAsia="en-US" w:bidi="ar-SA"/>
        </w:rPr>
      </w:pPr>
      <w:r>
        <w:rPr>
          <w:color w:val="000000"/>
          <w:szCs w:val="20"/>
          <w:shd w:val="clear" w:color="auto" w:fill="FFFFFF"/>
        </w:rPr>
        <w:t>1) </w:t>
      </w:r>
      <w:r>
        <w:rPr>
          <w:color w:val="000000"/>
          <w:szCs w:val="20"/>
          <w:shd w:val="clear" w:color="auto" w:fill="FFFFFF"/>
          <w:lang w:eastAsia="en-US" w:bidi="ar-SA"/>
        </w:rPr>
        <w:t xml:space="preserve">ocena dokonana na podstawie wskaźników ekonomiczno-finansowych 2021 roku </w:t>
      </w:r>
      <w:r>
        <w:rPr>
          <w:color w:val="000000"/>
          <w:szCs w:val="20"/>
          <w:shd w:val="clear" w:color="auto" w:fill="FFFFFF"/>
          <w:lang w:eastAsia="en-US" w:bidi="ar-SA"/>
        </w:rPr>
        <w:br/>
        <w:t>oraz prognozy na lata 2022-2024 jest pozytywna;</w:t>
      </w:r>
    </w:p>
    <w:p w:rsidR="00A9251F" w:rsidRDefault="00A93ACE">
      <w:pPr>
        <w:spacing w:line="276" w:lineRule="auto"/>
        <w:ind w:left="285" w:hanging="285"/>
        <w:jc w:val="both"/>
        <w:rPr>
          <w:color w:val="000000"/>
          <w:szCs w:val="20"/>
          <w:shd w:val="clear" w:color="auto" w:fill="FFFFFF"/>
          <w:lang w:eastAsia="en-US" w:bidi="ar-SA"/>
        </w:rPr>
      </w:pPr>
      <w:r>
        <w:rPr>
          <w:color w:val="000000"/>
          <w:szCs w:val="20"/>
          <w:shd w:val="clear" w:color="auto" w:fill="FFFFFF"/>
        </w:rPr>
        <w:t>2) </w:t>
      </w:r>
      <w:r>
        <w:rPr>
          <w:color w:val="000000"/>
          <w:szCs w:val="20"/>
          <w:shd w:val="clear" w:color="auto" w:fill="FFFFFF"/>
          <w:lang w:eastAsia="en-US" w:bidi="ar-SA"/>
        </w:rPr>
        <w:t xml:space="preserve">podmiot posiada stabilną sytuację finansową oraz nie wykazuje, a także </w:t>
      </w:r>
      <w:r>
        <w:rPr>
          <w:color w:val="000000"/>
          <w:szCs w:val="20"/>
          <w:shd w:val="clear" w:color="auto" w:fill="FFFFFF"/>
        </w:rPr>
        <w:br/>
      </w:r>
      <w:r>
        <w:rPr>
          <w:color w:val="000000"/>
          <w:szCs w:val="20"/>
          <w:shd w:val="clear" w:color="auto" w:fill="FFFFFF"/>
          <w:lang w:eastAsia="en-US" w:bidi="ar-SA"/>
        </w:rPr>
        <w:t xml:space="preserve">nie przewiduje, problemów z płynnością oraz rotacją swoich zobowiązań i należności; </w:t>
      </w:r>
    </w:p>
    <w:p w:rsidR="00A9251F" w:rsidRDefault="00A93ACE">
      <w:pPr>
        <w:spacing w:line="276" w:lineRule="auto"/>
        <w:ind w:left="285" w:hanging="285"/>
        <w:jc w:val="both"/>
        <w:rPr>
          <w:color w:val="000000"/>
          <w:szCs w:val="20"/>
          <w:shd w:val="clear" w:color="auto" w:fill="FFFFFF"/>
          <w:lang w:eastAsia="en-US" w:bidi="ar-SA"/>
        </w:rPr>
      </w:pPr>
      <w:r>
        <w:rPr>
          <w:color w:val="000000"/>
          <w:szCs w:val="20"/>
          <w:shd w:val="clear" w:color="auto" w:fill="FFFFFF"/>
        </w:rPr>
        <w:t>3) </w:t>
      </w:r>
      <w:r>
        <w:rPr>
          <w:color w:val="000000"/>
          <w:szCs w:val="20"/>
          <w:shd w:val="clear" w:color="auto" w:fill="FFFFFF"/>
          <w:lang w:eastAsia="en-US" w:bidi="ar-SA"/>
        </w:rPr>
        <w:t xml:space="preserve">przedstawiona w raporcie ostrożna analiza wskaźników dla prognozowanego okresu jest rezultatem niepewność w zakresie wielkości umów na świadczenia medyczne </w:t>
      </w:r>
      <w:r>
        <w:rPr>
          <w:color w:val="000000"/>
          <w:szCs w:val="20"/>
          <w:shd w:val="clear" w:color="auto" w:fill="FFFFFF"/>
          <w:lang w:eastAsia="en-US" w:bidi="ar-SA"/>
        </w:rPr>
        <w:br/>
        <w:t>z NFZ.</w:t>
      </w:r>
    </w:p>
    <w:p w:rsidR="00A9251F" w:rsidRDefault="00A93ACE">
      <w:pPr>
        <w:spacing w:before="240" w:line="276" w:lineRule="auto"/>
        <w:jc w:val="both"/>
        <w:rPr>
          <w:color w:val="000000"/>
          <w:szCs w:val="20"/>
          <w:u w:val="single"/>
          <w:shd w:val="clear" w:color="auto" w:fill="FFFFFF"/>
          <w:lang w:eastAsia="en-US" w:bidi="ar-SA"/>
        </w:rPr>
      </w:pPr>
      <w:r>
        <w:rPr>
          <w:color w:val="000000"/>
          <w:szCs w:val="20"/>
          <w:shd w:val="clear" w:color="auto" w:fill="FFFFFF"/>
          <w:lang w:eastAsia="en-US" w:bidi="ar-SA"/>
        </w:rPr>
        <w:t>W zw</w:t>
      </w:r>
      <w:r>
        <w:rPr>
          <w:color w:val="000000"/>
          <w:szCs w:val="20"/>
          <w:shd w:val="clear" w:color="auto" w:fill="FFFFFF"/>
          <w:lang w:eastAsia="en-US" w:bidi="ar-SA"/>
        </w:rPr>
        <w:t>iązku z powyższym dokonuje się pozytywnej oceny sytuacji ekonomiczno-finansowej MCM „Polesie” w Łodzi na podstawie przedstawionego przez jednostkę raportu o sytuacji ekonomiczno-finansowej na 2021 rok.</w:t>
      </w:r>
    </w:p>
    <w:p w:rsidR="00A9251F" w:rsidRDefault="00A9251F">
      <w:pPr>
        <w:spacing w:before="240" w:line="276" w:lineRule="auto"/>
        <w:jc w:val="both"/>
        <w:rPr>
          <w:color w:val="000000"/>
          <w:szCs w:val="20"/>
          <w:shd w:val="clear" w:color="auto" w:fill="FFFFFF"/>
          <w:lang w:eastAsia="en-US" w:bidi="ar-SA"/>
        </w:rPr>
        <w:sectPr w:rsidR="00A9251F">
          <w:footerReference w:type="default" r:id="rId8"/>
          <w:pgSz w:w="11906" w:h="16838"/>
          <w:pgMar w:top="608" w:right="1418" w:bottom="1418" w:left="1418" w:header="709" w:footer="709" w:gutter="0"/>
          <w:pgNumType w:start="1"/>
          <w:cols w:space="708"/>
          <w:titlePg/>
        </w:sectPr>
      </w:pPr>
      <w:r>
        <w:rPr>
          <w:color w:val="000000"/>
          <w:szCs w:val="20"/>
          <w:shd w:val="clear" w:color="auto" w:fill="FFFFFF"/>
          <w:lang w:eastAsia="en-US" w:bidi="ar-SA"/>
        </w:rPr>
        <w:fldChar w:fldCharType="begin"/>
      </w:r>
      <w:r>
        <w:rPr>
          <w:color w:val="000000"/>
          <w:szCs w:val="20"/>
          <w:shd w:val="clear" w:color="auto" w:fill="FFFFFF"/>
          <w:lang w:eastAsia="en-US" w:bidi="ar-SA"/>
        </w:rPr>
        <w:fldChar w:fldCharType="end"/>
      </w:r>
    </w:p>
    <w:p w:rsidR="00A9251F" w:rsidRDefault="00A93ACE">
      <w:pPr>
        <w:rPr>
          <w:b/>
          <w:szCs w:val="20"/>
        </w:rPr>
      </w:pPr>
      <w:r>
        <w:rPr>
          <w:b/>
          <w:szCs w:val="20"/>
        </w:rPr>
        <w:lastRenderedPageBreak/>
        <w:t>UZASADNIENIE</w:t>
      </w:r>
    </w:p>
    <w:p w:rsidR="00A9251F" w:rsidRDefault="00A9251F">
      <w:pPr>
        <w:rPr>
          <w:szCs w:val="20"/>
        </w:rPr>
      </w:pPr>
    </w:p>
    <w:p w:rsidR="00A9251F" w:rsidRDefault="00A93ACE">
      <w:pPr>
        <w:ind w:firstLine="567"/>
        <w:jc w:val="both"/>
        <w:rPr>
          <w:szCs w:val="20"/>
        </w:rPr>
      </w:pPr>
      <w:r>
        <w:rPr>
          <w:szCs w:val="20"/>
        </w:rPr>
        <w:t xml:space="preserve">Zgodnie z wymogami art. 53a ustawy </w:t>
      </w:r>
      <w:r>
        <w:rPr>
          <w:color w:val="000000"/>
          <w:szCs w:val="20"/>
          <w:u w:color="000000"/>
        </w:rPr>
        <w:t xml:space="preserve">z dnia 15 kwietnia 2011 r. </w:t>
      </w:r>
      <w:r>
        <w:rPr>
          <w:szCs w:val="20"/>
        </w:rPr>
        <w:t xml:space="preserve">o działalności leczniczej samodzielny publiczny zakład opieki zdrowotnej o nazwie Miejskie Centrum Medyczne „Polesie” w Łodzi przedstawiło w wymaganym terminie raport o sytuacji </w:t>
      </w:r>
      <w:r>
        <w:rPr>
          <w:szCs w:val="20"/>
        </w:rPr>
        <w:t>ekonomiczno-finansowej przygotowany na podstawie sprawozdania finansowego za poprzedni rok obrotowy zawierający w szczególności analizę sytuacji ekonomiczno-finansowej za poprzedni rok obrotowy, tj. 2021, a także prognozę sytuacji ekonomiczno-finansowej na</w:t>
      </w:r>
      <w:r>
        <w:rPr>
          <w:szCs w:val="20"/>
        </w:rPr>
        <w:t xml:space="preserve"> kolejne trzy lata obrotowe wraz z opisem przyjętych założeń oraz informację o istotnych zdarzeniach mających wpływ na sytuację ekonomiczno-finansową samodzielnego publicznego zakładu opieki zdrowotnej.</w:t>
      </w:r>
    </w:p>
    <w:p w:rsidR="00A9251F" w:rsidRDefault="00A93ACE">
      <w:pPr>
        <w:spacing w:before="120" w:after="120"/>
        <w:ind w:firstLine="570"/>
        <w:jc w:val="both"/>
        <w:rPr>
          <w:color w:val="000000"/>
          <w:szCs w:val="20"/>
        </w:rPr>
      </w:pPr>
      <w:r>
        <w:rPr>
          <w:color w:val="000000"/>
          <w:szCs w:val="20"/>
          <w:u w:color="000000"/>
        </w:rPr>
        <w:t xml:space="preserve">Przedmiotowa ocena raportu </w:t>
      </w:r>
      <w:r>
        <w:rPr>
          <w:szCs w:val="20"/>
        </w:rPr>
        <w:t>o sytuacji ekonomiczno-fin</w:t>
      </w:r>
      <w:r>
        <w:rPr>
          <w:szCs w:val="20"/>
        </w:rPr>
        <w:t>ansowej</w:t>
      </w:r>
      <w:r>
        <w:rPr>
          <w:color w:val="000000"/>
          <w:szCs w:val="20"/>
          <w:u w:color="000000"/>
        </w:rPr>
        <w:t xml:space="preserve"> została przygotowana zgodnie z wymogami  ustawy z dnia 15 kwietnia 2011 r. o działalności leczniczej  przez komórkę organizacyjną sprawującą bezpośredni nadzór nad samodzielnymi publicznymi zakładami opieki zdrowotnej dla których podmiotem tworzący</w:t>
      </w:r>
      <w:r>
        <w:rPr>
          <w:color w:val="000000"/>
          <w:szCs w:val="20"/>
          <w:u w:color="000000"/>
        </w:rPr>
        <w:t>m jest Miasto Łódź, tj. Wydział Zdrowia i Spraw Społecznych w Departamencie Zdrowia i Spraw Społecznych Urzędu Miasta Łodzi.</w:t>
      </w:r>
    </w:p>
    <w:p w:rsidR="00A9251F" w:rsidRDefault="00A93ACE">
      <w:pPr>
        <w:ind w:firstLine="567"/>
        <w:jc w:val="both"/>
        <w:rPr>
          <w:szCs w:val="20"/>
        </w:rPr>
      </w:pPr>
      <w:r>
        <w:rPr>
          <w:szCs w:val="20"/>
        </w:rPr>
        <w:t xml:space="preserve">Ocena sytuacji ekonomiczno-finansowej jednostki należy do kompetencji Rady Miejskiej w Łodzi, tj. podmiotu tworzącego dla </w:t>
      </w:r>
      <w:r>
        <w:rPr>
          <w:color w:val="000000"/>
          <w:szCs w:val="20"/>
          <w:u w:color="000000"/>
        </w:rPr>
        <w:t>Miejskieg</w:t>
      </w:r>
      <w:r>
        <w:rPr>
          <w:color w:val="000000"/>
          <w:szCs w:val="20"/>
          <w:u w:color="000000"/>
        </w:rPr>
        <w:t xml:space="preserve">o Centrum Medycznego </w:t>
      </w:r>
      <w:r>
        <w:rPr>
          <w:szCs w:val="20"/>
        </w:rPr>
        <w:t>„Polesie” w Łodzi, co stanowi przedmiot niniejszego projektu uchwały.</w:t>
      </w:r>
    </w:p>
    <w:p w:rsidR="00A9251F" w:rsidRDefault="00A9251F">
      <w:pPr>
        <w:spacing w:before="120" w:after="120"/>
        <w:ind w:left="283" w:firstLine="227"/>
        <w:jc w:val="both"/>
        <w:rPr>
          <w:color w:val="000000"/>
          <w:szCs w:val="20"/>
        </w:rPr>
      </w:pPr>
    </w:p>
    <w:p w:rsidR="00A9251F" w:rsidRDefault="00A9251F">
      <w:pPr>
        <w:spacing w:before="120" w:after="120"/>
        <w:ind w:left="283" w:firstLine="227"/>
        <w:jc w:val="both"/>
        <w:rPr>
          <w:color w:val="000000"/>
          <w:szCs w:val="20"/>
        </w:rPr>
      </w:pPr>
    </w:p>
    <w:p w:rsidR="00A9251F" w:rsidRDefault="00A9251F">
      <w:pPr>
        <w:spacing w:before="120" w:after="120"/>
        <w:ind w:left="283" w:firstLine="227"/>
        <w:jc w:val="both"/>
        <w:rPr>
          <w:color w:val="000000"/>
          <w:szCs w:val="20"/>
          <w:u w:color="000000"/>
        </w:rPr>
      </w:pPr>
    </w:p>
    <w:sectPr w:rsidR="00A9251F" w:rsidSect="00A9251F">
      <w:footerReference w:type="default" r:id="rId9"/>
      <w:endnotePr>
        <w:numFmt w:val="decimal"/>
      </w:endnotePr>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ACE" w:rsidRDefault="00A93ACE" w:rsidP="00A9251F">
      <w:r>
        <w:separator/>
      </w:r>
    </w:p>
  </w:endnote>
  <w:endnote w:type="continuationSeparator" w:id="0">
    <w:p w:rsidR="00A93ACE" w:rsidRDefault="00A93ACE" w:rsidP="00A925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8"/>
      <w:gridCol w:w="3024"/>
    </w:tblGrid>
    <w:tr w:rsidR="00A9251F">
      <w:tc>
        <w:tcPr>
          <w:tcW w:w="6048" w:type="dxa"/>
          <w:tcBorders>
            <w:top w:val="single" w:sz="4" w:space="0" w:color="auto"/>
            <w:left w:val="nil"/>
            <w:bottom w:val="nil"/>
            <w:right w:val="nil"/>
          </w:tcBorders>
          <w:tcMar>
            <w:top w:w="100" w:type="dxa"/>
            <w:left w:w="0" w:type="dxa"/>
            <w:bottom w:w="0" w:type="dxa"/>
            <w:right w:w="0" w:type="dxa"/>
          </w:tcMar>
          <w:hideMark/>
        </w:tcPr>
        <w:p w:rsidR="00A9251F" w:rsidRDefault="00A93ACE">
          <w:pPr>
            <w:jc w:val="left"/>
            <w:rPr>
              <w:sz w:val="18"/>
            </w:rPr>
          </w:pPr>
          <w:r>
            <w:rPr>
              <w:sz w:val="18"/>
            </w:rPr>
            <w:t>Projekt</w:t>
          </w:r>
        </w:p>
      </w:tc>
      <w:tc>
        <w:tcPr>
          <w:tcW w:w="3024" w:type="dxa"/>
          <w:tcBorders>
            <w:top w:val="single" w:sz="4" w:space="0" w:color="auto"/>
            <w:left w:val="nil"/>
            <w:bottom w:val="nil"/>
            <w:right w:val="nil"/>
          </w:tcBorders>
          <w:tcMar>
            <w:top w:w="100" w:type="dxa"/>
            <w:left w:w="0" w:type="dxa"/>
            <w:bottom w:w="0" w:type="dxa"/>
            <w:right w:w="0" w:type="dxa"/>
          </w:tcMar>
          <w:hideMark/>
        </w:tcPr>
        <w:p w:rsidR="00A9251F" w:rsidRDefault="00A93ACE">
          <w:pPr>
            <w:jc w:val="right"/>
            <w:rPr>
              <w:sz w:val="18"/>
            </w:rPr>
          </w:pPr>
          <w:r>
            <w:rPr>
              <w:sz w:val="18"/>
            </w:rPr>
            <w:t xml:space="preserve">Strona </w:t>
          </w:r>
          <w:r w:rsidR="00A9251F">
            <w:rPr>
              <w:sz w:val="18"/>
            </w:rPr>
            <w:fldChar w:fldCharType="begin"/>
          </w:r>
          <w:r>
            <w:rPr>
              <w:sz w:val="18"/>
            </w:rPr>
            <w:instrText>PAGE</w:instrText>
          </w:r>
          <w:r w:rsidR="000E59CE">
            <w:rPr>
              <w:sz w:val="18"/>
            </w:rPr>
            <w:fldChar w:fldCharType="separate"/>
          </w:r>
          <w:r w:rsidR="000E59CE">
            <w:rPr>
              <w:noProof/>
              <w:sz w:val="18"/>
            </w:rPr>
            <w:t>1</w:t>
          </w:r>
          <w:r w:rsidR="00A9251F">
            <w:rPr>
              <w:sz w:val="18"/>
            </w:rPr>
            <w:fldChar w:fldCharType="end"/>
          </w:r>
        </w:p>
      </w:tc>
    </w:tr>
  </w:tbl>
  <w:p w:rsidR="00A9251F" w:rsidRDefault="00A9251F">
    <w:pPr>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7"/>
      <w:gridCol w:w="3023"/>
    </w:tblGrid>
    <w:tr w:rsidR="00A9251F">
      <w:tc>
        <w:tcPr>
          <w:tcW w:w="6047" w:type="dxa"/>
          <w:tcBorders>
            <w:top w:val="single" w:sz="4" w:space="0" w:color="auto"/>
            <w:left w:val="nil"/>
            <w:bottom w:val="nil"/>
            <w:right w:val="nil"/>
          </w:tcBorders>
          <w:tcMar>
            <w:top w:w="100" w:type="dxa"/>
            <w:left w:w="0" w:type="dxa"/>
            <w:bottom w:w="0" w:type="dxa"/>
            <w:right w:w="0" w:type="dxa"/>
          </w:tcMar>
          <w:hideMark/>
        </w:tcPr>
        <w:p w:rsidR="00A9251F" w:rsidRDefault="00A93ACE">
          <w:pPr>
            <w:jc w:val="left"/>
            <w:rPr>
              <w:sz w:val="18"/>
            </w:rPr>
          </w:pPr>
          <w:r>
            <w:rPr>
              <w:sz w:val="18"/>
            </w:rPr>
            <w:t>Projekt</w:t>
          </w:r>
        </w:p>
      </w:tc>
      <w:tc>
        <w:tcPr>
          <w:tcW w:w="3023" w:type="dxa"/>
          <w:tcBorders>
            <w:top w:val="single" w:sz="4" w:space="0" w:color="auto"/>
            <w:left w:val="nil"/>
            <w:bottom w:val="nil"/>
            <w:right w:val="nil"/>
          </w:tcBorders>
          <w:tcMar>
            <w:top w:w="100" w:type="dxa"/>
            <w:left w:w="0" w:type="dxa"/>
            <w:bottom w:w="0" w:type="dxa"/>
            <w:right w:w="0" w:type="dxa"/>
          </w:tcMar>
          <w:hideMark/>
        </w:tcPr>
        <w:p w:rsidR="00A9251F" w:rsidRDefault="00A93ACE">
          <w:pPr>
            <w:jc w:val="right"/>
            <w:rPr>
              <w:sz w:val="18"/>
            </w:rPr>
          </w:pPr>
          <w:r>
            <w:rPr>
              <w:sz w:val="18"/>
            </w:rPr>
            <w:t xml:space="preserve">Strona </w:t>
          </w:r>
          <w:r w:rsidR="00A9251F">
            <w:rPr>
              <w:sz w:val="18"/>
            </w:rPr>
            <w:fldChar w:fldCharType="begin"/>
          </w:r>
          <w:r>
            <w:rPr>
              <w:sz w:val="18"/>
            </w:rPr>
            <w:instrText>PAGE</w:instrText>
          </w:r>
          <w:r w:rsidR="000E59CE">
            <w:rPr>
              <w:sz w:val="18"/>
            </w:rPr>
            <w:fldChar w:fldCharType="separate"/>
          </w:r>
          <w:r w:rsidR="000E59CE">
            <w:rPr>
              <w:noProof/>
              <w:sz w:val="18"/>
            </w:rPr>
            <w:t>9</w:t>
          </w:r>
          <w:r w:rsidR="00A9251F">
            <w:rPr>
              <w:sz w:val="18"/>
            </w:rPr>
            <w:fldChar w:fldCharType="end"/>
          </w:r>
        </w:p>
      </w:tc>
    </w:tr>
  </w:tbl>
  <w:p w:rsidR="00A9251F" w:rsidRDefault="00A9251F">
    <w:pPr>
      <w:rPr>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8"/>
      <w:gridCol w:w="3024"/>
    </w:tblGrid>
    <w:tr w:rsidR="00A9251F">
      <w:tc>
        <w:tcPr>
          <w:tcW w:w="6048" w:type="dxa"/>
          <w:tcBorders>
            <w:top w:val="single" w:sz="4" w:space="0" w:color="auto"/>
            <w:left w:val="nil"/>
            <w:bottom w:val="nil"/>
            <w:right w:val="nil"/>
          </w:tcBorders>
          <w:tcMar>
            <w:top w:w="100" w:type="dxa"/>
            <w:left w:w="0" w:type="dxa"/>
            <w:bottom w:w="0" w:type="dxa"/>
            <w:right w:w="0" w:type="dxa"/>
          </w:tcMar>
          <w:hideMark/>
        </w:tcPr>
        <w:p w:rsidR="00A9251F" w:rsidRDefault="00A93ACE">
          <w:pPr>
            <w:jc w:val="left"/>
            <w:rPr>
              <w:sz w:val="18"/>
            </w:rPr>
          </w:pPr>
          <w:r>
            <w:rPr>
              <w:sz w:val="18"/>
            </w:rPr>
            <w:t>Projekt</w:t>
          </w:r>
        </w:p>
      </w:tc>
      <w:tc>
        <w:tcPr>
          <w:tcW w:w="3024" w:type="dxa"/>
          <w:tcBorders>
            <w:top w:val="single" w:sz="4" w:space="0" w:color="auto"/>
            <w:left w:val="nil"/>
            <w:bottom w:val="nil"/>
            <w:right w:val="nil"/>
          </w:tcBorders>
          <w:tcMar>
            <w:top w:w="100" w:type="dxa"/>
            <w:left w:w="0" w:type="dxa"/>
            <w:bottom w:w="0" w:type="dxa"/>
            <w:right w:w="0" w:type="dxa"/>
          </w:tcMar>
          <w:hideMark/>
        </w:tcPr>
        <w:p w:rsidR="00A9251F" w:rsidRDefault="00A93ACE">
          <w:pPr>
            <w:jc w:val="right"/>
            <w:rPr>
              <w:sz w:val="18"/>
            </w:rPr>
          </w:pPr>
          <w:r>
            <w:rPr>
              <w:sz w:val="18"/>
            </w:rPr>
            <w:t xml:space="preserve">Strona </w:t>
          </w:r>
          <w:r w:rsidR="00A9251F">
            <w:rPr>
              <w:sz w:val="18"/>
            </w:rPr>
            <w:fldChar w:fldCharType="begin"/>
          </w:r>
          <w:r>
            <w:rPr>
              <w:sz w:val="18"/>
            </w:rPr>
            <w:instrText>PAGE</w:instrText>
          </w:r>
          <w:r w:rsidR="000E59CE">
            <w:rPr>
              <w:sz w:val="18"/>
            </w:rPr>
            <w:fldChar w:fldCharType="separate"/>
          </w:r>
          <w:r w:rsidR="000E59CE">
            <w:rPr>
              <w:noProof/>
              <w:sz w:val="18"/>
            </w:rPr>
            <w:t>10</w:t>
          </w:r>
          <w:r w:rsidR="00A9251F">
            <w:rPr>
              <w:sz w:val="18"/>
            </w:rPr>
            <w:fldChar w:fldCharType="end"/>
          </w:r>
        </w:p>
      </w:tc>
    </w:tr>
  </w:tbl>
  <w:p w:rsidR="00A9251F" w:rsidRDefault="00A9251F">
    <w:pP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ACE" w:rsidRDefault="00A93ACE" w:rsidP="00A9251F">
      <w:r>
        <w:separator/>
      </w:r>
    </w:p>
  </w:footnote>
  <w:footnote w:type="continuationSeparator" w:id="0">
    <w:p w:rsidR="00A93ACE" w:rsidRDefault="00A93ACE" w:rsidP="00A925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D46C8"/>
    <w:multiLevelType w:val="hybridMultilevel"/>
    <w:tmpl w:val="00000000"/>
    <w:lvl w:ilvl="0" w:tplc="4D040A0A">
      <w:start w:val="1"/>
      <w:numFmt w:val="decimal"/>
      <w:lvlText w:val="%1."/>
      <w:lvlJc w:val="left"/>
      <w:pPr>
        <w:ind w:left="720" w:hanging="360"/>
      </w:pPr>
      <w:rPr>
        <w:i w:val="0"/>
      </w:rPr>
    </w:lvl>
    <w:lvl w:ilvl="1" w:tplc="729EB452">
      <w:start w:val="1"/>
      <w:numFmt w:val="lowerLetter"/>
      <w:lvlText w:val="%2."/>
      <w:lvlJc w:val="left"/>
      <w:pPr>
        <w:ind w:left="1440" w:hanging="360"/>
      </w:pPr>
    </w:lvl>
    <w:lvl w:ilvl="2" w:tplc="28EE9762">
      <w:start w:val="1"/>
      <w:numFmt w:val="lowerRoman"/>
      <w:lvlText w:val="%3."/>
      <w:lvlJc w:val="right"/>
      <w:pPr>
        <w:ind w:left="2160" w:hanging="180"/>
      </w:pPr>
    </w:lvl>
    <w:lvl w:ilvl="3" w:tplc="2F18FDC8">
      <w:start w:val="1"/>
      <w:numFmt w:val="decimal"/>
      <w:lvlText w:val="%4."/>
      <w:lvlJc w:val="left"/>
      <w:pPr>
        <w:ind w:left="2880" w:hanging="360"/>
      </w:pPr>
    </w:lvl>
    <w:lvl w:ilvl="4" w:tplc="AB0C61B0">
      <w:start w:val="1"/>
      <w:numFmt w:val="lowerLetter"/>
      <w:lvlText w:val="%5."/>
      <w:lvlJc w:val="left"/>
      <w:pPr>
        <w:ind w:left="3600" w:hanging="360"/>
      </w:pPr>
    </w:lvl>
    <w:lvl w:ilvl="5" w:tplc="1E1C9C42">
      <w:start w:val="1"/>
      <w:numFmt w:val="lowerRoman"/>
      <w:lvlText w:val="%6."/>
      <w:lvlJc w:val="right"/>
      <w:pPr>
        <w:ind w:left="4320" w:hanging="180"/>
      </w:pPr>
    </w:lvl>
    <w:lvl w:ilvl="6" w:tplc="0AB4F2C4">
      <w:start w:val="1"/>
      <w:numFmt w:val="decimal"/>
      <w:lvlText w:val="%7."/>
      <w:lvlJc w:val="left"/>
      <w:pPr>
        <w:ind w:left="5040" w:hanging="360"/>
      </w:pPr>
    </w:lvl>
    <w:lvl w:ilvl="7" w:tplc="F9C497C2">
      <w:start w:val="1"/>
      <w:numFmt w:val="lowerLetter"/>
      <w:lvlText w:val="%8."/>
      <w:lvlJc w:val="left"/>
      <w:pPr>
        <w:ind w:left="5760" w:hanging="360"/>
      </w:pPr>
    </w:lvl>
    <w:lvl w:ilvl="8" w:tplc="766813A6">
      <w:start w:val="1"/>
      <w:numFmt w:val="lowerRoman"/>
      <w:lvlText w:val="%9."/>
      <w:lvlJc w:val="right"/>
      <w:pPr>
        <w:ind w:left="6480" w:hanging="180"/>
      </w:pPr>
    </w:lvl>
  </w:abstractNum>
  <w:abstractNum w:abstractNumId="1">
    <w:nsid w:val="5330146D"/>
    <w:multiLevelType w:val="hybridMultilevel"/>
    <w:tmpl w:val="00000000"/>
    <w:lvl w:ilvl="0" w:tplc="505EB418">
      <w:start w:val="1"/>
      <w:numFmt w:val="upperRoman"/>
      <w:lvlText w:val="%1."/>
      <w:lvlJc w:val="left"/>
      <w:pPr>
        <w:ind w:left="720" w:hanging="720"/>
      </w:pPr>
    </w:lvl>
    <w:lvl w:ilvl="1" w:tplc="A440B556">
      <w:start w:val="1"/>
      <w:numFmt w:val="lowerLetter"/>
      <w:lvlText w:val="%2."/>
      <w:lvlJc w:val="left"/>
      <w:pPr>
        <w:ind w:left="1440" w:hanging="360"/>
      </w:pPr>
    </w:lvl>
    <w:lvl w:ilvl="2" w:tplc="3A0C5860">
      <w:start w:val="1"/>
      <w:numFmt w:val="lowerRoman"/>
      <w:lvlText w:val="%3."/>
      <w:lvlJc w:val="right"/>
      <w:pPr>
        <w:ind w:left="2160" w:hanging="180"/>
      </w:pPr>
    </w:lvl>
    <w:lvl w:ilvl="3" w:tplc="C242E4C6">
      <w:start w:val="1"/>
      <w:numFmt w:val="decimal"/>
      <w:lvlText w:val="%4."/>
      <w:lvlJc w:val="left"/>
      <w:pPr>
        <w:ind w:left="2880" w:hanging="360"/>
      </w:pPr>
    </w:lvl>
    <w:lvl w:ilvl="4" w:tplc="0060C014">
      <w:start w:val="1"/>
      <w:numFmt w:val="lowerLetter"/>
      <w:lvlText w:val="%5."/>
      <w:lvlJc w:val="left"/>
      <w:pPr>
        <w:ind w:left="3600" w:hanging="360"/>
      </w:pPr>
    </w:lvl>
    <w:lvl w:ilvl="5" w:tplc="74DEF60E">
      <w:start w:val="1"/>
      <w:numFmt w:val="lowerRoman"/>
      <w:lvlText w:val="%6."/>
      <w:lvlJc w:val="right"/>
      <w:pPr>
        <w:ind w:left="4320" w:hanging="180"/>
      </w:pPr>
    </w:lvl>
    <w:lvl w:ilvl="6" w:tplc="008A09D6">
      <w:start w:val="1"/>
      <w:numFmt w:val="decimal"/>
      <w:lvlText w:val="%7."/>
      <w:lvlJc w:val="left"/>
      <w:pPr>
        <w:ind w:left="5040" w:hanging="360"/>
      </w:pPr>
    </w:lvl>
    <w:lvl w:ilvl="7" w:tplc="B30A0C60">
      <w:start w:val="1"/>
      <w:numFmt w:val="lowerLetter"/>
      <w:lvlText w:val="%8."/>
      <w:lvlJc w:val="left"/>
      <w:pPr>
        <w:ind w:left="5760" w:hanging="360"/>
      </w:pPr>
    </w:lvl>
    <w:lvl w:ilvl="8" w:tplc="23E0A2BC">
      <w:start w:val="1"/>
      <w:numFmt w:val="lowerRoman"/>
      <w:lvlText w:val="%9."/>
      <w:lvlJc w:val="right"/>
      <w:pPr>
        <w:ind w:left="6480" w:hanging="180"/>
      </w:pPr>
    </w:lvl>
  </w:abstractNum>
  <w:abstractNum w:abstractNumId="2">
    <w:nsid w:val="54ED2203"/>
    <w:multiLevelType w:val="hybridMultilevel"/>
    <w:tmpl w:val="00000000"/>
    <w:lvl w:ilvl="0" w:tplc="F656D6C8">
      <w:start w:val="1"/>
      <w:numFmt w:val="lowerLetter"/>
      <w:lvlText w:val="%1)"/>
      <w:lvlJc w:val="left"/>
      <w:pPr>
        <w:ind w:left="360" w:hanging="360"/>
      </w:pPr>
      <w:rPr>
        <w:color w:val="000000"/>
      </w:rPr>
    </w:lvl>
    <w:lvl w:ilvl="1" w:tplc="77B6F8B6">
      <w:start w:val="1"/>
      <w:numFmt w:val="lowerLetter"/>
      <w:lvlText w:val="%2."/>
      <w:lvlJc w:val="left"/>
      <w:pPr>
        <w:ind w:left="1080" w:hanging="360"/>
      </w:pPr>
      <w:rPr>
        <w:color w:val="000000"/>
      </w:rPr>
    </w:lvl>
    <w:lvl w:ilvl="2" w:tplc="0DFA8128">
      <w:start w:val="1"/>
      <w:numFmt w:val="lowerRoman"/>
      <w:lvlText w:val="%3."/>
      <w:lvlJc w:val="right"/>
      <w:pPr>
        <w:ind w:left="1800" w:hanging="180"/>
      </w:pPr>
      <w:rPr>
        <w:color w:val="000000"/>
      </w:rPr>
    </w:lvl>
    <w:lvl w:ilvl="3" w:tplc="83D63CC0">
      <w:start w:val="1"/>
      <w:numFmt w:val="decimal"/>
      <w:lvlText w:val="%4."/>
      <w:lvlJc w:val="left"/>
      <w:pPr>
        <w:ind w:left="2520" w:hanging="360"/>
      </w:pPr>
      <w:rPr>
        <w:color w:val="000000"/>
      </w:rPr>
    </w:lvl>
    <w:lvl w:ilvl="4" w:tplc="F030E39E">
      <w:start w:val="1"/>
      <w:numFmt w:val="lowerLetter"/>
      <w:lvlText w:val="%5."/>
      <w:lvlJc w:val="left"/>
      <w:pPr>
        <w:ind w:left="3240" w:hanging="360"/>
      </w:pPr>
      <w:rPr>
        <w:color w:val="000000"/>
      </w:rPr>
    </w:lvl>
    <w:lvl w:ilvl="5" w:tplc="A4583082">
      <w:start w:val="1"/>
      <w:numFmt w:val="lowerRoman"/>
      <w:lvlText w:val="%6."/>
      <w:lvlJc w:val="right"/>
      <w:pPr>
        <w:ind w:left="3960" w:hanging="180"/>
      </w:pPr>
      <w:rPr>
        <w:color w:val="000000"/>
      </w:rPr>
    </w:lvl>
    <w:lvl w:ilvl="6" w:tplc="36DE5D40">
      <w:start w:val="1"/>
      <w:numFmt w:val="decimal"/>
      <w:lvlText w:val="%7."/>
      <w:lvlJc w:val="left"/>
      <w:pPr>
        <w:ind w:left="4680" w:hanging="360"/>
      </w:pPr>
      <w:rPr>
        <w:color w:val="000000"/>
      </w:rPr>
    </w:lvl>
    <w:lvl w:ilvl="7" w:tplc="C682FF6A">
      <w:start w:val="1"/>
      <w:numFmt w:val="lowerLetter"/>
      <w:lvlText w:val="%8."/>
      <w:lvlJc w:val="left"/>
      <w:pPr>
        <w:ind w:left="5400" w:hanging="360"/>
      </w:pPr>
      <w:rPr>
        <w:color w:val="000000"/>
      </w:rPr>
    </w:lvl>
    <w:lvl w:ilvl="8" w:tplc="1EAAB21A">
      <w:start w:val="1"/>
      <w:numFmt w:val="lowerRoman"/>
      <w:lvlText w:val="%9."/>
      <w:lvlJc w:val="right"/>
      <w:pPr>
        <w:ind w:left="6120" w:hanging="180"/>
      </w:pPr>
      <w:rPr>
        <w:color w:val="000000"/>
      </w:rPr>
    </w:lvl>
  </w:abstractNum>
  <w:abstractNum w:abstractNumId="3">
    <w:nsid w:val="62D26EE5"/>
    <w:multiLevelType w:val="hybridMultilevel"/>
    <w:tmpl w:val="00000000"/>
    <w:lvl w:ilvl="0" w:tplc="03BCB0D8">
      <w:start w:val="1"/>
      <w:numFmt w:val="decimal"/>
      <w:lvlText w:val="%1)"/>
      <w:lvlJc w:val="left"/>
      <w:pPr>
        <w:ind w:left="360" w:hanging="360"/>
      </w:pPr>
    </w:lvl>
    <w:lvl w:ilvl="1" w:tplc="0464D45A">
      <w:start w:val="1"/>
      <w:numFmt w:val="lowerLetter"/>
      <w:lvlText w:val="%2."/>
      <w:lvlJc w:val="left"/>
      <w:pPr>
        <w:ind w:left="1080" w:hanging="360"/>
      </w:pPr>
    </w:lvl>
    <w:lvl w:ilvl="2" w:tplc="2C946E46">
      <w:start w:val="1"/>
      <w:numFmt w:val="lowerRoman"/>
      <w:lvlText w:val="%3."/>
      <w:lvlJc w:val="right"/>
      <w:pPr>
        <w:ind w:left="1800" w:hanging="180"/>
      </w:pPr>
    </w:lvl>
    <w:lvl w:ilvl="3" w:tplc="F8068990">
      <w:start w:val="1"/>
      <w:numFmt w:val="decimal"/>
      <w:lvlText w:val="%4."/>
      <w:lvlJc w:val="left"/>
      <w:pPr>
        <w:ind w:left="2520" w:hanging="360"/>
      </w:pPr>
    </w:lvl>
    <w:lvl w:ilvl="4" w:tplc="EEE09D6E">
      <w:start w:val="1"/>
      <w:numFmt w:val="lowerLetter"/>
      <w:lvlText w:val="%5."/>
      <w:lvlJc w:val="left"/>
      <w:pPr>
        <w:ind w:left="3240" w:hanging="360"/>
      </w:pPr>
    </w:lvl>
    <w:lvl w:ilvl="5" w:tplc="F5F0A082">
      <w:start w:val="1"/>
      <w:numFmt w:val="lowerRoman"/>
      <w:lvlText w:val="%6."/>
      <w:lvlJc w:val="right"/>
      <w:pPr>
        <w:ind w:left="3960" w:hanging="180"/>
      </w:pPr>
    </w:lvl>
    <w:lvl w:ilvl="6" w:tplc="19A6565E">
      <w:start w:val="1"/>
      <w:numFmt w:val="decimal"/>
      <w:lvlText w:val="%7."/>
      <w:lvlJc w:val="left"/>
      <w:pPr>
        <w:ind w:left="4680" w:hanging="360"/>
      </w:pPr>
    </w:lvl>
    <w:lvl w:ilvl="7" w:tplc="B8DEC148">
      <w:start w:val="1"/>
      <w:numFmt w:val="lowerLetter"/>
      <w:lvlText w:val="%8."/>
      <w:lvlJc w:val="left"/>
      <w:pPr>
        <w:ind w:left="5400" w:hanging="360"/>
      </w:pPr>
    </w:lvl>
    <w:lvl w:ilvl="8" w:tplc="85C4203C">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E59CE"/>
    <w:rsid w:val="00A77B3E"/>
    <w:rsid w:val="00A9251F"/>
    <w:rsid w:val="00A93ACE"/>
    <w:rsid w:val="00CA2A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9251F"/>
    <w:pPr>
      <w:jc w:val="center"/>
    </w:pPr>
    <w:rPr>
      <w:sz w:val="24"/>
      <w:szCs w:val="24"/>
    </w:rPr>
  </w:style>
  <w:style w:type="paragraph" w:styleId="Nagwek1">
    <w:name w:val="heading 1"/>
    <w:basedOn w:val="Normalny"/>
    <w:next w:val="Normalny"/>
    <w:rsid w:val="00A9251F"/>
    <w:pPr>
      <w:keepNext/>
      <w:spacing w:before="240" w:after="60"/>
      <w:jc w:val="left"/>
      <w:outlineLvl w:val="0"/>
    </w:pPr>
    <w:rPr>
      <w:b/>
      <w:szCs w:val="20"/>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A9251F"/>
    <w:pPr>
      <w:tabs>
        <w:tab w:val="center" w:pos="4536"/>
        <w:tab w:val="right" w:pos="9072"/>
      </w:tabs>
      <w:jc w:val="left"/>
    </w:pPr>
    <w:rPr>
      <w:szCs w:val="20"/>
      <w:lang w:eastAsia="en-US" w:bidi="ar-SA"/>
    </w:rPr>
  </w:style>
  <w:style w:type="character" w:styleId="Numerstrony">
    <w:name w:val="page number"/>
    <w:basedOn w:val="Domylnaczcionkaakapitu"/>
    <w:rsid w:val="00A9251F"/>
    <w:rPr>
      <w:rFonts w:ascii="Times New Roman" w:hAnsi="Times New Roman"/>
      <w:color w:val="auto"/>
      <w:sz w:val="24"/>
      <w:shd w:val="clear" w:color="auto" w:fill="auto"/>
      <w:lang/>
    </w:rPr>
  </w:style>
  <w:style w:type="paragraph" w:styleId="Akapitzlist">
    <w:name w:val="List Paragraph"/>
    <w:basedOn w:val="Normalny"/>
    <w:rsid w:val="00A9251F"/>
    <w:pPr>
      <w:spacing w:after="160" w:line="259" w:lineRule="auto"/>
      <w:ind w:left="720"/>
      <w:contextualSpacing/>
      <w:jc w:val="left"/>
    </w:pPr>
    <w:rPr>
      <w:rFonts w:ascii="Calibri" w:hAnsi="Calibri"/>
      <w:sz w:val="22"/>
      <w:szCs w:val="20"/>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3205</Words>
  <Characters>19233</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
    </vt:vector>
  </TitlesOfParts>
  <Company>Rada Miejska w Łodzi</Company>
  <LinksUpToDate>false</LinksUpToDate>
  <CharactersWithSpaces>22394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oceny sytuacji ekonomiczno-finansowej
samodzielnego publicznego zakładu opieki zdrowotnej o^nazwie Miejskie Centrum Medyczne „Polesie” w^Łodzi, na podstawie raportu o^sytuacji 
ekonomiczno-finansowej za rok 2021.</dc:subject>
  <dc:creator>elukowicz</dc:creator>
  <cp:lastModifiedBy>sstanczyk</cp:lastModifiedBy>
  <cp:revision>2</cp:revision>
  <dcterms:created xsi:type="dcterms:W3CDTF">2022-12-05T12:33:00Z</dcterms:created>
  <dcterms:modified xsi:type="dcterms:W3CDTF">2022-12-05T12:25:00Z</dcterms:modified>
  <cp:category>Akt prawny</cp:category>
</cp:coreProperties>
</file>