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8E398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8B4FFA" w:rsidP="00260AB2">
            <w:pPr>
              <w:ind w:left="6236" w:hanging="282"/>
              <w:jc w:val="left"/>
            </w:pPr>
            <w:r>
              <w:t>Druk Nr</w:t>
            </w:r>
            <w:r w:rsidR="00260AB2">
              <w:t xml:space="preserve"> 293/2022</w:t>
            </w:r>
          </w:p>
          <w:p w:rsidR="00A77B3E" w:rsidRDefault="008B4FFA" w:rsidP="00260AB2">
            <w:pPr>
              <w:ind w:left="6236" w:hanging="282"/>
              <w:jc w:val="left"/>
            </w:pPr>
            <w:r>
              <w:t>Projekt z dnia</w:t>
            </w:r>
            <w:r w:rsidR="00260AB2">
              <w:t xml:space="preserve"> 5 grudnia 2022 r.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8B4FFA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8B4FFA">
      <w:pPr>
        <w:spacing w:after="240"/>
        <w:rPr>
          <w:b/>
          <w:caps/>
        </w:rPr>
      </w:pPr>
      <w:r>
        <w:rPr>
          <w:b/>
        </w:rPr>
        <w:t>z dnia                      2022 r.</w:t>
      </w:r>
    </w:p>
    <w:p w:rsidR="00A77B3E" w:rsidRDefault="008B4FFA">
      <w:pPr>
        <w:keepNext/>
        <w:spacing w:after="240"/>
      </w:pPr>
      <w:r>
        <w:rPr>
          <w:b/>
        </w:rPr>
        <w:t>w sprawie oceny sytuacji ekonomiczno-finansowej</w:t>
      </w:r>
      <w:r>
        <w:rPr>
          <w:b/>
        </w:rPr>
        <w:br/>
        <w:t xml:space="preserve">samodzielnego publicznego zakładu opieki zdrowotnej o nazwie Miejskie Centrum Medyczne  </w:t>
      </w:r>
      <w:r>
        <w:rPr>
          <w:b/>
        </w:rPr>
        <w:t xml:space="preserve">im. </w:t>
      </w:r>
      <w:proofErr w:type="spellStart"/>
      <w:r>
        <w:rPr>
          <w:b/>
        </w:rPr>
        <w:t>dr</w:t>
      </w:r>
      <w:proofErr w:type="spellEnd"/>
      <w:r>
        <w:rPr>
          <w:b/>
        </w:rPr>
        <w:t xml:space="preserve">. Karola </w:t>
      </w:r>
      <w:proofErr w:type="spellStart"/>
      <w:r>
        <w:rPr>
          <w:b/>
        </w:rPr>
        <w:t>Jonschera</w:t>
      </w:r>
      <w:proofErr w:type="spellEnd"/>
      <w:r>
        <w:rPr>
          <w:b/>
        </w:rPr>
        <w:t xml:space="preserve"> w Łodzi, na podstawie raportu o sytuacji ekonomiczno-finansowej za rok 2021.</w:t>
      </w:r>
    </w:p>
    <w:p w:rsidR="00A77B3E" w:rsidRDefault="008B4FFA">
      <w:pPr>
        <w:keepLines/>
        <w:spacing w:before="120" w:after="120"/>
        <w:ind w:firstLine="567"/>
        <w:jc w:val="both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samorządzie gminnym (Dz. U. z 2022 r. poz. 559, 583, 1005, 1079 i 1561) oraz art. 53a u</w:t>
      </w:r>
      <w:r>
        <w:t>st. 4 ustawy z dnia 15 kwietnia 2011 r. o działalności leczniczej (Dz. U. z 2022 r. poz. 633, 655, 974 i 1079), Rada Miejska w Łodzi</w:t>
      </w:r>
    </w:p>
    <w:p w:rsidR="00A77B3E" w:rsidRDefault="008B4FFA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8B4FFA">
      <w:pPr>
        <w:keepLines/>
        <w:spacing w:before="240" w:after="120"/>
        <w:ind w:firstLine="567"/>
        <w:jc w:val="both"/>
      </w:pPr>
      <w:r>
        <w:t>§ 1. </w:t>
      </w:r>
      <w:r>
        <w:t>Dokonuje się oceny sytuacji ekonomiczno-finansowej samodzielnego publicznego zakładu opieki zdr</w:t>
      </w:r>
      <w:r>
        <w:t xml:space="preserve">owotnej o nazwie Miejskie Centrum Medyczne im. </w:t>
      </w:r>
      <w:proofErr w:type="spellStart"/>
      <w:r>
        <w:t>dr</w:t>
      </w:r>
      <w:proofErr w:type="spellEnd"/>
      <w:r>
        <w:t xml:space="preserve">. Karola </w:t>
      </w:r>
      <w:proofErr w:type="spellStart"/>
      <w:r>
        <w:t>Jonschera</w:t>
      </w:r>
      <w:proofErr w:type="spellEnd"/>
      <w:r>
        <w:br/>
        <w:t>w Łodzi, na podstawie raportu o sytuacji ekonomiczno-finansowej sporządzonego za rok 2021, w brzmieniu stanowiącym załącznik do uchwały.</w:t>
      </w:r>
    </w:p>
    <w:p w:rsidR="00A77B3E" w:rsidRDefault="008B4FFA">
      <w:pPr>
        <w:keepLines/>
        <w:spacing w:before="240" w:after="120"/>
        <w:ind w:firstLine="567"/>
        <w:jc w:val="both"/>
      </w:pPr>
      <w:r>
        <w:t>§ 2. </w:t>
      </w:r>
      <w:r>
        <w:t xml:space="preserve">Wykonanie uchwały powierza się Prezydentowi </w:t>
      </w:r>
      <w:r>
        <w:t>Miasta Łodzi.</w:t>
      </w:r>
    </w:p>
    <w:p w:rsidR="00A77B3E" w:rsidRDefault="008B4FFA">
      <w:pPr>
        <w:keepNext/>
        <w:keepLines/>
        <w:spacing w:before="240" w:after="120"/>
        <w:ind w:firstLine="567"/>
        <w:jc w:val="both"/>
      </w:pPr>
      <w:r>
        <w:t>§ 3. </w:t>
      </w:r>
      <w: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8E398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8C" w:rsidRDefault="008E398C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8C" w:rsidRDefault="008B4FFA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 Miejskiej 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proofErr w:type="spellStart"/>
            <w:r>
              <w:rPr>
                <w:b/>
              </w:rPr>
              <w:t>Marcin^GOŁASZEWSKI</w:t>
            </w:r>
            <w:proofErr w:type="spellEnd"/>
          </w:p>
        </w:tc>
      </w:tr>
    </w:tbl>
    <w:p w:rsidR="00A77B3E" w:rsidRDefault="008B4FFA">
      <w:pPr>
        <w:spacing w:before="120" w:after="120"/>
        <w:ind w:left="283" w:firstLine="227"/>
        <w:jc w:val="both"/>
      </w:pPr>
      <w:r>
        <w:t>Projektodawcą jest</w:t>
      </w:r>
    </w:p>
    <w:p w:rsidR="00A77B3E" w:rsidRDefault="008B4FFA">
      <w:pPr>
        <w:spacing w:before="120" w:after="120"/>
        <w:ind w:left="283" w:firstLine="227"/>
        <w:jc w:val="both"/>
      </w:pPr>
      <w:r>
        <w:t>Prezydent Miasta Łodzi</w:t>
      </w:r>
    </w:p>
    <w:p w:rsidR="00A77B3E" w:rsidRDefault="00A77B3E">
      <w:pPr>
        <w:spacing w:before="120" w:after="120"/>
        <w:ind w:left="283" w:firstLine="227"/>
        <w:jc w:val="both"/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E398C" w:rsidRDefault="008B4FFA">
      <w:pPr>
        <w:keepNext/>
        <w:ind w:left="5565" w:right="510" w:firstLine="135"/>
        <w:jc w:val="left"/>
        <w:outlineLvl w:val="0"/>
        <w:rPr>
          <w:szCs w:val="20"/>
          <w:lang w:eastAsia="en-US" w:bidi="ar-SA"/>
        </w:rPr>
      </w:pPr>
      <w:r>
        <w:rPr>
          <w:szCs w:val="20"/>
          <w:lang w:eastAsia="en-US" w:bidi="ar-SA"/>
        </w:rPr>
        <w:lastRenderedPageBreak/>
        <w:t>Załącznik</w:t>
      </w:r>
    </w:p>
    <w:p w:rsidR="008E398C" w:rsidRDefault="008B4FFA">
      <w:pPr>
        <w:keepNext/>
        <w:ind w:left="5565" w:right="510" w:firstLine="135"/>
        <w:jc w:val="left"/>
        <w:outlineLvl w:val="0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do uchwały Nr </w:t>
      </w:r>
    </w:p>
    <w:p w:rsidR="008E398C" w:rsidRDefault="008B4FFA">
      <w:pPr>
        <w:keepNext/>
        <w:ind w:left="5565" w:right="510" w:firstLine="135"/>
        <w:jc w:val="left"/>
        <w:outlineLvl w:val="0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Rady Miejskiej w Łodzi</w:t>
      </w:r>
    </w:p>
    <w:p w:rsidR="008E398C" w:rsidRDefault="008B4FFA">
      <w:pPr>
        <w:keepNext/>
        <w:ind w:left="5565" w:right="510" w:firstLine="135"/>
        <w:jc w:val="left"/>
        <w:outlineLvl w:val="0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z dnia </w:t>
      </w:r>
    </w:p>
    <w:p w:rsidR="008E398C" w:rsidRDefault="008E398C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8E398C" w:rsidRDefault="008E398C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8E398C" w:rsidRDefault="008B4FFA">
      <w:pPr>
        <w:keepNext/>
        <w:spacing w:before="240" w:after="60"/>
        <w:outlineLvl w:val="0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 xml:space="preserve">Ocena sytuacji ekonomiczno-finansowej </w:t>
      </w:r>
      <w:r>
        <w:rPr>
          <w:b/>
          <w:szCs w:val="20"/>
          <w:lang w:eastAsia="en-US" w:bidi="ar-SA"/>
        </w:rPr>
        <w:br/>
        <w:t xml:space="preserve">Miejskiego Centrum Medycznego im. </w:t>
      </w:r>
      <w:proofErr w:type="spellStart"/>
      <w:r>
        <w:rPr>
          <w:b/>
          <w:szCs w:val="20"/>
          <w:lang w:eastAsia="en-US" w:bidi="ar-SA"/>
        </w:rPr>
        <w:t>dr</w:t>
      </w:r>
      <w:proofErr w:type="spellEnd"/>
      <w:r>
        <w:rPr>
          <w:b/>
          <w:szCs w:val="20"/>
        </w:rPr>
        <w:t>.</w:t>
      </w:r>
      <w:r>
        <w:rPr>
          <w:b/>
          <w:szCs w:val="20"/>
          <w:lang w:eastAsia="en-US" w:bidi="ar-SA"/>
        </w:rPr>
        <w:t xml:space="preserve"> Karola </w:t>
      </w:r>
      <w:proofErr w:type="spellStart"/>
      <w:r>
        <w:rPr>
          <w:b/>
          <w:szCs w:val="20"/>
          <w:lang w:eastAsia="en-US" w:bidi="ar-SA"/>
        </w:rPr>
        <w:t>Jonschera</w:t>
      </w:r>
      <w:proofErr w:type="spellEnd"/>
      <w:r>
        <w:rPr>
          <w:b/>
          <w:szCs w:val="20"/>
          <w:lang w:eastAsia="en-US" w:bidi="ar-SA"/>
        </w:rPr>
        <w:t xml:space="preserve"> w Łodzi </w:t>
      </w:r>
      <w:r>
        <w:rPr>
          <w:b/>
          <w:szCs w:val="20"/>
          <w:lang w:eastAsia="en-US" w:bidi="ar-SA"/>
        </w:rPr>
        <w:br/>
        <w:t>na podstawie raportu o sytuacji ekonomiczno-finansowej za rok 2021.</w:t>
      </w:r>
    </w:p>
    <w:p w:rsidR="008E398C" w:rsidRDefault="008B4FFA">
      <w:pPr>
        <w:tabs>
          <w:tab w:val="left" w:pos="284"/>
          <w:tab w:val="left" w:pos="360"/>
        </w:tabs>
        <w:spacing w:before="24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ab/>
      </w:r>
      <w:r>
        <w:rPr>
          <w:color w:val="000000"/>
          <w:szCs w:val="20"/>
          <w:shd w:val="clear" w:color="auto" w:fill="FFFFFF"/>
          <w:lang w:eastAsia="en-US" w:bidi="ar-SA"/>
        </w:rPr>
        <w:tab/>
        <w:t xml:space="preserve">Miejskie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Centrum Medyczne im.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dr</w:t>
      </w:r>
      <w:proofErr w:type="spellEnd"/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Karola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Jonschera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w Łodzi przedstawiło </w:t>
      </w:r>
      <w:r>
        <w:rPr>
          <w:color w:val="000000"/>
          <w:szCs w:val="20"/>
          <w:shd w:val="clear" w:color="auto" w:fill="FFFFFF"/>
          <w:lang w:eastAsia="en-US" w:bidi="ar-SA"/>
        </w:rPr>
        <w:br/>
        <w:t xml:space="preserve">raport prezentujący sytuację ekonomiczno-finansową jednostki w roku obrotowym 2021 </w:t>
      </w:r>
      <w:r>
        <w:rPr>
          <w:color w:val="000000"/>
          <w:szCs w:val="20"/>
          <w:shd w:val="clear" w:color="auto" w:fill="FFFFFF"/>
          <w:lang w:eastAsia="en-US" w:bidi="ar-SA"/>
        </w:rPr>
        <w:br/>
        <w:t xml:space="preserve">oraz prognozę ekonomiczno-finansową na lata 2022-2024. Sporządzono go na podstawie rozporządzenia Ministra </w:t>
      </w:r>
      <w:r>
        <w:rPr>
          <w:color w:val="000000"/>
          <w:szCs w:val="20"/>
          <w:shd w:val="clear" w:color="auto" w:fill="FFFFFF"/>
          <w:lang w:eastAsia="en-US" w:bidi="ar-SA"/>
        </w:rPr>
        <w:t>Zdrowia z dnia 12 kwietnia 2017 r. w sprawie wskaźników ekonomiczno-finansowych niezbędnych do sporządzenia analizy oraz prognozy sytuacji ekonomiczno-finansowej samodzielnych publicznych zakładów opieki zdrowotnej (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Dz.U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>. poz. 832), które określa:</w:t>
      </w:r>
    </w:p>
    <w:p w:rsidR="008E398C" w:rsidRDefault="008B4FFA">
      <w:pPr>
        <w:numPr>
          <w:ilvl w:val="0"/>
          <w:numId w:val="1"/>
        </w:numPr>
        <w:tabs>
          <w:tab w:val="left" w:pos="284"/>
        </w:tabs>
        <w:spacing w:before="120" w:line="276" w:lineRule="auto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</w:rPr>
        <w:t>w</w:t>
      </w:r>
      <w:proofErr w:type="spellStart"/>
      <w:r>
        <w:rPr>
          <w:b/>
          <w:color w:val="000000"/>
          <w:szCs w:val="20"/>
          <w:shd w:val="clear" w:color="auto" w:fill="FFFFFF"/>
          <w:lang w:eastAsia="en-US" w:bidi="ar-SA"/>
        </w:rPr>
        <w:t>skaźnik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i</w:t>
      </w:r>
      <w:proofErr w:type="spellEnd"/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 ekonomiczno-finansowe i sposób ich obliczania, dotyczące następujących aspektów sytuacji finansowej jednostki:</w:t>
      </w:r>
    </w:p>
    <w:p w:rsidR="008E398C" w:rsidRDefault="008B4FFA">
      <w:pPr>
        <w:numPr>
          <w:ilvl w:val="0"/>
          <w:numId w:val="2"/>
        </w:numPr>
        <w:tabs>
          <w:tab w:val="left" w:pos="360"/>
        </w:tabs>
        <w:spacing w:before="120" w:line="276" w:lineRule="auto"/>
        <w:ind w:left="45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 zyskowności tj. zdolności jednostki do generowania zysków,</w:t>
      </w:r>
    </w:p>
    <w:p w:rsidR="008E398C" w:rsidRDefault="008B4FFA">
      <w:pPr>
        <w:numPr>
          <w:ilvl w:val="0"/>
          <w:numId w:val="2"/>
        </w:numPr>
        <w:tabs>
          <w:tab w:val="left" w:pos="360"/>
        </w:tabs>
        <w:spacing w:line="276" w:lineRule="auto"/>
        <w:ind w:left="45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płynności finansowej tj. zdolności jednostki do terminowego regulowania zaciągnięty</w:t>
      </w:r>
      <w:r>
        <w:rPr>
          <w:color w:val="000000"/>
          <w:szCs w:val="20"/>
          <w:shd w:val="clear" w:color="auto" w:fill="FFFFFF"/>
          <w:lang w:eastAsia="en-US" w:bidi="ar-SA"/>
        </w:rPr>
        <w:t>ch zobowiązań krótkoterminowych,</w:t>
      </w:r>
    </w:p>
    <w:p w:rsidR="008E398C" w:rsidRDefault="008B4FFA">
      <w:pPr>
        <w:numPr>
          <w:ilvl w:val="0"/>
          <w:numId w:val="2"/>
        </w:numPr>
        <w:tabs>
          <w:tab w:val="left" w:pos="360"/>
        </w:tabs>
        <w:spacing w:line="276" w:lineRule="auto"/>
        <w:ind w:left="45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 efektywności zarządzania przepływami finansowymi,</w:t>
      </w:r>
    </w:p>
    <w:p w:rsidR="008E398C" w:rsidRDefault="008B4FFA">
      <w:pPr>
        <w:numPr>
          <w:ilvl w:val="0"/>
          <w:numId w:val="2"/>
        </w:numPr>
        <w:tabs>
          <w:tab w:val="left" w:pos="360"/>
        </w:tabs>
        <w:spacing w:line="276" w:lineRule="auto"/>
        <w:ind w:left="45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zadłużenia tj. stopnia finansowania aktywów kapitałami obcymi</w:t>
      </w:r>
      <w:r>
        <w:rPr>
          <w:color w:val="000000"/>
          <w:szCs w:val="20"/>
          <w:shd w:val="clear" w:color="auto" w:fill="FFFFFF"/>
        </w:rPr>
        <w:t>;</w:t>
      </w:r>
    </w:p>
    <w:p w:rsidR="008E398C" w:rsidRDefault="008B4FFA">
      <w:pPr>
        <w:numPr>
          <w:ilvl w:val="0"/>
          <w:numId w:val="1"/>
        </w:numPr>
        <w:tabs>
          <w:tab w:val="left" w:pos="360"/>
        </w:tabs>
        <w:spacing w:before="120" w:line="276" w:lineRule="auto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</w:rPr>
        <w:t>p</w:t>
      </w:r>
      <w:proofErr w:type="spellStart"/>
      <w:r>
        <w:rPr>
          <w:b/>
          <w:color w:val="000000"/>
          <w:szCs w:val="20"/>
          <w:shd w:val="clear" w:color="auto" w:fill="FFFFFF"/>
          <w:lang w:eastAsia="en-US" w:bidi="ar-SA"/>
        </w:rPr>
        <w:t>unktowe</w:t>
      </w:r>
      <w:proofErr w:type="spellEnd"/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 oceny dla określonych przedziałów wartości wskaźników</w:t>
      </w:r>
      <w:r>
        <w:rPr>
          <w:b/>
          <w:color w:val="000000"/>
          <w:szCs w:val="20"/>
          <w:shd w:val="clear" w:color="auto" w:fill="FFFFFF"/>
        </w:rPr>
        <w:t>.</w:t>
      </w:r>
    </w:p>
    <w:p w:rsidR="008E398C" w:rsidRDefault="008B4FFA">
      <w:pPr>
        <w:tabs>
          <w:tab w:val="left" w:pos="360"/>
        </w:tabs>
        <w:spacing w:before="120" w:after="20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Sumaryczna, maksymalna możliwa ocena punktowa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wszystkich wskaźników ekonomiczno-finansowych dla SPZOZ wynikająca z ww. rozporządzenia (za dany rok) wynosi 70 pkt.</w:t>
      </w:r>
    </w:p>
    <w:p w:rsidR="008E398C" w:rsidRDefault="008B4FFA">
      <w:pPr>
        <w:tabs>
          <w:tab w:val="left" w:pos="360"/>
        </w:tabs>
        <w:spacing w:after="20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Ocena formalno-merytoryczna</w:t>
      </w:r>
    </w:p>
    <w:p w:rsidR="008E398C" w:rsidRDefault="008B4FFA">
      <w:pPr>
        <w:tabs>
          <w:tab w:val="left" w:pos="360"/>
        </w:tabs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Przedstawiony przez Miejskie Centrum Medyczne im.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dr</w:t>
      </w:r>
      <w:proofErr w:type="spellEnd"/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Karola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Jonschera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w Łodzi raport zawiera obowiązkowe elem</w:t>
      </w:r>
      <w:r>
        <w:rPr>
          <w:color w:val="000000"/>
          <w:szCs w:val="20"/>
          <w:shd w:val="clear" w:color="auto" w:fill="FFFFFF"/>
          <w:lang w:eastAsia="en-US" w:bidi="ar-SA"/>
        </w:rPr>
        <w:t>enty wymienione w ww. rozporządzeniu. Przedstawione w nim punktowe wartości wskaźników zostały wyliczone przez jednostkę prawidłowo i mają swoje odzwierciedlenie w składowych przedłożonego sprawozdania finansowego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tj. bilansie i rachunku zysków i strat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z</w:t>
      </w:r>
      <w:r>
        <w:rPr>
          <w:color w:val="000000"/>
          <w:szCs w:val="20"/>
          <w:shd w:val="clear" w:color="auto" w:fill="FFFFFF"/>
          <w:lang w:eastAsia="en-US" w:bidi="ar-SA"/>
        </w:rPr>
        <w:t>a 2021 rok oraz prognozy na lata 2022-2024. Przyjęte w raporcie założenia oraz kierunki działań pozwalają na dalsze funkcjonowanie jednostki w ramach dotychczasowe działalności, na którą składa się: całodobowa opieka lekarska i pielęgniarska oraz udzielani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e świadczeń zdrowotnych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 xml:space="preserve">w zakresie podstawowej (POZ) i specjalistycznej opieki zdrowotnej w warunkach ambulatoryjnych (AOS). </w:t>
      </w:r>
    </w:p>
    <w:p w:rsidR="008E398C" w:rsidRDefault="008B4FFA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br w:type="column"/>
      </w:r>
    </w:p>
    <w:p w:rsidR="008E398C" w:rsidRDefault="008E398C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8E398C" w:rsidRDefault="008E398C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8E398C" w:rsidRDefault="008B4FFA">
      <w:pPr>
        <w:keepNext/>
        <w:spacing w:before="240"/>
        <w:jc w:val="both"/>
        <w:outlineLvl w:val="0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 xml:space="preserve">Wskaźniki Miejskiego Centrum Medycznego im. </w:t>
      </w:r>
      <w:proofErr w:type="spellStart"/>
      <w:r>
        <w:rPr>
          <w:b/>
          <w:szCs w:val="20"/>
          <w:lang w:eastAsia="en-US" w:bidi="ar-SA"/>
        </w:rPr>
        <w:t>dr</w:t>
      </w:r>
      <w:proofErr w:type="spellEnd"/>
      <w:r>
        <w:rPr>
          <w:b/>
          <w:szCs w:val="20"/>
        </w:rPr>
        <w:t>.</w:t>
      </w:r>
      <w:r>
        <w:rPr>
          <w:b/>
          <w:szCs w:val="20"/>
          <w:lang w:eastAsia="en-US" w:bidi="ar-SA"/>
        </w:rPr>
        <w:t xml:space="preserve"> Karola </w:t>
      </w:r>
      <w:proofErr w:type="spellStart"/>
      <w:r>
        <w:rPr>
          <w:b/>
          <w:szCs w:val="20"/>
          <w:lang w:eastAsia="en-US" w:bidi="ar-SA"/>
        </w:rPr>
        <w:t>Jonschera</w:t>
      </w:r>
      <w:proofErr w:type="spellEnd"/>
      <w:r>
        <w:rPr>
          <w:b/>
          <w:szCs w:val="20"/>
          <w:lang w:eastAsia="en-US" w:bidi="ar-SA"/>
        </w:rPr>
        <w:t xml:space="preserve"> w Łodzi </w:t>
      </w:r>
      <w:r>
        <w:rPr>
          <w:b/>
          <w:szCs w:val="20"/>
          <w:lang w:eastAsia="en-US" w:bidi="ar-SA"/>
        </w:rPr>
        <w:br/>
        <w:t>za rok 2021</w:t>
      </w:r>
    </w:p>
    <w:p w:rsidR="008E398C" w:rsidRDefault="008E398C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128"/>
        <w:gridCol w:w="4204"/>
        <w:gridCol w:w="1669"/>
        <w:gridCol w:w="1779"/>
      </w:tblGrid>
      <w:tr w:rsidR="008E398C">
        <w:trPr>
          <w:trHeight w:val="423"/>
        </w:trPr>
        <w:tc>
          <w:tcPr>
            <w:tcW w:w="97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vAlign w:val="center"/>
          </w:tcPr>
          <w:p w:rsidR="008E398C" w:rsidRDefault="008B4FFA">
            <w:pP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Grupa</w:t>
            </w:r>
          </w:p>
        </w:tc>
        <w:tc>
          <w:tcPr>
            <w:tcW w:w="218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</w:tcPr>
          <w:p w:rsidR="008E398C" w:rsidRDefault="008B4FFA">
            <w:pP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Wskaźniki</w:t>
            </w:r>
          </w:p>
        </w:tc>
        <w:tc>
          <w:tcPr>
            <w:tcW w:w="1838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E398C" w:rsidRDefault="008B4FFA">
            <w:pP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2021</w:t>
            </w:r>
          </w:p>
        </w:tc>
      </w:tr>
      <w:tr w:rsidR="008E398C">
        <w:trPr>
          <w:trHeight w:val="979"/>
        </w:trPr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398C" w:rsidRDefault="008E398C">
            <w:pPr>
              <w:jc w:val="left"/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218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E398C" w:rsidRDefault="008E398C">
            <w:pPr>
              <w:jc w:val="left"/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8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E398C" w:rsidRDefault="008B4FFA">
            <w:pPr>
              <w:ind w:left="650" w:hanging="650"/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Wskaźnik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E398C" w:rsidRDefault="008B4FFA">
            <w:pP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Ilość</w:t>
            </w: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 xml:space="preserve"> punktów</w:t>
            </w:r>
          </w:p>
        </w:tc>
      </w:tr>
      <w:tr w:rsidR="008E398C">
        <w:trPr>
          <w:trHeight w:val="690"/>
        </w:trPr>
        <w:tc>
          <w:tcPr>
            <w:tcW w:w="97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8E398C" w:rsidRDefault="008B4FFA">
            <w:pP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WSKAŹNIKI ZYSKOWNOŚCI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E398C" w:rsidRDefault="008B4FFA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 xml:space="preserve">zyskowności  netto  (%)                                                          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398C" w:rsidRDefault="008B4FFA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-5,53%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398C" w:rsidRDefault="008B4FFA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</w:t>
            </w:r>
          </w:p>
        </w:tc>
      </w:tr>
      <w:tr w:rsidR="008E398C">
        <w:trPr>
          <w:trHeight w:val="949"/>
        </w:trPr>
        <w:tc>
          <w:tcPr>
            <w:tcW w:w="9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398C" w:rsidRDefault="008E398C">
            <w:pPr>
              <w:jc w:val="left"/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E398C" w:rsidRDefault="008B4FFA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 xml:space="preserve">zyskowności działalności operacyjnej (%)           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398C" w:rsidRDefault="008B4FFA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-4,75%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398C" w:rsidRDefault="008B4FFA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</w:t>
            </w:r>
          </w:p>
        </w:tc>
      </w:tr>
      <w:tr w:rsidR="008E398C">
        <w:trPr>
          <w:trHeight w:val="673"/>
        </w:trPr>
        <w:tc>
          <w:tcPr>
            <w:tcW w:w="9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398C" w:rsidRDefault="008E398C">
            <w:pPr>
              <w:jc w:val="left"/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E398C" w:rsidRDefault="008B4FFA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zyskowność aktywów (%)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E398C" w:rsidRDefault="008B4FFA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-6,33%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398C" w:rsidRDefault="008B4FFA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</w:t>
            </w:r>
          </w:p>
        </w:tc>
      </w:tr>
      <w:tr w:rsidR="008E398C">
        <w:trPr>
          <w:trHeight w:val="664"/>
        </w:trPr>
        <w:tc>
          <w:tcPr>
            <w:tcW w:w="3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8E398C" w:rsidRDefault="008B4FFA">
            <w:pPr>
              <w:jc w:val="left"/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 xml:space="preserve">Maksymalna ocena punktowa 15 </w:t>
            </w:r>
            <w:proofErr w:type="spellStart"/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pkt</w:t>
            </w:r>
            <w:proofErr w:type="spellEnd"/>
          </w:p>
        </w:tc>
        <w:tc>
          <w:tcPr>
            <w:tcW w:w="89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CC"/>
            <w:vAlign w:val="center"/>
          </w:tcPr>
          <w:p w:rsidR="008E398C" w:rsidRDefault="008B4FFA">
            <w:pPr>
              <w:jc w:val="left"/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Razem</w:t>
            </w:r>
          </w:p>
        </w:tc>
        <w:tc>
          <w:tcPr>
            <w:tcW w:w="9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8E398C" w:rsidRDefault="008B4FFA">
            <w:pP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0 (0%)</w:t>
            </w:r>
          </w:p>
        </w:tc>
      </w:tr>
      <w:tr w:rsidR="008E398C">
        <w:trPr>
          <w:trHeight w:val="795"/>
        </w:trPr>
        <w:tc>
          <w:tcPr>
            <w:tcW w:w="97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8E398C" w:rsidRDefault="008B4FFA">
            <w:pP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WSKAŹNIKI PŁYNNOŚCI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E398C" w:rsidRDefault="008B4FFA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 xml:space="preserve">bieżącej płynności                                          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398C" w:rsidRDefault="008B4FFA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0,40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398C" w:rsidRDefault="008B4FFA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</w:t>
            </w:r>
          </w:p>
        </w:tc>
      </w:tr>
      <w:tr w:rsidR="008E398C">
        <w:trPr>
          <w:trHeight w:val="630"/>
        </w:trPr>
        <w:tc>
          <w:tcPr>
            <w:tcW w:w="9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398C" w:rsidRDefault="008E398C">
            <w:pPr>
              <w:jc w:val="left"/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E398C" w:rsidRDefault="008B4FFA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szybkiej płynności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398C" w:rsidRDefault="008B4FFA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0,30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398C" w:rsidRDefault="008B4FFA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</w:t>
            </w:r>
          </w:p>
        </w:tc>
      </w:tr>
      <w:tr w:rsidR="008E398C">
        <w:trPr>
          <w:trHeight w:val="619"/>
        </w:trPr>
        <w:tc>
          <w:tcPr>
            <w:tcW w:w="3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8E398C" w:rsidRDefault="008B4FFA">
            <w:pPr>
              <w:jc w:val="left"/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 xml:space="preserve">Maksymalna ocena punktowa 25 </w:t>
            </w:r>
            <w:proofErr w:type="spellStart"/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pkt</w:t>
            </w:r>
            <w:proofErr w:type="spellEnd"/>
          </w:p>
        </w:tc>
        <w:tc>
          <w:tcPr>
            <w:tcW w:w="89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FF"/>
            <w:vAlign w:val="center"/>
          </w:tcPr>
          <w:p w:rsidR="008E398C" w:rsidRDefault="008B4FFA">
            <w:pPr>
              <w:jc w:val="left"/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Razem</w:t>
            </w:r>
          </w:p>
        </w:tc>
        <w:tc>
          <w:tcPr>
            <w:tcW w:w="9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8E398C" w:rsidRDefault="008B4FFA">
            <w:pP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 xml:space="preserve"> 0 (0%)</w:t>
            </w:r>
          </w:p>
        </w:tc>
      </w:tr>
      <w:tr w:rsidR="008E398C">
        <w:trPr>
          <w:trHeight w:val="610"/>
        </w:trPr>
        <w:tc>
          <w:tcPr>
            <w:tcW w:w="97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8E398C" w:rsidRDefault="008B4FFA">
            <w:pP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WSKAŹNIKI EFEKTYWNOŚCI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E398C" w:rsidRDefault="008B4FFA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 xml:space="preserve">rotacji należności (w dniach)                          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398C" w:rsidRDefault="008B4FFA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21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398C" w:rsidRDefault="008B4FFA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</w:t>
            </w:r>
          </w:p>
        </w:tc>
      </w:tr>
      <w:tr w:rsidR="008E398C">
        <w:trPr>
          <w:trHeight w:val="599"/>
        </w:trPr>
        <w:tc>
          <w:tcPr>
            <w:tcW w:w="9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398C" w:rsidRDefault="008E398C">
            <w:pPr>
              <w:jc w:val="left"/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E398C" w:rsidRDefault="008B4FFA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rotacji zobowiązań (w dniach)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398C" w:rsidRDefault="008B4FFA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57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398C" w:rsidRDefault="008B4FFA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7</w:t>
            </w:r>
          </w:p>
        </w:tc>
      </w:tr>
      <w:tr w:rsidR="008E398C">
        <w:trPr>
          <w:trHeight w:val="731"/>
        </w:trPr>
        <w:tc>
          <w:tcPr>
            <w:tcW w:w="3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8E398C" w:rsidRDefault="008B4FFA">
            <w:pPr>
              <w:jc w:val="left"/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 xml:space="preserve">Maksymalna ocena punktowa 10 </w:t>
            </w:r>
            <w:proofErr w:type="spellStart"/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pkt</w:t>
            </w:r>
            <w:proofErr w:type="spellEnd"/>
          </w:p>
        </w:tc>
        <w:tc>
          <w:tcPr>
            <w:tcW w:w="89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CC"/>
            <w:vAlign w:val="center"/>
          </w:tcPr>
          <w:p w:rsidR="008E398C" w:rsidRDefault="008B4FFA">
            <w:pPr>
              <w:jc w:val="left"/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Razem</w:t>
            </w:r>
          </w:p>
        </w:tc>
        <w:tc>
          <w:tcPr>
            <w:tcW w:w="9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8E398C" w:rsidRDefault="008B4FFA">
            <w:pP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10 (100%)</w:t>
            </w:r>
          </w:p>
        </w:tc>
      </w:tr>
      <w:tr w:rsidR="008E398C">
        <w:trPr>
          <w:trHeight w:val="707"/>
        </w:trPr>
        <w:tc>
          <w:tcPr>
            <w:tcW w:w="97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8E398C" w:rsidRDefault="008B4FFA">
            <w:pP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WSKAŹNIKI ZADŁUŻENIA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E398C" w:rsidRDefault="008B4FFA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 xml:space="preserve">zadłużenia aktywów (%)                         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398C" w:rsidRDefault="008B4FFA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52%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398C" w:rsidRDefault="008B4FFA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8</w:t>
            </w:r>
          </w:p>
        </w:tc>
      </w:tr>
      <w:tr w:rsidR="008E398C">
        <w:trPr>
          <w:trHeight w:val="711"/>
        </w:trPr>
        <w:tc>
          <w:tcPr>
            <w:tcW w:w="9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398C" w:rsidRDefault="008E398C">
            <w:pPr>
              <w:jc w:val="left"/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E398C" w:rsidRDefault="008B4FFA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wypłacalności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398C" w:rsidRDefault="008B4FFA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1,84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398C" w:rsidRDefault="008B4FFA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6</w:t>
            </w:r>
          </w:p>
        </w:tc>
      </w:tr>
      <w:tr w:rsidR="008E398C">
        <w:trPr>
          <w:trHeight w:val="687"/>
        </w:trPr>
        <w:tc>
          <w:tcPr>
            <w:tcW w:w="3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8E398C" w:rsidRDefault="008B4FFA">
            <w:pPr>
              <w:jc w:val="left"/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 xml:space="preserve">Maksymalna ocena punktowa 20 </w:t>
            </w:r>
            <w:proofErr w:type="spellStart"/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pkt</w:t>
            </w:r>
            <w:proofErr w:type="spellEnd"/>
          </w:p>
        </w:tc>
        <w:tc>
          <w:tcPr>
            <w:tcW w:w="89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FF"/>
            <w:vAlign w:val="center"/>
          </w:tcPr>
          <w:p w:rsidR="008E398C" w:rsidRDefault="008B4FFA">
            <w:pPr>
              <w:jc w:val="left"/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Razem</w:t>
            </w:r>
          </w:p>
        </w:tc>
        <w:tc>
          <w:tcPr>
            <w:tcW w:w="9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8E398C" w:rsidRDefault="008B4FFA">
            <w:pP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14 (70%)</w:t>
            </w:r>
          </w:p>
        </w:tc>
      </w:tr>
      <w:tr w:rsidR="008E398C">
        <w:trPr>
          <w:trHeight w:val="536"/>
        </w:trPr>
        <w:tc>
          <w:tcPr>
            <w:tcW w:w="3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vAlign w:val="center"/>
          </w:tcPr>
          <w:p w:rsidR="008E398C" w:rsidRDefault="008B4FFA">
            <w:pP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Łączna wartość punktów osiągniętych</w:t>
            </w:r>
          </w:p>
        </w:tc>
        <w:tc>
          <w:tcPr>
            <w:tcW w:w="183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E398C" w:rsidRDefault="008B4FFA">
            <w:pP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 xml:space="preserve"> 24 (34,29%)</w:t>
            </w:r>
          </w:p>
        </w:tc>
      </w:tr>
      <w:tr w:rsidR="008E398C">
        <w:trPr>
          <w:trHeight w:val="511"/>
        </w:trPr>
        <w:tc>
          <w:tcPr>
            <w:tcW w:w="3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8E398C" w:rsidRDefault="008B4FFA">
            <w:pP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Maksymalna  wartość punktów możliwych do osiągnięcia</w:t>
            </w:r>
          </w:p>
        </w:tc>
        <w:tc>
          <w:tcPr>
            <w:tcW w:w="183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8E398C" w:rsidRDefault="008B4FFA">
            <w:pP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70 (100%)</w:t>
            </w:r>
          </w:p>
        </w:tc>
      </w:tr>
    </w:tbl>
    <w:p w:rsidR="008E398C" w:rsidRDefault="008E398C">
      <w:pPr>
        <w:spacing w:before="24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</w:p>
    <w:p w:rsidR="008E398C" w:rsidRDefault="008E398C">
      <w:pPr>
        <w:spacing w:before="24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</w:p>
    <w:p w:rsidR="008E398C" w:rsidRDefault="008B4FFA">
      <w:pPr>
        <w:spacing w:before="24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lastRenderedPageBreak/>
        <w:t xml:space="preserve">W 2021 roku Miejskie Centrum Medyczne im.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dr</w:t>
      </w:r>
      <w:proofErr w:type="spellEnd"/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Karola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Jonschera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w Łodzi osiągnęło wynik finansowy netto w wysokości (-)7.373.944 zł (lepszy o kwotę 1.204.703 zł w porównaniu </w:t>
      </w:r>
      <w:r>
        <w:rPr>
          <w:color w:val="000000"/>
          <w:szCs w:val="20"/>
          <w:shd w:val="clear" w:color="auto" w:fill="FFFFFF"/>
          <w:lang w:eastAsia="en-US" w:bidi="ar-SA"/>
        </w:rPr>
        <w:br/>
        <w:t xml:space="preserve">do 2020). Po dodaniu kosztów amortyzacji wzrósł on do poziomu (-)1.570.375 zł.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Na działalności operacyjnej jednostka osiągnęła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wynik finansowy w wysokości (-)6.330.635 zł (lepszy o kwotę o 1.403.774 od osiągniętego w 2020 roku). </w:t>
      </w:r>
    </w:p>
    <w:p w:rsidR="008E398C" w:rsidRDefault="008B4FFA">
      <w:pPr>
        <w:spacing w:before="24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W 2021 roku podmiot osiągnął 0 na 15 punktów w skumulowanej skali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wskaźników zyskowności. </w:t>
      </w:r>
      <w:r>
        <w:rPr>
          <w:color w:val="000000"/>
          <w:szCs w:val="20"/>
          <w:shd w:val="clear" w:color="auto" w:fill="FFFFFF"/>
          <w:lang w:eastAsia="en-US" w:bidi="ar-SA"/>
        </w:rPr>
        <w:t>Wszystkie przychody pokrywały jedynie 94,7% kosztów działalnoś</w:t>
      </w:r>
      <w:r>
        <w:rPr>
          <w:color w:val="000000"/>
          <w:szCs w:val="20"/>
          <w:shd w:val="clear" w:color="auto" w:fill="FFFFFF"/>
          <w:lang w:eastAsia="en-US" w:bidi="ar-SA"/>
        </w:rPr>
        <w:t>ci i łączna wysokość przychodów wyniosła 132.704.310 zł, co stanowi wzrost w stosunku do 2020 roku (114.140.009 zł) o 18.564.301 zł. Natomiast wysokość poniesionych kosztów ogółem wyniosła 140.078.253 zł i była wyższa niż w 2020 roku (122.718.656 zł) o 17.</w:t>
      </w:r>
      <w:r>
        <w:rPr>
          <w:color w:val="000000"/>
          <w:szCs w:val="20"/>
          <w:shd w:val="clear" w:color="auto" w:fill="FFFFFF"/>
          <w:lang w:eastAsia="en-US" w:bidi="ar-SA"/>
        </w:rPr>
        <w:t>359.597 zł.</w:t>
      </w:r>
    </w:p>
    <w:p w:rsidR="008E398C" w:rsidRDefault="008B4FFA">
      <w:pPr>
        <w:spacing w:before="24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W ramach osiągniętych przez jednostkę w 2021 roku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przychodów ogółem</w:t>
      </w:r>
      <w:r>
        <w:rPr>
          <w:color w:val="000000"/>
          <w:szCs w:val="20"/>
          <w:shd w:val="clear" w:color="auto" w:fill="FFFFFF"/>
          <w:lang w:eastAsia="en-US" w:bidi="ar-SA"/>
        </w:rPr>
        <w:t>, należy wskazać na:</w:t>
      </w:r>
    </w:p>
    <w:p w:rsidR="008E398C" w:rsidRDefault="008B4FFA">
      <w:pPr>
        <w:spacing w:before="120" w:line="276" w:lineRule="auto"/>
        <w:ind w:left="28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</w:rPr>
        <w:t>1) 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przychody netto ze sprzedaży i zrównane z nimi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stanowiły kwotę 129.294.350 zł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(w stosunku do 2020 wzrost o 19.378.472 zł), z tego: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 </w:t>
      </w:r>
    </w:p>
    <w:p w:rsidR="008E398C" w:rsidRDefault="008B4FFA">
      <w:pPr>
        <w:spacing w:line="276" w:lineRule="auto"/>
        <w:ind w:left="566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val="single"/>
          <w:shd w:val="clear" w:color="auto" w:fill="FFFFFF"/>
        </w:rPr>
        <w:t>a) </w:t>
      </w:r>
      <w:r>
        <w:rPr>
          <w:color w:val="000000"/>
          <w:szCs w:val="20"/>
          <w:u w:val="single"/>
          <w:shd w:val="clear" w:color="auto" w:fill="FFFFFF"/>
          <w:lang w:eastAsia="en-US" w:bidi="ar-SA"/>
        </w:rPr>
        <w:t>umowy z NFZ - osi</w:t>
      </w:r>
      <w:r>
        <w:rPr>
          <w:color w:val="000000"/>
          <w:szCs w:val="20"/>
          <w:u w:val="single"/>
          <w:shd w:val="clear" w:color="auto" w:fill="FFFFFF"/>
          <w:lang w:eastAsia="en-US" w:bidi="ar-SA"/>
        </w:rPr>
        <w:t>ągnięto przychody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w wysokości 119.297.425 zł (w stosunku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do 2020 wzrost o 16.769.782 zł) i dotyczył m.in.: szczepień przeciwko COVID-19; opłaty ryczałtowej za utrzymanie stanu gotowości do udzielania świadczeń oraz dodatki dla personelu medycznego - konta</w:t>
      </w:r>
      <w:r>
        <w:rPr>
          <w:color w:val="000000"/>
          <w:szCs w:val="20"/>
          <w:shd w:val="clear" w:color="auto" w:fill="FFFFFF"/>
          <w:lang w:eastAsia="en-US" w:bidi="ar-SA"/>
        </w:rPr>
        <w:t>kt z potencjalnie zarażonymi COVID-19</w:t>
      </w:r>
      <w:r>
        <w:rPr>
          <w:color w:val="000000"/>
          <w:szCs w:val="20"/>
          <w:shd w:val="clear" w:color="auto" w:fill="FFFFFF"/>
        </w:rPr>
        <w:t>,</w:t>
      </w:r>
    </w:p>
    <w:p w:rsidR="008E398C" w:rsidRDefault="008B4FFA">
      <w:pPr>
        <w:spacing w:line="276" w:lineRule="auto"/>
        <w:ind w:left="566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val="single"/>
          <w:shd w:val="clear" w:color="auto" w:fill="FFFFFF"/>
        </w:rPr>
        <w:t>b) </w:t>
      </w:r>
      <w:r>
        <w:rPr>
          <w:color w:val="000000"/>
          <w:szCs w:val="20"/>
          <w:u w:val="single"/>
          <w:shd w:val="clear" w:color="auto" w:fill="FFFFFF"/>
          <w:lang w:eastAsia="en-US" w:bidi="ar-SA"/>
        </w:rPr>
        <w:t>pozostałe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– wyniosły 10.570.571 zł (w stosunku do 2020 wzrost o 2.651.679 zł), z tego:</w:t>
      </w:r>
    </w:p>
    <w:p w:rsidR="008E398C" w:rsidRDefault="008B4FFA">
      <w:pPr>
        <w:spacing w:line="276" w:lineRule="auto"/>
        <w:ind w:left="736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- 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prowadzenie staży podyplomowych i zatrudnienie rezydentów wyniosło 6.986.126 zł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(w stosunku do 2020 wzrost o 1.799.544 zł),</w:t>
      </w:r>
    </w:p>
    <w:p w:rsidR="008E398C" w:rsidRDefault="008B4FFA">
      <w:pPr>
        <w:spacing w:line="276" w:lineRule="auto"/>
        <w:ind w:left="736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- </w:t>
      </w:r>
      <w:r>
        <w:rPr>
          <w:color w:val="000000"/>
          <w:szCs w:val="20"/>
          <w:shd w:val="clear" w:color="auto" w:fill="FFFFFF"/>
          <w:lang w:eastAsia="en-US" w:bidi="ar-SA"/>
        </w:rPr>
        <w:t>pozostała sprzedaż usług medycznych wyniosła 2.767.452 zł (w stosunku do 2020 wzrost o 802.070 zł),</w:t>
      </w:r>
    </w:p>
    <w:p w:rsidR="008E398C" w:rsidRDefault="008B4FFA">
      <w:pPr>
        <w:spacing w:line="276" w:lineRule="auto"/>
        <w:ind w:left="736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- </w:t>
      </w:r>
      <w:r>
        <w:rPr>
          <w:color w:val="000000"/>
          <w:szCs w:val="20"/>
          <w:shd w:val="clear" w:color="auto" w:fill="FFFFFF"/>
          <w:lang w:eastAsia="en-US" w:bidi="ar-SA"/>
        </w:rPr>
        <w:t>wynajem wyniósł 789.689 zł (w stosunku do 2020 wzrost o 22.760 zł),</w:t>
      </w:r>
    </w:p>
    <w:p w:rsidR="008E398C" w:rsidRDefault="008B4FFA">
      <w:pPr>
        <w:spacing w:line="276" w:lineRule="auto"/>
        <w:ind w:left="736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- </w:t>
      </w:r>
      <w:r>
        <w:rPr>
          <w:color w:val="000000"/>
          <w:szCs w:val="20"/>
          <w:shd w:val="clear" w:color="auto" w:fill="FFFFFF"/>
          <w:lang w:eastAsia="en-US" w:bidi="ar-SA"/>
        </w:rPr>
        <w:t>realizacja programów profilaktycznych wyniosła 27.305 zł, w roku 2020 nie były rea</w:t>
      </w:r>
      <w:r>
        <w:rPr>
          <w:color w:val="000000"/>
          <w:szCs w:val="20"/>
          <w:shd w:val="clear" w:color="auto" w:fill="FFFFFF"/>
          <w:lang w:eastAsia="en-US" w:bidi="ar-SA"/>
        </w:rPr>
        <w:t>lizowane;</w:t>
      </w:r>
    </w:p>
    <w:p w:rsidR="008E398C" w:rsidRDefault="008B4FFA">
      <w:pPr>
        <w:spacing w:before="120" w:line="276" w:lineRule="auto"/>
        <w:ind w:left="28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</w:rPr>
        <w:t>2) 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pozostałe przychody operacyjne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stanowiły kwotę 3.379.685 zł (w stosunku do 2020 spadek o 796.199 zł) i dotyczył głównie:</w:t>
      </w:r>
    </w:p>
    <w:p w:rsidR="008E398C" w:rsidRDefault="008B4FFA">
      <w:pPr>
        <w:spacing w:line="276" w:lineRule="auto"/>
        <w:ind w:left="566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a) </w:t>
      </w:r>
      <w:r>
        <w:rPr>
          <w:color w:val="000000"/>
          <w:szCs w:val="20"/>
          <w:shd w:val="clear" w:color="auto" w:fill="FFFFFF"/>
          <w:lang w:eastAsia="en-US" w:bidi="ar-SA"/>
        </w:rPr>
        <w:t>pr</w:t>
      </w:r>
      <w:r>
        <w:rPr>
          <w:color w:val="000000"/>
          <w:szCs w:val="20"/>
          <w:u w:val="single"/>
          <w:shd w:val="clear" w:color="auto" w:fill="FFFFFF"/>
          <w:lang w:eastAsia="en-US" w:bidi="ar-SA"/>
        </w:rPr>
        <w:t>zychodów z tytułu odpisów amortyzacyjnych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kwota w wysokości 2.108.244 zł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(w stosunku do 2020 wzrost o 109.998 zł),</w:t>
      </w:r>
    </w:p>
    <w:p w:rsidR="008E398C" w:rsidRDefault="008B4FFA">
      <w:pPr>
        <w:spacing w:line="276" w:lineRule="auto"/>
        <w:ind w:left="566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b</w:t>
      </w:r>
      <w:r>
        <w:rPr>
          <w:color w:val="000000"/>
          <w:szCs w:val="20"/>
          <w:shd w:val="clear" w:color="auto" w:fill="FFFFFF"/>
        </w:rPr>
        <w:t>) </w:t>
      </w:r>
      <w:r>
        <w:rPr>
          <w:color w:val="000000"/>
          <w:szCs w:val="20"/>
          <w:u w:val="single"/>
          <w:shd w:val="clear" w:color="auto" w:fill="FFFFFF"/>
          <w:lang w:eastAsia="en-US" w:bidi="ar-SA"/>
        </w:rPr>
        <w:t>darowizn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wyniosły 751.935 zł (w stosunku do 2020 spadek o 922.524 zł);</w:t>
      </w:r>
    </w:p>
    <w:p w:rsidR="008E398C" w:rsidRDefault="008B4FFA">
      <w:pPr>
        <w:spacing w:before="12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</w:rPr>
        <w:t>3) 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przychody finansowe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stanowiły 30.275 zł i (w stosunku do 2020 spadek o 17.972 zł). </w:t>
      </w:r>
    </w:p>
    <w:p w:rsidR="008E398C" w:rsidRDefault="008B4FFA">
      <w:pPr>
        <w:spacing w:before="24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W ramach poniesionych przez jednostkę w 2021 roku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kosztów ogółem</w:t>
      </w:r>
      <w:r>
        <w:rPr>
          <w:color w:val="000000"/>
          <w:szCs w:val="20"/>
          <w:shd w:val="clear" w:color="auto" w:fill="FFFFFF"/>
          <w:lang w:eastAsia="en-US" w:bidi="ar-SA"/>
        </w:rPr>
        <w:t>, należy wskazać na:</w:t>
      </w:r>
    </w:p>
    <w:p w:rsidR="008E398C" w:rsidRDefault="008B4FFA">
      <w:pPr>
        <w:spacing w:before="120" w:line="276" w:lineRule="auto"/>
        <w:ind w:left="28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</w:rPr>
        <w:t>1) 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koszty d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ziałalności operacyjnej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poniesione zostały w wysokości 138.807.245 zł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(w stosunku do 2020 wzrost o 17.080.669 zł), z czego największy udział we wzroście miały:</w:t>
      </w:r>
    </w:p>
    <w:p w:rsidR="008E398C" w:rsidRDefault="008B4FFA">
      <w:pPr>
        <w:spacing w:line="276" w:lineRule="auto"/>
        <w:ind w:left="566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val="single"/>
          <w:shd w:val="clear" w:color="auto" w:fill="FFFFFF"/>
        </w:rPr>
        <w:t>a) </w:t>
      </w:r>
      <w:r>
        <w:rPr>
          <w:color w:val="000000"/>
          <w:szCs w:val="20"/>
          <w:u w:val="single"/>
          <w:shd w:val="clear" w:color="auto" w:fill="FFFFFF"/>
          <w:lang w:eastAsia="en-US" w:bidi="ar-SA"/>
        </w:rPr>
        <w:t>koszty wynagrodzeń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wyniosły z 59.146.527 zł (w stosunku do 2020 wzrost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o 11.404.215 zł) i d</w:t>
      </w:r>
      <w:r>
        <w:rPr>
          <w:color w:val="000000"/>
          <w:szCs w:val="20"/>
          <w:shd w:val="clear" w:color="auto" w:fill="FFFFFF"/>
          <w:lang w:eastAsia="en-US" w:bidi="ar-SA"/>
        </w:rPr>
        <w:t>otyczyły w szczególności:</w:t>
      </w:r>
    </w:p>
    <w:p w:rsidR="008E398C" w:rsidRDefault="008B4FFA">
      <w:pPr>
        <w:spacing w:line="276" w:lineRule="auto"/>
        <w:ind w:left="570" w:hanging="117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- 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wynagrodzenia wynikające ze stosunku pracy – w wysokości 44.025.501 zł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(w stosunku do 2020 wzrost o 6.712.298 zł),</w:t>
      </w:r>
    </w:p>
    <w:p w:rsidR="008E398C" w:rsidRDefault="008B4FFA">
      <w:pPr>
        <w:spacing w:line="276" w:lineRule="auto"/>
        <w:ind w:left="736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 xml:space="preserve">- </w:t>
      </w:r>
      <w:r>
        <w:rPr>
          <w:color w:val="000000"/>
          <w:szCs w:val="20"/>
          <w:shd w:val="clear" w:color="auto" w:fill="FFFFFF"/>
          <w:lang w:eastAsia="en-US" w:bidi="ar-SA"/>
        </w:rPr>
        <w:t>wynagrodzenia stażystów i rezydentów – w wysokości 9.014.996 zł (w stosunku do 2020 wzrost o 3.289.130 zł),</w:t>
      </w:r>
    </w:p>
    <w:p w:rsidR="008E398C" w:rsidRDefault="008B4FFA">
      <w:pPr>
        <w:spacing w:line="276" w:lineRule="auto"/>
        <w:ind w:left="736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 xml:space="preserve">- </w:t>
      </w:r>
      <w:r>
        <w:rPr>
          <w:color w:val="000000"/>
          <w:szCs w:val="20"/>
          <w:shd w:val="clear" w:color="auto" w:fill="FFFFFF"/>
          <w:lang w:eastAsia="en-US" w:bidi="ar-SA"/>
        </w:rPr>
        <w:t>wynagrodzenia z umów zleceń i o dzieło – w wysokości 5.053.311 zł (w stosunku do 2020 wzrost o 1.389.547 zł)</w:t>
      </w:r>
      <w:r>
        <w:rPr>
          <w:color w:val="000000"/>
          <w:szCs w:val="20"/>
          <w:shd w:val="clear" w:color="auto" w:fill="FFFFFF"/>
        </w:rPr>
        <w:t>,</w:t>
      </w:r>
    </w:p>
    <w:p w:rsidR="008E398C" w:rsidRDefault="008B4FFA">
      <w:pPr>
        <w:spacing w:before="120" w:line="276" w:lineRule="auto"/>
        <w:ind w:left="566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lastRenderedPageBreak/>
        <w:t>w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ykazany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wzrost wynikał w szczególności: z wypłat dodatków tzw. „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covidowych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>” dla personelu medycznego, wzrostu wynagrodzeń stażystów i rezydentów,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a także ze zmian regulujących wzrost wynagrodzeń personelu medycznego oraz wzrostu minimalnego wynagrodzenia;</w:t>
      </w:r>
    </w:p>
    <w:p w:rsidR="008E398C" w:rsidRDefault="008B4FFA">
      <w:pPr>
        <w:spacing w:before="240" w:line="276" w:lineRule="auto"/>
        <w:ind w:left="566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val="single"/>
          <w:shd w:val="clear" w:color="auto" w:fill="FFFFFF"/>
        </w:rPr>
        <w:t>b) </w:t>
      </w:r>
      <w:r>
        <w:rPr>
          <w:color w:val="000000"/>
          <w:szCs w:val="20"/>
          <w:u w:val="single"/>
          <w:shd w:val="clear" w:color="auto" w:fill="FFFFFF"/>
          <w:lang w:eastAsia="en-US" w:bidi="ar-SA"/>
        </w:rPr>
        <w:t>koszty pochodnych od wynagrodzeń – składki ZUS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, wyniosły 11.096.939 zł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(w stosunku do 2020 wzrost o 1.066.624 zł);</w:t>
      </w:r>
    </w:p>
    <w:p w:rsidR="008E398C" w:rsidRDefault="008B4FFA">
      <w:pPr>
        <w:spacing w:before="120" w:line="276" w:lineRule="auto"/>
        <w:ind w:left="566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val="single"/>
          <w:shd w:val="clear" w:color="auto" w:fill="FFFFFF"/>
        </w:rPr>
        <w:t>c) </w:t>
      </w:r>
      <w:r>
        <w:rPr>
          <w:color w:val="000000"/>
          <w:szCs w:val="20"/>
          <w:u w:val="single"/>
          <w:shd w:val="clear" w:color="auto" w:fill="FFFFFF"/>
          <w:lang w:eastAsia="en-US" w:bidi="ar-SA"/>
        </w:rPr>
        <w:t>koszt usług obcych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wyni</w:t>
      </w:r>
      <w:r>
        <w:rPr>
          <w:color w:val="000000"/>
          <w:szCs w:val="20"/>
          <w:shd w:val="clear" w:color="auto" w:fill="FFFFFF"/>
          <w:lang w:eastAsia="en-US" w:bidi="ar-SA"/>
        </w:rPr>
        <w:t>osły 43.467.319 zł (w stosunku do 2020 wzrost o 4.826.271 zł), w tym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koszt usług medycznych wyniosły 36.009.684 zł (w stosunku do 2020 wzrost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o 3.944.890 zł) – wynikał on z faktu wypłacenia dodatków „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covidowych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” dla personelu medycznego, a także wiąże ze </w:t>
      </w:r>
      <w:r>
        <w:rPr>
          <w:color w:val="000000"/>
          <w:szCs w:val="20"/>
          <w:shd w:val="clear" w:color="auto" w:fill="FFFFFF"/>
          <w:lang w:eastAsia="en-US" w:bidi="ar-SA"/>
        </w:rPr>
        <w:t>wzrostem stawek dla personelu medycznego za udzielane świadczenia zdrowotne;</w:t>
      </w:r>
    </w:p>
    <w:p w:rsidR="008E398C" w:rsidRDefault="008B4FFA">
      <w:pPr>
        <w:spacing w:before="120" w:line="276" w:lineRule="auto"/>
        <w:ind w:left="566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val="single"/>
          <w:shd w:val="clear" w:color="auto" w:fill="FFFFFF"/>
        </w:rPr>
        <w:t>d) </w:t>
      </w:r>
      <w:r>
        <w:rPr>
          <w:color w:val="000000"/>
          <w:szCs w:val="20"/>
          <w:u w:val="single"/>
          <w:shd w:val="clear" w:color="auto" w:fill="FFFFFF"/>
          <w:lang w:eastAsia="en-US" w:bidi="ar-SA"/>
        </w:rPr>
        <w:t>koszty energii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wyniosły 2.769.785 zł (w stosunku do 2020 wzrost o 174.523 zł) </w:t>
      </w:r>
      <w:r>
        <w:rPr>
          <w:color w:val="000000"/>
          <w:szCs w:val="20"/>
          <w:shd w:val="clear" w:color="auto" w:fill="FFFFFF"/>
          <w:lang w:eastAsia="en-US" w:bidi="ar-SA"/>
        </w:rPr>
        <w:br/>
      </w:r>
      <w:r>
        <w:rPr>
          <w:color w:val="000000"/>
          <w:szCs w:val="20"/>
          <w:shd w:val="clear" w:color="auto" w:fill="FFFFFF"/>
        </w:rPr>
        <w:t xml:space="preserve">gdzie </w:t>
      </w:r>
      <w:r>
        <w:rPr>
          <w:color w:val="000000"/>
          <w:szCs w:val="20"/>
          <w:shd w:val="clear" w:color="auto" w:fill="FFFFFF"/>
          <w:lang w:eastAsia="en-US" w:bidi="ar-SA"/>
        </w:rPr>
        <w:t>odnotowano ponad 20% wzrost kosztów energii cieplnej w relacji do 2020</w:t>
      </w:r>
      <w:r>
        <w:rPr>
          <w:color w:val="000000"/>
          <w:szCs w:val="20"/>
          <w:shd w:val="clear" w:color="auto" w:fill="FFFFFF"/>
        </w:rPr>
        <w:t>;</w:t>
      </w:r>
    </w:p>
    <w:p w:rsidR="008E398C" w:rsidRDefault="008B4FFA">
      <w:pPr>
        <w:tabs>
          <w:tab w:val="left" w:pos="426"/>
        </w:tabs>
        <w:spacing w:before="120" w:line="276" w:lineRule="auto"/>
        <w:ind w:left="28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</w:rPr>
        <w:t>2)  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pozostałe koszt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y operacyjne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wyniosły 197.425 zł (w stosunku do 2020 wzrost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o 97.830 zł)</w:t>
      </w:r>
      <w:r>
        <w:rPr>
          <w:color w:val="000000"/>
          <w:szCs w:val="20"/>
          <w:shd w:val="clear" w:color="auto" w:fill="FFFFFF"/>
        </w:rPr>
        <w:t>;</w:t>
      </w:r>
    </w:p>
    <w:p w:rsidR="008E398C" w:rsidRDefault="008B4FFA">
      <w:pPr>
        <w:tabs>
          <w:tab w:val="left" w:pos="426"/>
        </w:tabs>
        <w:spacing w:before="100" w:line="276" w:lineRule="auto"/>
        <w:ind w:left="28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</w:rPr>
        <w:t xml:space="preserve">3) 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koszty finansowe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wyniosły 1.073.583 zł (w stosunku do 2020 wzrost o 181.099 zł).</w:t>
      </w:r>
    </w:p>
    <w:p w:rsidR="008E398C" w:rsidRDefault="008B4FFA">
      <w:pPr>
        <w:spacing w:before="240" w:line="276" w:lineRule="auto"/>
        <w:jc w:val="both"/>
        <w:rPr>
          <w:i/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Osiągnięte przez podmiot wartości w zakresie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wskaźników płynności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wskazują, </w:t>
      </w:r>
      <w:r>
        <w:rPr>
          <w:color w:val="000000"/>
          <w:szCs w:val="20"/>
          <w:shd w:val="clear" w:color="auto" w:fill="FFFFFF"/>
          <w:lang w:eastAsia="en-US" w:bidi="ar-SA"/>
        </w:rPr>
        <w:br/>
        <w:t xml:space="preserve">że ma on trudności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z terminową spłatą bieżących zobowiązań. W ramach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bieżącej płynności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osiągnął on wartość 0,40 (optymalny zakres wartości: 1,5-2,0), a w przypadku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szybkiej płynności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0,30 (optymalnie: 1 lub więcej). Oznacza to, że wartość zobowiązań krótkoterminowych i rezerw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 xml:space="preserve">na zobowiązania krótkoterminowe jest większa od aktywów obrotowych ponad dwa razy.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W badanym okresie zobowiązania krótkoterminowe wyniosły 35.578.527 zł, a zob</w:t>
      </w:r>
      <w:r>
        <w:rPr>
          <w:color w:val="000000"/>
          <w:szCs w:val="20"/>
          <w:shd w:val="clear" w:color="auto" w:fill="FFFFFF"/>
          <w:lang w:eastAsia="en-US" w:bidi="ar-SA"/>
        </w:rPr>
        <w:t>owiązania długoterminowe 17.459.683 zł. Stan rezerw przeznaczonych na te cele oraz gotówki (krótkoterminowe aktywa finansowe) wynosił 9.187.577 zł</w:t>
      </w:r>
      <w:r>
        <w:rPr>
          <w:i/>
          <w:color w:val="000000"/>
          <w:szCs w:val="20"/>
          <w:shd w:val="clear" w:color="auto" w:fill="FFFFFF"/>
          <w:lang w:eastAsia="en-US" w:bidi="ar-SA"/>
        </w:rPr>
        <w:t>.</w:t>
      </w:r>
    </w:p>
    <w:p w:rsidR="008E398C" w:rsidRDefault="008B4FFA">
      <w:pPr>
        <w:spacing w:before="240" w:after="20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W ramach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wskaźników efektywności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, podmiot w 2021 roku średnio potrzebował 57 dni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na uregulowanie zobowiązań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z tytułu dostaw towarów i usług (wskaźnik rotacji zobowiązań) oraz 21 dni na otrzymanie swoich należności (wskaźnik rotacji należności). Oznacza to,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że bez dopłat podmiotu tworzącego jednostka nie jest zdolna do samodzielnego regulowaniu swoich zobowiąza</w:t>
      </w:r>
      <w:r>
        <w:rPr>
          <w:color w:val="000000"/>
          <w:szCs w:val="20"/>
          <w:shd w:val="clear" w:color="auto" w:fill="FFFFFF"/>
          <w:lang w:eastAsia="en-US" w:bidi="ar-SA"/>
        </w:rPr>
        <w:t>ń.</w:t>
      </w:r>
    </w:p>
    <w:p w:rsidR="008E398C" w:rsidRDefault="008B4FFA">
      <w:pPr>
        <w:spacing w:after="20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 2021 roku wskaźnik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 zadłużenia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aktywów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jednostki wyniósł 52%, a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współczynnik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wypłacalności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1,84 co oznacza, że zadłużenie jednostki wynosi ponad połowę wartość jej aktywów, a na jedną złotówkę funduszu własnego przypada 1 zł funduszy obcych,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co potwie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rdza niestabilną sytuację finansową jednostki, która uzależniona jest od pozyskiwania środków zewnętrznych – w szczególności ze strony Miasta Łodzi. </w:t>
      </w:r>
    </w:p>
    <w:p w:rsidR="008E398C" w:rsidRDefault="008B4FFA">
      <w:p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Na podstawie wyliczonych wskaźników za 2021 rok Miejskie Centrum Medyczne </w:t>
      </w:r>
      <w:r>
        <w:rPr>
          <w:color w:val="000000"/>
          <w:szCs w:val="20"/>
          <w:shd w:val="clear" w:color="auto" w:fill="FFFFFF"/>
          <w:lang w:eastAsia="en-US" w:bidi="ar-SA"/>
        </w:rPr>
        <w:br/>
        <w:t xml:space="preserve">im.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dr</w:t>
      </w:r>
      <w:proofErr w:type="spellEnd"/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Karola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Jonschera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w Łodz</w:t>
      </w:r>
      <w:r>
        <w:rPr>
          <w:color w:val="000000"/>
          <w:szCs w:val="20"/>
          <w:shd w:val="clear" w:color="auto" w:fill="FFFFFF"/>
          <w:lang w:eastAsia="en-US" w:bidi="ar-SA"/>
        </w:rPr>
        <w:t>i uzyskało łączną ocenę punktową w wysokości 24 punktów (34,29%) możliwych do uzyskania, czyli tyle samo ile co za 2020 rok.</w:t>
      </w:r>
    </w:p>
    <w:p w:rsidR="008E398C" w:rsidRDefault="008B4FFA">
      <w:p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br w:type="column"/>
      </w:r>
    </w:p>
    <w:p w:rsidR="008E398C" w:rsidRDefault="008B4FFA">
      <w:pPr>
        <w:keepNext/>
        <w:spacing w:before="240" w:after="60"/>
        <w:jc w:val="left"/>
        <w:outlineLvl w:val="0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 xml:space="preserve">Wskaźniki Miejskiego Centrum Medycznego im. </w:t>
      </w:r>
      <w:proofErr w:type="spellStart"/>
      <w:r>
        <w:rPr>
          <w:b/>
          <w:szCs w:val="20"/>
          <w:lang w:eastAsia="en-US" w:bidi="ar-SA"/>
        </w:rPr>
        <w:t>dr</w:t>
      </w:r>
      <w:proofErr w:type="spellEnd"/>
      <w:r>
        <w:rPr>
          <w:b/>
          <w:szCs w:val="20"/>
          <w:lang w:eastAsia="en-US" w:bidi="ar-SA"/>
        </w:rPr>
        <w:t xml:space="preserve">. Karola </w:t>
      </w:r>
      <w:proofErr w:type="spellStart"/>
      <w:r>
        <w:rPr>
          <w:b/>
          <w:szCs w:val="20"/>
          <w:lang w:eastAsia="en-US" w:bidi="ar-SA"/>
        </w:rPr>
        <w:t>Jonschera</w:t>
      </w:r>
      <w:proofErr w:type="spellEnd"/>
      <w:r>
        <w:rPr>
          <w:b/>
          <w:szCs w:val="20"/>
          <w:lang w:eastAsia="en-US" w:bidi="ar-SA"/>
        </w:rPr>
        <w:t xml:space="preserve"> w Łodzi – prognoza </w:t>
      </w:r>
      <w:r>
        <w:rPr>
          <w:b/>
          <w:szCs w:val="20"/>
        </w:rPr>
        <w:br/>
      </w:r>
      <w:r>
        <w:rPr>
          <w:b/>
          <w:szCs w:val="20"/>
          <w:lang w:eastAsia="en-US" w:bidi="ar-SA"/>
        </w:rPr>
        <w:t>na lata 2022-2024</w:t>
      </w:r>
    </w:p>
    <w:tbl>
      <w:tblPr>
        <w:tblW w:w="9575" w:type="dxa"/>
        <w:jc w:val="center"/>
        <w:tblInd w:w="-72" w:type="dxa"/>
        <w:tblCellMar>
          <w:left w:w="70" w:type="dxa"/>
          <w:right w:w="70" w:type="dxa"/>
        </w:tblCellMar>
        <w:tblLook w:val="04A0"/>
      </w:tblPr>
      <w:tblGrid>
        <w:gridCol w:w="1962"/>
        <w:gridCol w:w="1399"/>
        <w:gridCol w:w="1134"/>
        <w:gridCol w:w="972"/>
        <w:gridCol w:w="1082"/>
        <w:gridCol w:w="972"/>
        <w:gridCol w:w="1082"/>
        <w:gridCol w:w="972"/>
      </w:tblGrid>
      <w:tr w:rsidR="008E398C">
        <w:trPr>
          <w:trHeight w:val="60"/>
          <w:jc w:val="center"/>
        </w:trPr>
        <w:tc>
          <w:tcPr>
            <w:tcW w:w="1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vAlign w:val="center"/>
          </w:tcPr>
          <w:p w:rsidR="008E398C" w:rsidRDefault="008B4FFA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Grupa</w:t>
            </w:r>
          </w:p>
        </w:tc>
        <w:tc>
          <w:tcPr>
            <w:tcW w:w="1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</w:tcPr>
          <w:p w:rsidR="008E398C" w:rsidRDefault="008B4FFA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Wskaźniki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E398C" w:rsidRDefault="008B4FFA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2022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vAlign w:val="center"/>
          </w:tcPr>
          <w:p w:rsidR="008E398C" w:rsidRDefault="008B4FFA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2023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E398C" w:rsidRDefault="008B4FFA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2024</w:t>
            </w:r>
          </w:p>
        </w:tc>
      </w:tr>
      <w:tr w:rsidR="008E398C">
        <w:trPr>
          <w:trHeight w:val="320"/>
          <w:jc w:val="center"/>
        </w:trPr>
        <w:tc>
          <w:tcPr>
            <w:tcW w:w="1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398C" w:rsidRDefault="008E398C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1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E398C" w:rsidRDefault="008E398C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E398C" w:rsidRDefault="008B4FFA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Wskaźnik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E398C" w:rsidRDefault="008B4FFA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Ilość punktów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E398C" w:rsidRDefault="008B4FFA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Wskaźnik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99"/>
            <w:vAlign w:val="center"/>
          </w:tcPr>
          <w:p w:rsidR="008E398C" w:rsidRDefault="008B4FFA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Ilość punktów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E398C" w:rsidRDefault="008B4FFA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Wskaźnik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E398C" w:rsidRDefault="008B4FFA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Ilość punktów</w:t>
            </w:r>
          </w:p>
        </w:tc>
      </w:tr>
      <w:tr w:rsidR="008E398C">
        <w:trPr>
          <w:trHeight w:val="356"/>
          <w:jc w:val="center"/>
        </w:trPr>
        <w:tc>
          <w:tcPr>
            <w:tcW w:w="19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8E398C" w:rsidRDefault="008B4FFA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WSKAŹNIKI ZYSKOWNOŚCI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E398C" w:rsidRDefault="008B4FFA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zyskowności  netto 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-7,40%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-4,41%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-3,04%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</w:t>
            </w:r>
          </w:p>
        </w:tc>
      </w:tr>
      <w:tr w:rsidR="008E398C">
        <w:trPr>
          <w:trHeight w:val="818"/>
          <w:jc w:val="center"/>
        </w:trPr>
        <w:tc>
          <w:tcPr>
            <w:tcW w:w="19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398C" w:rsidRDefault="008E398C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E398C" w:rsidRDefault="008B4FFA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zyskowności działalności operacyjnej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-5,85%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-2,90%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-1,74%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</w:t>
            </w:r>
          </w:p>
        </w:tc>
      </w:tr>
      <w:tr w:rsidR="008E398C">
        <w:trPr>
          <w:trHeight w:val="350"/>
          <w:jc w:val="center"/>
        </w:trPr>
        <w:tc>
          <w:tcPr>
            <w:tcW w:w="19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398C" w:rsidRDefault="008E398C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E398C" w:rsidRDefault="008B4FFA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zysk</w:t>
            </w: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owność aktywów (%)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-8,78%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-5,53%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-3,92%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</w:t>
            </w:r>
          </w:p>
        </w:tc>
      </w:tr>
      <w:tr w:rsidR="008E398C">
        <w:trPr>
          <w:trHeight w:val="400"/>
          <w:jc w:val="center"/>
        </w:trPr>
        <w:tc>
          <w:tcPr>
            <w:tcW w:w="3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8E398C" w:rsidRDefault="008B4FFA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 xml:space="preserve"> Maksymalna ocena punktowa </w:t>
            </w: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br/>
              <w:t xml:space="preserve">15 </w:t>
            </w:r>
            <w:proofErr w:type="spellStart"/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pkt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CC"/>
            <w:vAlign w:val="center"/>
          </w:tcPr>
          <w:p w:rsidR="008E398C" w:rsidRDefault="008B4FFA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Razem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8E398C" w:rsidRDefault="008B4FFA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CC"/>
            <w:vAlign w:val="center"/>
          </w:tcPr>
          <w:p w:rsidR="008E398C" w:rsidRDefault="008E398C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8E398C" w:rsidRDefault="008B4FFA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FFCC"/>
            <w:vAlign w:val="center"/>
          </w:tcPr>
          <w:p w:rsidR="008E398C" w:rsidRDefault="008E398C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8E398C" w:rsidRDefault="008B4FFA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</w:t>
            </w:r>
          </w:p>
        </w:tc>
      </w:tr>
      <w:tr w:rsidR="008E398C">
        <w:trPr>
          <w:trHeight w:val="294"/>
          <w:jc w:val="center"/>
        </w:trPr>
        <w:tc>
          <w:tcPr>
            <w:tcW w:w="19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8E398C" w:rsidRDefault="008B4FFA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WSKAŹNIKI PŁYNNOŚCI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E398C" w:rsidRDefault="008B4FFA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bieżącej płynności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0,23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0,24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0,22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</w:t>
            </w:r>
          </w:p>
        </w:tc>
      </w:tr>
      <w:tr w:rsidR="008E398C">
        <w:trPr>
          <w:trHeight w:val="60"/>
          <w:jc w:val="center"/>
        </w:trPr>
        <w:tc>
          <w:tcPr>
            <w:tcW w:w="19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398C" w:rsidRDefault="008E398C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E398C" w:rsidRDefault="008B4FFA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szybkiej płynności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0,15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0,17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0,16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</w:t>
            </w:r>
          </w:p>
        </w:tc>
      </w:tr>
      <w:tr w:rsidR="008E398C">
        <w:trPr>
          <w:trHeight w:val="96"/>
          <w:jc w:val="center"/>
        </w:trPr>
        <w:tc>
          <w:tcPr>
            <w:tcW w:w="3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8E398C" w:rsidRDefault="008B4FFA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 xml:space="preserve"> Maksymalna ocena punktowa </w:t>
            </w: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br/>
              <w:t xml:space="preserve">25 </w:t>
            </w:r>
            <w:proofErr w:type="spellStart"/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pkt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FF"/>
            <w:vAlign w:val="center"/>
          </w:tcPr>
          <w:p w:rsidR="008E398C" w:rsidRDefault="008B4FFA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Razem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8E398C" w:rsidRDefault="008B4FFA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FF"/>
            <w:vAlign w:val="center"/>
          </w:tcPr>
          <w:p w:rsidR="008E398C" w:rsidRDefault="008E398C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FF"/>
            <w:vAlign w:val="center"/>
          </w:tcPr>
          <w:p w:rsidR="008E398C" w:rsidRDefault="008B4FFA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FF"/>
            <w:vAlign w:val="center"/>
          </w:tcPr>
          <w:p w:rsidR="008E398C" w:rsidRDefault="008E398C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8E398C" w:rsidRDefault="008B4FFA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</w:t>
            </w:r>
          </w:p>
        </w:tc>
      </w:tr>
      <w:tr w:rsidR="008E398C">
        <w:trPr>
          <w:trHeight w:val="430"/>
          <w:jc w:val="center"/>
        </w:trPr>
        <w:tc>
          <w:tcPr>
            <w:tcW w:w="19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8E398C" w:rsidRDefault="008B4FFA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 xml:space="preserve">WSKAŹNIKI </w:t>
            </w: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EFEKTYWNOŚCI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E398C" w:rsidRDefault="008B4FFA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 xml:space="preserve">rotacji należności </w:t>
            </w: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br/>
              <w:t>(w dniach)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3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3</w:t>
            </w:r>
          </w:p>
        </w:tc>
      </w:tr>
      <w:tr w:rsidR="008E398C">
        <w:trPr>
          <w:trHeight w:val="355"/>
          <w:jc w:val="center"/>
        </w:trPr>
        <w:tc>
          <w:tcPr>
            <w:tcW w:w="19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398C" w:rsidRDefault="008E398C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E398C" w:rsidRDefault="008B4FFA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rotacji zobowiązań (w dniach)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81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</w:t>
            </w:r>
          </w:p>
        </w:tc>
      </w:tr>
      <w:tr w:rsidR="008E398C">
        <w:trPr>
          <w:trHeight w:val="263"/>
          <w:jc w:val="center"/>
        </w:trPr>
        <w:tc>
          <w:tcPr>
            <w:tcW w:w="3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8E398C" w:rsidRDefault="008B4FFA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 xml:space="preserve">Maksymalna ocena punktowa </w:t>
            </w: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br/>
              <w:t xml:space="preserve">10 </w:t>
            </w:r>
            <w:proofErr w:type="spellStart"/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pkt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CC"/>
            <w:vAlign w:val="center"/>
          </w:tcPr>
          <w:p w:rsidR="008E398C" w:rsidRDefault="008B4FFA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Razem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8E398C" w:rsidRDefault="008B4FFA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7</w:t>
            </w: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CC"/>
            <w:vAlign w:val="center"/>
          </w:tcPr>
          <w:p w:rsidR="008E398C" w:rsidRDefault="008E398C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CC"/>
            <w:vAlign w:val="center"/>
          </w:tcPr>
          <w:p w:rsidR="008E398C" w:rsidRDefault="008B4FFA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  <w:vAlign w:val="center"/>
          </w:tcPr>
          <w:p w:rsidR="008E398C" w:rsidRDefault="008E398C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8E398C" w:rsidRDefault="008B4FFA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3</w:t>
            </w:r>
          </w:p>
        </w:tc>
      </w:tr>
      <w:tr w:rsidR="008E398C">
        <w:trPr>
          <w:trHeight w:val="318"/>
          <w:jc w:val="center"/>
        </w:trPr>
        <w:tc>
          <w:tcPr>
            <w:tcW w:w="19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8E398C" w:rsidRDefault="008B4FFA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WSKAŹNIKI ZADŁUŻENIA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E398C" w:rsidRDefault="008B4FFA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zadłużenia aktywów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61%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65%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3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70%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3</w:t>
            </w:r>
          </w:p>
        </w:tc>
      </w:tr>
      <w:tr w:rsidR="008E398C">
        <w:trPr>
          <w:trHeight w:val="60"/>
          <w:jc w:val="center"/>
        </w:trPr>
        <w:tc>
          <w:tcPr>
            <w:tcW w:w="19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398C" w:rsidRDefault="008E398C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E398C" w:rsidRDefault="008B4FFA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wypłacalności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2,86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3,41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4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4,49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</w:t>
            </w:r>
          </w:p>
        </w:tc>
      </w:tr>
      <w:tr w:rsidR="008E398C">
        <w:trPr>
          <w:trHeight w:val="60"/>
          <w:jc w:val="center"/>
        </w:trPr>
        <w:tc>
          <w:tcPr>
            <w:tcW w:w="3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8E398C" w:rsidRDefault="008B4FFA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 xml:space="preserve">Maksymalna ocena punktowa </w:t>
            </w: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br/>
              <w:t xml:space="preserve">20 </w:t>
            </w:r>
            <w:proofErr w:type="spellStart"/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pkt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FF"/>
            <w:vAlign w:val="center"/>
          </w:tcPr>
          <w:p w:rsidR="008E398C" w:rsidRDefault="008B4FFA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Razem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8E398C" w:rsidRDefault="008B4FFA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7</w:t>
            </w: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FF"/>
            <w:vAlign w:val="center"/>
          </w:tcPr>
          <w:p w:rsidR="008E398C" w:rsidRDefault="008E398C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FF"/>
            <w:vAlign w:val="center"/>
          </w:tcPr>
          <w:p w:rsidR="008E398C" w:rsidRDefault="008B4FFA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FF"/>
            <w:vAlign w:val="center"/>
          </w:tcPr>
          <w:p w:rsidR="008E398C" w:rsidRDefault="008E398C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8E398C" w:rsidRDefault="008B4FFA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3</w:t>
            </w:r>
          </w:p>
        </w:tc>
      </w:tr>
      <w:tr w:rsidR="008E398C">
        <w:trPr>
          <w:trHeight w:val="266"/>
          <w:jc w:val="center"/>
        </w:trPr>
        <w:tc>
          <w:tcPr>
            <w:tcW w:w="3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vAlign w:val="center"/>
          </w:tcPr>
          <w:p w:rsidR="008E398C" w:rsidRDefault="008B4FFA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Łączna wartość punktów osiągniętych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E398C" w:rsidRDefault="008B4FFA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14 (20%)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E398C" w:rsidRDefault="008B4FFA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10 (14,29%)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E398C" w:rsidRDefault="008B4FFA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6 (8,57%)</w:t>
            </w:r>
          </w:p>
        </w:tc>
      </w:tr>
      <w:tr w:rsidR="008E398C">
        <w:trPr>
          <w:trHeight w:val="160"/>
          <w:jc w:val="center"/>
        </w:trPr>
        <w:tc>
          <w:tcPr>
            <w:tcW w:w="3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8E398C" w:rsidRDefault="008B4FFA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Maksymalna wartość punktów możliwych do osiągnięcia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8E398C" w:rsidRDefault="008B4FFA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70   (100%)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8E398C" w:rsidRDefault="008B4FFA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70   (100%)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8E398C" w:rsidRDefault="008B4FFA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70   (100%)</w:t>
            </w:r>
          </w:p>
        </w:tc>
      </w:tr>
    </w:tbl>
    <w:p w:rsidR="008E398C" w:rsidRDefault="008B4FFA">
      <w:pPr>
        <w:spacing w:before="24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Prognozowane przez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Miejskie Centrum Medyczne im.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dr</w:t>
      </w:r>
      <w:proofErr w:type="spellEnd"/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Karola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Jonschera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w Łodzi wskaźniki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na lata 2022-2024:</w:t>
      </w:r>
    </w:p>
    <w:p w:rsidR="008E398C" w:rsidRDefault="008B4FFA">
      <w:pPr>
        <w:numPr>
          <w:ilvl w:val="0"/>
          <w:numId w:val="3"/>
        </w:numPr>
        <w:tabs>
          <w:tab w:val="left" w:pos="360"/>
        </w:tabs>
        <w:spacing w:line="276" w:lineRule="auto"/>
        <w:ind w:left="360"/>
        <w:jc w:val="both"/>
        <w:rPr>
          <w:color w:val="000000"/>
          <w:szCs w:val="20"/>
          <w:u w:val="single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Wskaźniki zyskowności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Miejskie Centrum Medyczne im.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dr</w:t>
      </w:r>
      <w:proofErr w:type="spellEnd"/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Karola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Jonschera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w Łodzi prognozuje spadek wartości w 2022 roku (od -8,78% do -5,85%) poprawę w latach 2023-2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024 (od -5,53 do -1,74%) co prognozuje rozwój działalności, lepsze wykorzystanie własnego potencjału oraz sukcesywną poprawę sytuacji finansowej podmiotu. </w:t>
      </w:r>
    </w:p>
    <w:p w:rsidR="008E398C" w:rsidRDefault="008B4FFA">
      <w:pPr>
        <w:numPr>
          <w:ilvl w:val="0"/>
          <w:numId w:val="3"/>
        </w:numPr>
        <w:tabs>
          <w:tab w:val="left" w:pos="360"/>
        </w:tabs>
        <w:spacing w:line="276" w:lineRule="auto"/>
        <w:ind w:left="36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Wskaźniki płynności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zgodnie z przyjętymi założeniami jednostka prognozuje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w dalszym ciągu trudnoś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ci z zachowaniem płynności finansowej podmiotu. Wartości wskaźników oscylują w granicach 0,15-0,24. Oznacza to, że w dalszym ciągu będzie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 xml:space="preserve">on wymagał wsparcia finansowego ze strony podmiotu tworzącego. </w:t>
      </w:r>
    </w:p>
    <w:p w:rsidR="008E398C" w:rsidRDefault="008B4FFA">
      <w:pPr>
        <w:numPr>
          <w:ilvl w:val="0"/>
          <w:numId w:val="3"/>
        </w:numPr>
        <w:tabs>
          <w:tab w:val="left" w:pos="360"/>
        </w:tabs>
        <w:spacing w:line="276" w:lineRule="auto"/>
        <w:ind w:left="36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Wskaźniki efektywności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prognoza przewiduje lekką po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prawę w zakresie rotacji należności (17-13 dni) oraz pogorszanie się wskaźnika rotacji zobowiązań (81-124 dni). Oznacza to,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lastRenderedPageBreak/>
        <w:t>że Miejskie Centrum Medyczne</w:t>
      </w:r>
      <w:r>
        <w:rPr>
          <w:color w:val="000000"/>
          <w:szCs w:val="20"/>
          <w:shd w:val="clear" w:color="auto" w:fill="FFFFFF"/>
        </w:rPr>
        <w:t xml:space="preserve"> im. </w:t>
      </w:r>
      <w:proofErr w:type="spellStart"/>
      <w:r>
        <w:rPr>
          <w:color w:val="000000"/>
          <w:szCs w:val="20"/>
          <w:shd w:val="clear" w:color="auto" w:fill="FFFFFF"/>
        </w:rPr>
        <w:t>dr</w:t>
      </w:r>
      <w:proofErr w:type="spellEnd"/>
      <w:r>
        <w:rPr>
          <w:color w:val="000000"/>
          <w:szCs w:val="20"/>
          <w:shd w:val="clear" w:color="auto" w:fill="FFFFFF"/>
        </w:rPr>
        <w:t xml:space="preserve">. Karola </w:t>
      </w:r>
      <w:proofErr w:type="spellStart"/>
      <w:r>
        <w:rPr>
          <w:color w:val="000000"/>
          <w:szCs w:val="20"/>
          <w:shd w:val="clear" w:color="auto" w:fill="FFFFFF"/>
        </w:rPr>
        <w:t>Jonschera</w:t>
      </w:r>
      <w:proofErr w:type="spellEnd"/>
      <w:r>
        <w:rPr>
          <w:color w:val="000000"/>
          <w:szCs w:val="20"/>
          <w:shd w:val="clear" w:color="auto" w:fill="FFFFFF"/>
        </w:rPr>
        <w:t xml:space="preserve"> w Łodzi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przewiduje pogłębianie </w:t>
      </w:r>
      <w:r>
        <w:rPr>
          <w:color w:val="000000"/>
          <w:szCs w:val="20"/>
          <w:shd w:val="clear" w:color="auto" w:fill="FFFFFF"/>
        </w:rPr>
        <w:br/>
        <w:t>s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ię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problemów z terminowym pokrywaniem zobowi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ązań z uwagi na planowane ujemne wyniku finansowe i wzrostem zobowiązań  wymagalnych. </w:t>
      </w:r>
    </w:p>
    <w:p w:rsidR="008E398C" w:rsidRDefault="008B4FFA">
      <w:pPr>
        <w:numPr>
          <w:ilvl w:val="0"/>
          <w:numId w:val="3"/>
        </w:numPr>
        <w:tabs>
          <w:tab w:val="left" w:pos="360"/>
        </w:tabs>
        <w:spacing w:line="276" w:lineRule="auto"/>
        <w:ind w:left="36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Wskaźniki zadłużenia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–przewiduje się pogorszenie sytuacji finansowej jednostki. Zadłużenie aktywów oszacowano na poziomie 61% do 70%,</w:t>
      </w:r>
      <w:r>
        <w:rPr>
          <w:i/>
          <w:color w:val="FF0000"/>
          <w:szCs w:val="20"/>
          <w:shd w:val="clear" w:color="auto" w:fill="FFFFFF"/>
          <w:lang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co oznacza, że w tej wysokości źród</w:t>
      </w:r>
      <w:r>
        <w:rPr>
          <w:color w:val="000000"/>
          <w:szCs w:val="20"/>
          <w:shd w:val="clear" w:color="auto" w:fill="FFFFFF"/>
          <w:lang w:eastAsia="en-US" w:bidi="ar-SA"/>
        </w:rPr>
        <w:t>ła finansowania aktywów stanowią kapitały obce. Z kolei wskaźnik wypłacalności w danym okresie oszacowana na poziomie 2,86-4,49. W rezultacie, na jedną złotówkę funduszu własnego przypada od 2 złoty i 86 groszy do 4 złoty 49 groszy kapitałów obcych (zadłuż</w:t>
      </w:r>
      <w:r>
        <w:rPr>
          <w:color w:val="000000"/>
          <w:szCs w:val="20"/>
          <w:shd w:val="clear" w:color="auto" w:fill="FFFFFF"/>
          <w:lang w:eastAsia="en-US" w:bidi="ar-SA"/>
        </w:rPr>
        <w:t>enia), na co wpływ ma zmniejszenie funduszu własnego z uwagi na osiągane wyniki finansowe i rosnące zadłużenie.</w:t>
      </w:r>
    </w:p>
    <w:p w:rsidR="008E398C" w:rsidRDefault="008B4FFA">
      <w:pPr>
        <w:spacing w:before="240" w:line="276" w:lineRule="auto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Prognoza Miejskiego Centrum Medycznego im. </w:t>
      </w:r>
      <w:proofErr w:type="spellStart"/>
      <w:r>
        <w:rPr>
          <w:b/>
          <w:color w:val="000000"/>
          <w:szCs w:val="20"/>
          <w:shd w:val="clear" w:color="auto" w:fill="FFFFFF"/>
          <w:lang w:eastAsia="en-US" w:bidi="ar-SA"/>
        </w:rPr>
        <w:t>dr</w:t>
      </w:r>
      <w:proofErr w:type="spellEnd"/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. Karola </w:t>
      </w:r>
      <w:proofErr w:type="spellStart"/>
      <w:r>
        <w:rPr>
          <w:b/>
          <w:color w:val="000000"/>
          <w:szCs w:val="20"/>
          <w:shd w:val="clear" w:color="auto" w:fill="FFFFFF"/>
          <w:lang w:eastAsia="en-US" w:bidi="ar-SA"/>
        </w:rPr>
        <w:t>Jonschera</w:t>
      </w:r>
      <w:proofErr w:type="spellEnd"/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 w Łodzi na lata 2022-2024 (zł)</w:t>
      </w:r>
    </w:p>
    <w:tbl>
      <w:tblPr>
        <w:tblW w:w="9014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91"/>
        <w:gridCol w:w="713"/>
        <w:gridCol w:w="6"/>
        <w:gridCol w:w="900"/>
        <w:gridCol w:w="1079"/>
        <w:gridCol w:w="720"/>
        <w:gridCol w:w="1264"/>
        <w:gridCol w:w="900"/>
        <w:gridCol w:w="1441"/>
      </w:tblGrid>
      <w:tr w:rsidR="008E398C">
        <w:trPr>
          <w:trHeight w:val="257"/>
        </w:trPr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</w:tcPr>
          <w:p w:rsidR="008E398C" w:rsidRDefault="008B4FFA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Dane bilansowe</w:t>
            </w:r>
          </w:p>
        </w:tc>
        <w:tc>
          <w:tcPr>
            <w:tcW w:w="7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 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2022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wartość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2023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wartość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2024</w:t>
            </w:r>
          </w:p>
        </w:tc>
        <w:tc>
          <w:tcPr>
            <w:tcW w:w="1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E398C" w:rsidRDefault="008B4FFA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wartość</w:t>
            </w:r>
          </w:p>
        </w:tc>
      </w:tr>
      <w:tr w:rsidR="008E398C">
        <w:trPr>
          <w:trHeight w:val="470"/>
        </w:trPr>
        <w:tc>
          <w:tcPr>
            <w:tcW w:w="27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398C" w:rsidRDefault="008B4FFA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 xml:space="preserve">Wynik finansowy netto                                             trend: </w:t>
            </w: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br/>
            </w: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rosnący</w:t>
            </w: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 xml:space="preserve"> / malejący /stały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8E398C" w:rsidRDefault="008B4FFA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-9.910.000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8E398C" w:rsidRDefault="008B4FFA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-6.271.000</w:t>
            </w:r>
          </w:p>
        </w:tc>
        <w:tc>
          <w:tcPr>
            <w:tcW w:w="23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8E398C" w:rsidRDefault="008B4FFA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-4.539.150</w:t>
            </w:r>
          </w:p>
        </w:tc>
      </w:tr>
      <w:tr w:rsidR="008E398C">
        <w:trPr>
          <w:trHeight w:val="81"/>
        </w:trPr>
        <w:tc>
          <w:tcPr>
            <w:tcW w:w="901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398C" w:rsidRDefault="008B4FFA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wnioski : prognozuje się poprawę wyników w kolejnych latach</w:t>
            </w:r>
          </w:p>
        </w:tc>
      </w:tr>
      <w:tr w:rsidR="008E398C">
        <w:trPr>
          <w:trHeight w:val="527"/>
        </w:trPr>
        <w:tc>
          <w:tcPr>
            <w:tcW w:w="27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398C" w:rsidRDefault="008B4FFA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 xml:space="preserve">Majątek trwały                                                         trend: </w:t>
            </w: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br/>
            </w: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rosnący</w:t>
            </w: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 xml:space="preserve"> / malejący /stały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8E398C" w:rsidRDefault="008B4FFA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100.289.646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8E398C" w:rsidRDefault="008B4FFA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100.803.784</w:t>
            </w:r>
          </w:p>
        </w:tc>
        <w:tc>
          <w:tcPr>
            <w:tcW w:w="23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8E398C" w:rsidRDefault="008B4FFA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100.855.784</w:t>
            </w:r>
          </w:p>
        </w:tc>
      </w:tr>
      <w:tr w:rsidR="008E398C">
        <w:trPr>
          <w:trHeight w:val="131"/>
        </w:trPr>
        <w:tc>
          <w:tcPr>
            <w:tcW w:w="901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398C" w:rsidRDefault="008B4FFA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wnioski: trend (lekko) rosnący w wyniku realizacji inwestycji i koniecznych zakupów</w:t>
            </w:r>
          </w:p>
        </w:tc>
      </w:tr>
      <w:tr w:rsidR="008E398C">
        <w:trPr>
          <w:trHeight w:val="239"/>
        </w:trPr>
        <w:tc>
          <w:tcPr>
            <w:tcW w:w="27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398C" w:rsidRDefault="008B4FFA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 xml:space="preserve">Kapitał własny                                                 trend: </w:t>
            </w: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br/>
              <w:t xml:space="preserve">rosnący / </w:t>
            </w: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malejący</w:t>
            </w: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 xml:space="preserve"> / stały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8E398C" w:rsidRDefault="008B4FFA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23.739.000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8E398C" w:rsidRDefault="008B4FFA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21.878.000</w:t>
            </w:r>
          </w:p>
        </w:tc>
        <w:tc>
          <w:tcPr>
            <w:tcW w:w="23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8E398C" w:rsidRDefault="008B4FFA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18.109.850</w:t>
            </w:r>
          </w:p>
        </w:tc>
      </w:tr>
      <w:tr w:rsidR="008E398C">
        <w:trPr>
          <w:trHeight w:val="307"/>
        </w:trPr>
        <w:tc>
          <w:tcPr>
            <w:tcW w:w="901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398C" w:rsidRDefault="008B4FFA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wnioski: planowane wciąż ujemne wyniki finansowe w latach 2022-2024</w:t>
            </w:r>
          </w:p>
        </w:tc>
      </w:tr>
      <w:tr w:rsidR="008E398C">
        <w:trPr>
          <w:trHeight w:val="307"/>
        </w:trPr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398C" w:rsidRDefault="008B4FFA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 xml:space="preserve">Wynik finansowy ze sprzedaży                                             </w:t>
            </w:r>
          </w:p>
        </w:tc>
        <w:tc>
          <w:tcPr>
            <w:tcW w:w="19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398C" w:rsidRDefault="008B4FFA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-8.110.000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398C" w:rsidRDefault="008B4FFA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-6.251.000</w:t>
            </w:r>
          </w:p>
        </w:tc>
        <w:tc>
          <w:tcPr>
            <w:tcW w:w="2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398C" w:rsidRDefault="008B4FFA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-4.619.150</w:t>
            </w:r>
          </w:p>
        </w:tc>
      </w:tr>
      <w:tr w:rsidR="008E398C">
        <w:trPr>
          <w:trHeight w:val="307"/>
        </w:trPr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398C" w:rsidRDefault="008B4FFA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Wynik finansowy z działalności operacyjnej</w:t>
            </w:r>
          </w:p>
        </w:tc>
        <w:tc>
          <w:tcPr>
            <w:tcW w:w="19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398C" w:rsidRDefault="008B4FFA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-7.835.000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398C" w:rsidRDefault="008B4FFA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-4.126.000</w:t>
            </w:r>
          </w:p>
        </w:tc>
        <w:tc>
          <w:tcPr>
            <w:tcW w:w="2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398C" w:rsidRDefault="008B4FFA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-2.594.150</w:t>
            </w:r>
          </w:p>
        </w:tc>
      </w:tr>
      <w:tr w:rsidR="008E398C">
        <w:trPr>
          <w:trHeight w:val="307"/>
        </w:trPr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398C" w:rsidRDefault="008B4FFA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 xml:space="preserve">Koszty amortyzacji                                              </w:t>
            </w:r>
          </w:p>
        </w:tc>
        <w:tc>
          <w:tcPr>
            <w:tcW w:w="19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398C" w:rsidRDefault="008B4FFA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5.500.000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398C" w:rsidRDefault="008B4FFA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5.500.000</w:t>
            </w:r>
          </w:p>
        </w:tc>
        <w:tc>
          <w:tcPr>
            <w:tcW w:w="2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398C" w:rsidRDefault="008B4FFA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5.500.000</w:t>
            </w:r>
          </w:p>
        </w:tc>
      </w:tr>
      <w:tr w:rsidR="008E398C">
        <w:trPr>
          <w:trHeight w:val="307"/>
        </w:trPr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398C" w:rsidRDefault="008B4FFA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Wynik finansowy netto po dodaniu kosztów amortyzacji</w:t>
            </w:r>
          </w:p>
        </w:tc>
        <w:tc>
          <w:tcPr>
            <w:tcW w:w="19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398C" w:rsidRDefault="008B4FFA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-4.410.000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398C" w:rsidRDefault="008B4FFA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-771.000</w:t>
            </w:r>
          </w:p>
        </w:tc>
        <w:tc>
          <w:tcPr>
            <w:tcW w:w="2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398C" w:rsidRDefault="008B4FFA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960.850</w:t>
            </w:r>
          </w:p>
        </w:tc>
      </w:tr>
    </w:tbl>
    <w:p w:rsidR="008E398C" w:rsidRDefault="008B4FFA">
      <w:pPr>
        <w:spacing w:before="240" w:after="20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Prognoza finansowa Miejskiego Centrum Medycznego im.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dr</w:t>
      </w:r>
      <w:proofErr w:type="spellEnd"/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Karola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Jonschera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w Łodzi oparta została na planie rzeczowo-finansowym 2022 roku oraz w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oparciu m.in. o opracowania rządowe określające wieloletni plan finansowy państwa oraz zmiany w zakresie inflacji oraz PKB.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W prognozach uwzględniono obowiązujące zasady finansowania świadczeń ze środków publicznych, zmiany organizacyjne, a także założen</w:t>
      </w:r>
      <w:r>
        <w:rPr>
          <w:color w:val="000000"/>
          <w:szCs w:val="20"/>
          <w:shd w:val="clear" w:color="auto" w:fill="FFFFFF"/>
          <w:lang w:eastAsia="en-US" w:bidi="ar-SA"/>
        </w:rPr>
        <w:t>ia zawarte w „Programie naprawczym” jednostki na lata 2021-2022. Należy podkreślić, że zakontraktowane świadczenia stanowią podstawowe źródło dochodów dla jednostki.</w:t>
      </w:r>
    </w:p>
    <w:p w:rsidR="008E398C" w:rsidRDefault="008B4FFA">
      <w:pPr>
        <w:spacing w:after="20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Prognoza na lata 2022-2024 Miejskiego Centrum Medycznego im.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dr</w:t>
      </w:r>
      <w:proofErr w:type="spellEnd"/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Karola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Jonschera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w Łodzi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zakłada rozwój prowadzonej działalności oraz podnoszenie jakości dotychczasowych świadczeń. Na lata 2022-2024 założono: stabilizację przychodów w 2022 roku oraz ich wzrost na poziomie wzrostu wynagrodzeń, zakładanej inflacji oraz wartości dodatkowych świa</w:t>
      </w:r>
      <w:r>
        <w:rPr>
          <w:color w:val="000000"/>
          <w:szCs w:val="20"/>
          <w:shd w:val="clear" w:color="auto" w:fill="FFFFFF"/>
          <w:lang w:eastAsia="en-US" w:bidi="ar-SA"/>
        </w:rPr>
        <w:t>dczeń, które</w:t>
      </w:r>
      <w:r>
        <w:rPr>
          <w:color w:val="000000"/>
          <w:szCs w:val="20"/>
          <w:shd w:val="clear" w:color="auto" w:fill="FFFFFF"/>
        </w:rPr>
        <w:t xml:space="preserve"> jednostka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zamierza realizować dla głównego płatnika. Przyjęto założenie, że wartość przychodów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ze środków publicznych, która powinna gwarantować świadczenia gwarantowane dla osób uprawnionych nie może być obniżona nawet przy zmniejszeniu przy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chodów NFZ ze składek zdrowotnych ponieważ ustawa o finansowaniu świadczeń ze środków publicznych gwarantuje </w:t>
      </w:r>
      <w:r>
        <w:rPr>
          <w:color w:val="000000"/>
          <w:szCs w:val="20"/>
          <w:shd w:val="clear" w:color="auto" w:fill="FFFFFF"/>
          <w:lang w:eastAsia="en-US" w:bidi="ar-SA"/>
        </w:rPr>
        <w:lastRenderedPageBreak/>
        <w:t>rosnący udział w PKB środków przeznaczonych na ochronę zdrowia. W przypadku niewystarczających środków pochodzących ze składek zdrowotnych będący s</w:t>
      </w:r>
      <w:r>
        <w:rPr>
          <w:color w:val="000000"/>
          <w:szCs w:val="20"/>
          <w:shd w:val="clear" w:color="auto" w:fill="FFFFFF"/>
          <w:lang w:eastAsia="en-US" w:bidi="ar-SA"/>
        </w:rPr>
        <w:t>kutkiem spadku zatrudnienia oraz obniżeniem wynagrodzeń pozostała część środków pochodzić będzie z budżetu państwa  i w pierwszej kolejności ma być przeznaczona na finansowanie świadczeń gwarantowanych.</w:t>
      </w:r>
    </w:p>
    <w:p w:rsidR="008E398C" w:rsidRDefault="008B4FFA">
      <w:pPr>
        <w:spacing w:after="20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Prognoza przychodów na 2022 rok i na lata następne została oparta na planie rzeczowo-finansowym. W prognozach na lata 2022-2024 jednostka dąży do osiągnięcia lepszych wyników finansowych i równoważenia ponoszonych kosztów osiąganymi przychodami.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W celu ró</w:t>
      </w:r>
      <w:r>
        <w:rPr>
          <w:color w:val="000000"/>
          <w:szCs w:val="20"/>
          <w:shd w:val="clear" w:color="auto" w:fill="FFFFFF"/>
          <w:lang w:eastAsia="en-US" w:bidi="ar-SA"/>
        </w:rPr>
        <w:t>wnoważenia kosztów osiąganymi przychodami planowane są m.in.: zmiany organizacyjne, dalsza poprawa jakości leczenia poprzez wprowadzenie kompleksowego leczenia. W celu uzyskania wyższych przychodów jednostka zakłada zwiększenie ilości wykonywanych świadcze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ń w ramach prowadzonej w dotychczasowym zakresie działalności finansowanej przez NFZ poprzez m.in. zwiększenie wykonywanych hospitalizacji w zakresach dodatkowo finansowanych przez NFZ czyli onkologicznych na oddziale chirurgii i ginekologii, świadczeń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end</w:t>
      </w:r>
      <w:r>
        <w:rPr>
          <w:color w:val="000000"/>
          <w:szCs w:val="20"/>
          <w:shd w:val="clear" w:color="auto" w:fill="FFFFFF"/>
          <w:lang w:eastAsia="en-US" w:bidi="ar-SA"/>
        </w:rPr>
        <w:t>oprotezoplastyki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stawów biodrowych i kolanowych oraz barkowych, świadczeń w zakresie okulistyki – procedury wszczepienia rogówki, usuwania zaćmy, świadczeń w ambulatoryjnej opiece specjalistycznej, zwiększenie ilość łóżek na realizację świadczeń dla popula</w:t>
      </w:r>
      <w:r>
        <w:rPr>
          <w:color w:val="000000"/>
          <w:szCs w:val="20"/>
          <w:shd w:val="clear" w:color="auto" w:fill="FFFFFF"/>
          <w:lang w:eastAsia="en-US" w:bidi="ar-SA"/>
        </w:rPr>
        <w:t>cji seniorów i osób niesamodzielnych (ZOL).</w:t>
      </w:r>
    </w:p>
    <w:p w:rsidR="008E398C" w:rsidRDefault="008B4FFA">
      <w:pPr>
        <w:spacing w:after="20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W roku 2022 inwestycje będą prowadzone w zakresie modernizacji pomieszczeń na parterze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 xml:space="preserve">oraz I piętrze Pawilonu B na potrzeby Oddziału Rehabilitacyjnego, Oddziału Rehabilitacji Neurologicznej, Oddziału Udarowego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i Oddziału Neurologicznego - I oraz II etap oraz tylko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w niezbędnym odtworzeniowym zakresie zakupów sprzętu. W roku 2022 jednostka kładzie nacisk na spłatę zobowiązań wymagalnych i ograniczenie ich narastania. Na rok 2022 założono pogorszenie wyniku finan</w:t>
      </w:r>
      <w:r>
        <w:rPr>
          <w:color w:val="000000"/>
          <w:szCs w:val="20"/>
          <w:shd w:val="clear" w:color="auto" w:fill="FFFFFF"/>
          <w:lang w:eastAsia="en-US" w:bidi="ar-SA"/>
        </w:rPr>
        <w:t>sowego w porównaniu z 2021 rokiem, co spowodowane jest wzrostem kosztów (efekt inflacji oraz sytuacją pandemiczną na początku roku, gdy jednostka nie realizowała świadczeń planowych).</w:t>
      </w:r>
    </w:p>
    <w:p w:rsidR="008E398C" w:rsidRDefault="008B4FFA">
      <w:pPr>
        <w:spacing w:after="20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 latach 2023-2024 inwestycje będą prowadzone tylko w niezbędnym odtworz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eniowym zakresie,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 xml:space="preserve">a działania jednostki skoncentrowane będą na spłacie zobowiązań wymagalnych </w:t>
      </w:r>
      <w:r>
        <w:rPr>
          <w:color w:val="000000"/>
          <w:szCs w:val="20"/>
          <w:shd w:val="clear" w:color="auto" w:fill="FFFFFF"/>
          <w:lang w:eastAsia="en-US" w:bidi="ar-SA"/>
        </w:rPr>
        <w:br/>
        <w:t xml:space="preserve">i ograniczenie ich narastania. </w:t>
      </w:r>
    </w:p>
    <w:p w:rsidR="008E398C" w:rsidRDefault="008B4FFA">
      <w:pPr>
        <w:spacing w:after="20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 latach 2023 -2024 jednostka zakłada poprawę wyniku finansowego w porównaniu z 2022 rokiem, ale niestety nie uda się jej zbilan</w:t>
      </w:r>
      <w:r>
        <w:rPr>
          <w:color w:val="000000"/>
          <w:szCs w:val="20"/>
          <w:shd w:val="clear" w:color="auto" w:fill="FFFFFF"/>
          <w:lang w:eastAsia="en-US" w:bidi="ar-SA"/>
        </w:rPr>
        <w:t>sować działalności.</w:t>
      </w:r>
    </w:p>
    <w:p w:rsidR="008E398C" w:rsidRDefault="008B4FFA">
      <w:pPr>
        <w:spacing w:after="20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Rok 2022 jest kolejnym rokiem spłaty kredytu, co wpływa na zmniejszenie zobowiązań długoterminowych, ale ogółem zobowiązania długo i krótkoterminowe w latach 2022-2024 ulegają zwiększeniu. Zmniejszeniu ulegają zobowiązania długoterminow</w:t>
      </w:r>
      <w:r>
        <w:rPr>
          <w:color w:val="000000"/>
          <w:szCs w:val="20"/>
          <w:shd w:val="clear" w:color="auto" w:fill="FFFFFF"/>
          <w:lang w:eastAsia="en-US" w:bidi="ar-SA"/>
        </w:rPr>
        <w:t>e (spłata kredytu), zwiększeniu krótkoterminowe, głównie zobowiązania z tytułu dostaw towarów i usług (wzrost w latach 2022-2024 w porównaniu do roku 2021 odpowiednio 53,43% / 97,215 / 141,00%).</w:t>
      </w:r>
    </w:p>
    <w:p w:rsidR="008E398C" w:rsidRDefault="008B4FFA">
      <w:pPr>
        <w:spacing w:before="240" w:line="276" w:lineRule="auto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Pozostałe założenia przyjęte przez Miejskie Centrum Medyczne im. </w:t>
      </w:r>
      <w:proofErr w:type="spellStart"/>
      <w:r>
        <w:rPr>
          <w:b/>
          <w:color w:val="000000"/>
          <w:szCs w:val="20"/>
          <w:shd w:val="clear" w:color="auto" w:fill="FFFFFF"/>
          <w:lang w:eastAsia="en-US" w:bidi="ar-SA"/>
        </w:rPr>
        <w:t>dr</w:t>
      </w:r>
      <w:proofErr w:type="spellEnd"/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. Karola </w:t>
      </w:r>
      <w:proofErr w:type="spellStart"/>
      <w:r>
        <w:rPr>
          <w:b/>
          <w:color w:val="000000"/>
          <w:szCs w:val="20"/>
          <w:shd w:val="clear" w:color="auto" w:fill="FFFFFF"/>
          <w:lang w:eastAsia="en-US" w:bidi="ar-SA"/>
        </w:rPr>
        <w:t>Jonschera</w:t>
      </w:r>
      <w:proofErr w:type="spellEnd"/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b/>
          <w:color w:val="000000"/>
          <w:szCs w:val="20"/>
          <w:shd w:val="clear" w:color="auto" w:fill="FFFFFF"/>
        </w:rPr>
        <w:br/>
        <w:t xml:space="preserve">w Łodzi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na lata 2022-2024</w:t>
      </w:r>
    </w:p>
    <w:p w:rsidR="008E398C" w:rsidRDefault="008B4FFA">
      <w:pPr>
        <w:spacing w:before="120" w:after="12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W prognozie na latach 2022-2024 Miejskie Centrum Medyczne im. dr Karola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Jonschera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w Łodzi przedstawiło działania mające na celu zniwelowanie s</w:t>
      </w:r>
      <w:r>
        <w:rPr>
          <w:color w:val="000000"/>
          <w:szCs w:val="20"/>
          <w:shd w:val="clear" w:color="auto" w:fill="FFFFFF"/>
          <w:lang w:eastAsia="en-US" w:bidi="ar-SA"/>
        </w:rPr>
        <w:t>traty netto za kolejny rok obrotowy w przyszłości. Wśród nich należy wymienić:</w:t>
      </w:r>
    </w:p>
    <w:p w:rsidR="008E398C" w:rsidRDefault="008B4FFA">
      <w:pPr>
        <w:spacing w:line="276" w:lineRule="auto"/>
        <w:ind w:left="28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lastRenderedPageBreak/>
        <w:t>1) </w:t>
      </w:r>
      <w:r>
        <w:rPr>
          <w:color w:val="000000"/>
          <w:szCs w:val="20"/>
          <w:shd w:val="clear" w:color="auto" w:fill="FFFFFF"/>
          <w:lang w:eastAsia="en-US" w:bidi="ar-SA"/>
        </w:rPr>
        <w:t>przeprowadzenie zmian organizacyjnych, które umożliwią prowadzenie w kolejnych okresach innych form opieki nad pacjentami w miejsce hospitalizacji internistycznych przy ulicy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Przyrodniczej</w:t>
      </w:r>
      <w:r>
        <w:rPr>
          <w:color w:val="000000"/>
          <w:szCs w:val="20"/>
          <w:shd w:val="clear" w:color="auto" w:fill="FFFFFF"/>
        </w:rPr>
        <w:t>, u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ruchomiony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zakład opiekuńczo-lecznicz</w:t>
      </w:r>
      <w:r>
        <w:rPr>
          <w:color w:val="000000"/>
          <w:szCs w:val="20"/>
          <w:shd w:val="clear" w:color="auto" w:fill="FFFFFF"/>
        </w:rPr>
        <w:t>y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w 2019 roku wykorzystuje jedynie połowę bazy lokalowej budynku przy ul. Przyrodniczej;</w:t>
      </w:r>
    </w:p>
    <w:p w:rsidR="008E398C" w:rsidRDefault="008B4FFA">
      <w:pPr>
        <w:spacing w:line="276" w:lineRule="auto"/>
        <w:ind w:left="28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2) </w:t>
      </w:r>
      <w:r>
        <w:rPr>
          <w:color w:val="000000"/>
          <w:szCs w:val="20"/>
          <w:shd w:val="clear" w:color="auto" w:fill="FFFFFF"/>
          <w:lang w:eastAsia="en-US" w:bidi="ar-SA"/>
        </w:rPr>
        <w:t>zwiększenie wykonania hospitalizacji w zakresach dodatkowo finansowanych przez NFZ czyli onkologicznych na odd</w:t>
      </w:r>
      <w:r>
        <w:rPr>
          <w:color w:val="000000"/>
          <w:szCs w:val="20"/>
          <w:shd w:val="clear" w:color="auto" w:fill="FFFFFF"/>
          <w:lang w:eastAsia="en-US" w:bidi="ar-SA"/>
        </w:rPr>
        <w:t>ziale chirurgii i ginekologii</w:t>
      </w:r>
      <w:r>
        <w:rPr>
          <w:color w:val="000000"/>
          <w:szCs w:val="20"/>
          <w:shd w:val="clear" w:color="auto" w:fill="FFFFFF"/>
        </w:rPr>
        <w:t>;</w:t>
      </w:r>
    </w:p>
    <w:p w:rsidR="008E398C" w:rsidRDefault="008B4FFA">
      <w:pPr>
        <w:spacing w:line="276" w:lineRule="auto"/>
        <w:ind w:left="28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3) 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rozszerzenie zakresu udzielanych świadczeń w okulistyce o procedurę przeszczepów rogówki oraz zwiększeni ilości świadczeń odrębnie kontraktowanych, w tym zabiegów: zaćm,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endoprotezoplastyki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stawów biodrowych i kolanowych</w:t>
      </w:r>
      <w:r>
        <w:rPr>
          <w:color w:val="000000"/>
          <w:szCs w:val="20"/>
          <w:shd w:val="clear" w:color="auto" w:fill="FFFFFF"/>
        </w:rPr>
        <w:t>;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</w:t>
      </w:r>
    </w:p>
    <w:p w:rsidR="008E398C" w:rsidRDefault="008B4FFA">
      <w:pPr>
        <w:spacing w:line="276" w:lineRule="auto"/>
        <w:ind w:left="28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4) 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zwiększenie w kolejnych latach świadczeń w zakresie ambulatoryjnej opieki specjalistycznej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w związku z wyłączeniem z ryczałtu i nielimitowaniem tego rodzaju świadczeń;</w:t>
      </w:r>
    </w:p>
    <w:p w:rsidR="008E398C" w:rsidRDefault="008B4FFA">
      <w:pPr>
        <w:spacing w:line="276" w:lineRule="auto"/>
        <w:ind w:left="28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5) </w:t>
      </w:r>
      <w:r>
        <w:rPr>
          <w:color w:val="000000"/>
          <w:szCs w:val="20"/>
          <w:shd w:val="clear" w:color="auto" w:fill="FFFFFF"/>
          <w:lang w:eastAsia="en-US" w:bidi="ar-SA"/>
        </w:rPr>
        <w:t>kontynuację wrażania systemu informatycznego z doprowadzeniem do stworzenia pods</w:t>
      </w:r>
      <w:r>
        <w:rPr>
          <w:color w:val="000000"/>
          <w:szCs w:val="20"/>
          <w:shd w:val="clear" w:color="auto" w:fill="FFFFFF"/>
          <w:lang w:eastAsia="en-US" w:bidi="ar-SA"/>
        </w:rPr>
        <w:t>taw pod elektroniczną dokumentacje medyczną z jednoczesnym przygotowaniem danych dla pożądanych raportów monitorujących sytuację ekonomiczną, finansową i stan medyczny pozwalających uzyskać oszczędności kosztowe.</w:t>
      </w:r>
    </w:p>
    <w:p w:rsidR="008E398C" w:rsidRDefault="008B4FFA">
      <w:pPr>
        <w:spacing w:before="240" w:after="200" w:line="276" w:lineRule="auto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Informacja o istotnych zdarzeniach dla Miej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skiego Centrum Medycznego im. </w:t>
      </w:r>
      <w:proofErr w:type="spellStart"/>
      <w:r>
        <w:rPr>
          <w:b/>
          <w:color w:val="000000"/>
          <w:szCs w:val="20"/>
          <w:shd w:val="clear" w:color="auto" w:fill="FFFFFF"/>
          <w:lang w:eastAsia="en-US" w:bidi="ar-SA"/>
        </w:rPr>
        <w:t>dr</w:t>
      </w:r>
      <w:proofErr w:type="spellEnd"/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. Karola </w:t>
      </w:r>
      <w:proofErr w:type="spellStart"/>
      <w:r>
        <w:rPr>
          <w:b/>
          <w:color w:val="000000"/>
          <w:szCs w:val="20"/>
          <w:shd w:val="clear" w:color="auto" w:fill="FFFFFF"/>
          <w:lang w:eastAsia="en-US" w:bidi="ar-SA"/>
        </w:rPr>
        <w:t>Jonschera</w:t>
      </w:r>
      <w:proofErr w:type="spellEnd"/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 w Łodzi – prognoza na lata 2022-2024</w:t>
      </w:r>
    </w:p>
    <w:p w:rsidR="008E398C" w:rsidRDefault="008B4FFA">
      <w:p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Największymi zagrożeniami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na jakie wskazało jednostka są:</w:t>
      </w:r>
    </w:p>
    <w:p w:rsidR="008E398C" w:rsidRDefault="008B4FFA">
      <w:pPr>
        <w:spacing w:line="276" w:lineRule="auto"/>
        <w:ind w:left="28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1) </w:t>
      </w:r>
      <w:r>
        <w:rPr>
          <w:color w:val="000000"/>
          <w:szCs w:val="20"/>
          <w:shd w:val="clear" w:color="auto" w:fill="FFFFFF"/>
          <w:lang w:eastAsia="en-US" w:bidi="ar-SA"/>
        </w:rPr>
        <w:t>wzrost kosztów wynagrodzeń personelu medycznego i niemedycznego;</w:t>
      </w:r>
    </w:p>
    <w:p w:rsidR="008E398C" w:rsidRDefault="008B4FFA">
      <w:pPr>
        <w:spacing w:line="276" w:lineRule="auto"/>
        <w:ind w:left="28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2) </w:t>
      </w:r>
      <w:r>
        <w:rPr>
          <w:color w:val="000000"/>
          <w:szCs w:val="20"/>
          <w:shd w:val="clear" w:color="auto" w:fill="FFFFFF"/>
          <w:lang w:eastAsia="en-US" w:bidi="ar-SA"/>
        </w:rPr>
        <w:t>wzrost kosztów usług obcych;</w:t>
      </w:r>
    </w:p>
    <w:p w:rsidR="008E398C" w:rsidRDefault="008B4FFA">
      <w:pPr>
        <w:spacing w:line="276" w:lineRule="auto"/>
        <w:ind w:left="28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3) </w:t>
      </w:r>
      <w:r>
        <w:rPr>
          <w:color w:val="000000"/>
          <w:szCs w:val="20"/>
          <w:shd w:val="clear" w:color="auto" w:fill="FFFFFF"/>
          <w:lang w:eastAsia="en-US" w:bidi="ar-SA"/>
        </w:rPr>
        <w:t>brak u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realnienia wyceny świadczeń oraz stawki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kapitacyjnej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w przypadku POZ;</w:t>
      </w:r>
    </w:p>
    <w:p w:rsidR="008E398C" w:rsidRDefault="008B4FFA">
      <w:pPr>
        <w:spacing w:line="276" w:lineRule="auto"/>
        <w:ind w:left="28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4) </w:t>
      </w:r>
      <w:r>
        <w:rPr>
          <w:color w:val="000000"/>
          <w:szCs w:val="20"/>
          <w:shd w:val="clear" w:color="auto" w:fill="FFFFFF"/>
          <w:lang w:eastAsia="en-US" w:bidi="ar-SA"/>
        </w:rPr>
        <w:t>systemowa zmiana funkcjonowania szpitali wprowadzana przez nowoutworzoną Agencję Restrukturyzacji Szpitali oraz Agencję Rozwoju Szpitali, mających na celu pozyskiwanie danych (tworzen</w:t>
      </w:r>
      <w:r>
        <w:rPr>
          <w:color w:val="000000"/>
          <w:szCs w:val="20"/>
          <w:shd w:val="clear" w:color="auto" w:fill="FFFFFF"/>
          <w:lang w:eastAsia="en-US" w:bidi="ar-SA"/>
        </w:rPr>
        <w:t>ie i analiza Map Potrzeb Zdrowotnych i jakości świadczonych usług) oraz kategoryzację szpitali (w oparciu o ocenę sytuacji ekonomiczno-finansowej oraz ocenę wskaźnikową) – obecnie trudno wskazać wpływ tych zmian na działalność jednostki.</w:t>
      </w:r>
    </w:p>
    <w:p w:rsidR="008E398C" w:rsidRDefault="008B4FFA">
      <w:pPr>
        <w:spacing w:before="240" w:after="200" w:line="276" w:lineRule="auto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Podsumowanie</w:t>
      </w:r>
    </w:p>
    <w:p w:rsidR="008E398C" w:rsidRDefault="008B4FFA">
      <w:p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Na po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dstawie raportu o sytuacji ekonomiczno-finansowej Miejskiego Centrum Medycznego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 xml:space="preserve">im.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dr</w:t>
      </w:r>
      <w:proofErr w:type="spellEnd"/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Karola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Jonschera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w Łodzi, funkcjonującego jako Samodzielny Publiczny Zakład Opieki Zdrowotnej należy stwierdzić, że:</w:t>
      </w:r>
    </w:p>
    <w:p w:rsidR="008E398C" w:rsidRDefault="008B4FFA">
      <w:pPr>
        <w:spacing w:before="240" w:line="276" w:lineRule="auto"/>
        <w:ind w:left="28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1) </w:t>
      </w:r>
      <w:r>
        <w:rPr>
          <w:color w:val="000000"/>
          <w:szCs w:val="20"/>
          <w:shd w:val="clear" w:color="auto" w:fill="FFFFFF"/>
          <w:lang w:eastAsia="en-US" w:bidi="ar-SA"/>
        </w:rPr>
        <w:t>na</w:t>
      </w:r>
      <w:r>
        <w:rPr>
          <w:color w:val="FF0000"/>
          <w:szCs w:val="20"/>
          <w:shd w:val="clear" w:color="auto" w:fill="FFFFFF"/>
          <w:lang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podstawie wskaźników ekonomiczno-finansowych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2021 roku oraz prognozy na lata 2022-2024 należy wskazać, ze jednostka podejmuje działania poprawiające kondycję finansową jednostki;</w:t>
      </w:r>
    </w:p>
    <w:p w:rsidR="008E398C" w:rsidRDefault="008B4FFA">
      <w:pPr>
        <w:spacing w:line="276" w:lineRule="auto"/>
        <w:ind w:left="28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2) </w:t>
      </w:r>
      <w:r>
        <w:rPr>
          <w:color w:val="000000"/>
          <w:szCs w:val="20"/>
          <w:shd w:val="clear" w:color="auto" w:fill="FFFFFF"/>
          <w:lang w:eastAsia="en-US" w:bidi="ar-SA"/>
        </w:rPr>
        <w:t>niestety dynamika działań zarządczych w jednostce jest zbyt mała, aby zniwelować ogólnie pogarszającą się sytuację fin</w:t>
      </w:r>
      <w:r>
        <w:rPr>
          <w:color w:val="000000"/>
          <w:szCs w:val="20"/>
          <w:shd w:val="clear" w:color="auto" w:fill="FFFFFF"/>
          <w:lang w:eastAsia="en-US" w:bidi="ar-SA"/>
        </w:rPr>
        <w:t>ansową jednostki – stale uzyskuje ona ujemny wynik finansowy, wzrasta wysokość zobowiązań krótkoterminowych (w tym wymagalnych) oraz zmniejsza się zasób kapitału własnego;</w:t>
      </w:r>
    </w:p>
    <w:p w:rsidR="008E398C" w:rsidRDefault="008B4FFA">
      <w:pPr>
        <w:spacing w:line="276" w:lineRule="auto"/>
        <w:ind w:left="28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3) </w:t>
      </w:r>
      <w:r>
        <w:rPr>
          <w:color w:val="000000"/>
          <w:szCs w:val="20"/>
          <w:shd w:val="clear" w:color="auto" w:fill="FFFFFF"/>
          <w:lang w:eastAsia="en-US" w:bidi="ar-SA"/>
        </w:rPr>
        <w:t>przedstawiona prognoza zakłada uzyskanie wartości ujemnych w prognozowanym okresi</w:t>
      </w:r>
      <w:r>
        <w:rPr>
          <w:color w:val="000000"/>
          <w:szCs w:val="20"/>
          <w:shd w:val="clear" w:color="auto" w:fill="FFFFFF"/>
          <w:lang w:eastAsia="en-US" w:bidi="ar-SA"/>
        </w:rPr>
        <w:t>e (2022-2024). Jedynie w ostatnim roku prognozy, po dodaniu kosztów amortyzacji, jednostka osiąga dodatni wynik finansowy (960.850 zł po uwzględnieniu amortyzacji w wysokości 5.500.000 zł);</w:t>
      </w:r>
    </w:p>
    <w:p w:rsidR="008E398C" w:rsidRDefault="008B4FFA">
      <w:pPr>
        <w:spacing w:line="276" w:lineRule="auto"/>
        <w:ind w:left="28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lastRenderedPageBreak/>
        <w:t>4) 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sytuacja finansowa podmiotu nie jest stabilna, jednakże należy </w:t>
      </w:r>
      <w:r>
        <w:rPr>
          <w:color w:val="000000"/>
          <w:szCs w:val="20"/>
          <w:shd w:val="clear" w:color="auto" w:fill="FFFFFF"/>
          <w:lang w:eastAsia="en-US" w:bidi="ar-SA"/>
        </w:rPr>
        <w:t>wziąć pod uwagę merytoryczne plany rozwoju działalności i wykorzystania własnego potencjału w celu zniwelowania ciążących zobowiązań oraz poprawy wyniku finansowego jednostki;</w:t>
      </w:r>
    </w:p>
    <w:p w:rsidR="008E398C" w:rsidRDefault="008B4FFA">
      <w:pPr>
        <w:spacing w:line="276" w:lineRule="auto"/>
        <w:ind w:left="283" w:hanging="283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5) </w:t>
      </w:r>
      <w:r>
        <w:rPr>
          <w:color w:val="000000"/>
          <w:szCs w:val="20"/>
          <w:shd w:val="clear" w:color="auto" w:fill="FFFFFF"/>
          <w:lang w:eastAsia="en-US" w:bidi="ar-SA"/>
        </w:rPr>
        <w:t>kondycja finansowa jednostki oraz uzyskiwane wyniki wskazują, że po zakończen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iu obecnie realizowanego programu naprawczego, koniecznym będzie przyjęcie nowego programu naprawczego na lata 2023-2024 (zgodnie z art. 59 ust. 4 ustawy o działalności leczniczej (Dz. U.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z 2022 r. poz. 633, 655, 974, 1079)</w:t>
      </w:r>
      <w:r>
        <w:rPr>
          <w:color w:val="000000"/>
          <w:szCs w:val="20"/>
          <w:shd w:val="clear" w:color="auto" w:fill="FFFFFF"/>
        </w:rPr>
        <w:t>.</w:t>
      </w:r>
    </w:p>
    <w:p w:rsidR="008E398C" w:rsidRDefault="008B4FFA">
      <w:pPr>
        <w:spacing w:before="24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 związku z powyższym, w oceni</w:t>
      </w:r>
      <w:r>
        <w:rPr>
          <w:color w:val="000000"/>
          <w:szCs w:val="20"/>
          <w:shd w:val="clear" w:color="auto" w:fill="FFFFFF"/>
          <w:lang w:eastAsia="en-US" w:bidi="ar-SA"/>
        </w:rPr>
        <w:t>e podmiotu tworzącego dla M</w:t>
      </w:r>
      <w:r>
        <w:rPr>
          <w:color w:val="000000"/>
          <w:szCs w:val="20"/>
          <w:shd w:val="clear" w:color="auto" w:fill="FFFFFF"/>
        </w:rPr>
        <w:t xml:space="preserve">iejskiego </w:t>
      </w:r>
      <w:r>
        <w:rPr>
          <w:color w:val="000000"/>
          <w:szCs w:val="20"/>
          <w:shd w:val="clear" w:color="auto" w:fill="FFFFFF"/>
          <w:lang w:eastAsia="en-US" w:bidi="ar-SA"/>
        </w:rPr>
        <w:t>C</w:t>
      </w:r>
      <w:r>
        <w:rPr>
          <w:color w:val="000000"/>
          <w:szCs w:val="20"/>
          <w:shd w:val="clear" w:color="auto" w:fill="FFFFFF"/>
        </w:rPr>
        <w:t xml:space="preserve">entrum </w:t>
      </w:r>
      <w:r>
        <w:rPr>
          <w:color w:val="000000"/>
          <w:szCs w:val="20"/>
          <w:shd w:val="clear" w:color="auto" w:fill="FFFFFF"/>
          <w:lang w:eastAsia="en-US" w:bidi="ar-SA"/>
        </w:rPr>
        <w:t>M</w:t>
      </w:r>
      <w:r>
        <w:rPr>
          <w:color w:val="000000"/>
          <w:szCs w:val="20"/>
          <w:shd w:val="clear" w:color="auto" w:fill="FFFFFF"/>
        </w:rPr>
        <w:t xml:space="preserve">edycznego </w:t>
      </w:r>
      <w:r>
        <w:rPr>
          <w:color w:val="000000"/>
          <w:szCs w:val="20"/>
          <w:shd w:val="clear" w:color="auto" w:fill="FFFFFF"/>
        </w:rPr>
        <w:br/>
        <w:t xml:space="preserve">im. </w:t>
      </w:r>
      <w:proofErr w:type="spellStart"/>
      <w:r>
        <w:rPr>
          <w:color w:val="000000"/>
          <w:szCs w:val="20"/>
          <w:shd w:val="clear" w:color="auto" w:fill="FFFFFF"/>
        </w:rPr>
        <w:t>dr</w:t>
      </w:r>
      <w:proofErr w:type="spellEnd"/>
      <w:r>
        <w:rPr>
          <w:color w:val="000000"/>
          <w:szCs w:val="20"/>
          <w:shd w:val="clear" w:color="auto" w:fill="FFFFFF"/>
        </w:rPr>
        <w:t>. Karola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„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Jonschera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>” w Łodzi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konieczne jest kontynuowanie działań naprawczych  mających na celu poprawę i stabilizację sytuacji ekonomiczno-finansowej</w:t>
      </w:r>
      <w:r>
        <w:rPr>
          <w:color w:val="000000"/>
          <w:szCs w:val="20"/>
          <w:shd w:val="clear" w:color="auto" w:fill="FFFFFF"/>
        </w:rPr>
        <w:t xml:space="preserve"> jednostki.</w:t>
      </w:r>
    </w:p>
    <w:p w:rsidR="008E398C" w:rsidRDefault="008E398C">
      <w:p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</w:p>
    <w:p w:rsidR="008E398C" w:rsidRDefault="008E398C">
      <w:pPr>
        <w:spacing w:after="20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  <w:sectPr w:rsidR="008E398C">
          <w:footerReference w:type="default" r:id="rId8"/>
          <w:pgSz w:w="11906" w:h="16838"/>
          <w:pgMar w:top="488" w:right="848" w:bottom="1418" w:left="1418" w:header="709" w:footer="709" w:gutter="0"/>
          <w:pgNumType w:start="1"/>
          <w:cols w:space="708"/>
          <w:titlePg/>
        </w:sectPr>
      </w:pPr>
      <w:r>
        <w:rPr>
          <w:color w:val="000000"/>
          <w:szCs w:val="20"/>
          <w:shd w:val="clear" w:color="auto" w:fill="FFFFFF"/>
          <w:lang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eastAsia="en-US" w:bidi="ar-SA"/>
        </w:rPr>
        <w:fldChar w:fldCharType="end"/>
      </w:r>
    </w:p>
    <w:p w:rsidR="008E398C" w:rsidRDefault="008E398C">
      <w:pPr>
        <w:rPr>
          <w:szCs w:val="20"/>
        </w:rPr>
      </w:pPr>
    </w:p>
    <w:p w:rsidR="008E398C" w:rsidRDefault="008B4FFA">
      <w:pPr>
        <w:rPr>
          <w:b/>
          <w:szCs w:val="20"/>
        </w:rPr>
      </w:pPr>
      <w:r>
        <w:rPr>
          <w:b/>
          <w:szCs w:val="20"/>
        </w:rPr>
        <w:t>UZASADNIENIE</w:t>
      </w:r>
    </w:p>
    <w:p w:rsidR="008E398C" w:rsidRDefault="008E398C">
      <w:pPr>
        <w:rPr>
          <w:szCs w:val="20"/>
        </w:rPr>
      </w:pPr>
    </w:p>
    <w:p w:rsidR="008E398C" w:rsidRDefault="008B4FFA">
      <w:pPr>
        <w:ind w:firstLine="567"/>
        <w:jc w:val="both"/>
        <w:rPr>
          <w:szCs w:val="20"/>
        </w:rPr>
      </w:pPr>
      <w:r>
        <w:rPr>
          <w:szCs w:val="20"/>
        </w:rPr>
        <w:t xml:space="preserve">Zgodnie z wymogami art. 53a ustawy </w:t>
      </w:r>
      <w:r>
        <w:rPr>
          <w:color w:val="000000"/>
          <w:szCs w:val="20"/>
          <w:u w:color="000000"/>
        </w:rPr>
        <w:t xml:space="preserve">z dnia 15 kwietnia 2011 r. </w:t>
      </w:r>
      <w:r>
        <w:rPr>
          <w:szCs w:val="20"/>
        </w:rPr>
        <w:t xml:space="preserve">o działalności leczniczej samodzielny publiczny zakład opieki zdrowotnej o nazwie Miejskie Centrum Medyczne im. </w:t>
      </w:r>
      <w:proofErr w:type="spellStart"/>
      <w:r>
        <w:rPr>
          <w:szCs w:val="20"/>
        </w:rPr>
        <w:t>dr</w:t>
      </w:r>
      <w:proofErr w:type="spellEnd"/>
      <w:r>
        <w:rPr>
          <w:szCs w:val="20"/>
        </w:rPr>
        <w:t xml:space="preserve">. Karola </w:t>
      </w:r>
      <w:proofErr w:type="spellStart"/>
      <w:r>
        <w:rPr>
          <w:szCs w:val="20"/>
        </w:rPr>
        <w:t>Jonschera</w:t>
      </w:r>
      <w:proofErr w:type="spellEnd"/>
      <w:r>
        <w:rPr>
          <w:szCs w:val="20"/>
        </w:rPr>
        <w:t xml:space="preserve"> w Łodzi</w:t>
      </w:r>
      <w:r>
        <w:rPr>
          <w:szCs w:val="20"/>
        </w:rPr>
        <w:t xml:space="preserve"> przedstawiło w wymaganym terminie raport o sytuacji ekonomiczno-finansowej przygotowany na podstawie sprawozdania finansowego za poprzedni rok obrotowy zawierający w szczególności analizę sytuacji ekonomiczno-finansowej za poprzedni rok obrotowy, tj. 2021</w:t>
      </w:r>
      <w:r>
        <w:rPr>
          <w:szCs w:val="20"/>
        </w:rPr>
        <w:t>, a także prognozę sytuacji ekonomiczno-finansowej na kolejne trzy lata obrotowe wraz z opisem przyjętych założeń oraz informację o istotnych zdarzeniach mających wpływ na sytuację ekonomiczno-finansową samodzielnego publicznego zakładu opieki zdrowotnej.</w:t>
      </w:r>
    </w:p>
    <w:p w:rsidR="008E398C" w:rsidRDefault="008B4FFA">
      <w:pPr>
        <w:spacing w:before="120" w:after="120"/>
        <w:ind w:firstLine="570"/>
        <w:jc w:val="both"/>
        <w:rPr>
          <w:color w:val="000000"/>
          <w:szCs w:val="20"/>
        </w:rPr>
      </w:pPr>
      <w:r>
        <w:rPr>
          <w:color w:val="000000"/>
          <w:szCs w:val="20"/>
          <w:u w:color="000000"/>
        </w:rPr>
        <w:t xml:space="preserve">Przedmiotowa ocena raportu </w:t>
      </w:r>
      <w:r>
        <w:rPr>
          <w:szCs w:val="20"/>
        </w:rPr>
        <w:t>o sytuacji ekonomiczno-finansowej</w:t>
      </w:r>
      <w:r>
        <w:rPr>
          <w:color w:val="000000"/>
          <w:szCs w:val="20"/>
          <w:u w:color="000000"/>
        </w:rPr>
        <w:t xml:space="preserve"> została przygotowana zgodnie z wymogami  ustawy z dnia 15 kwietnia 2011 r. o działalności leczniczej  przez komórkę organizacyjną sprawującą bezpośredni nadzór nad samodzielnymi publicznymi zakła</w:t>
      </w:r>
      <w:r>
        <w:rPr>
          <w:color w:val="000000"/>
          <w:szCs w:val="20"/>
          <w:u w:color="000000"/>
        </w:rPr>
        <w:t>dami opieki zdrowotnej dla których podmiotem tworzącym jest Miasto Łódź, tj. Wydział Zdrowia i Spraw Społecznych w Departamencie Zdrowia i Spraw Społecznych Urzędu Miasta Łodzi.</w:t>
      </w:r>
    </w:p>
    <w:p w:rsidR="008E398C" w:rsidRDefault="008B4FFA">
      <w:pPr>
        <w:ind w:firstLine="567"/>
        <w:jc w:val="both"/>
        <w:rPr>
          <w:szCs w:val="20"/>
        </w:rPr>
      </w:pPr>
      <w:r>
        <w:rPr>
          <w:szCs w:val="20"/>
        </w:rPr>
        <w:t>Ocena sytuacji ekonomiczno-finansowej jednostki należy do kompetencji Rady Mie</w:t>
      </w:r>
      <w:r>
        <w:rPr>
          <w:szCs w:val="20"/>
        </w:rPr>
        <w:t xml:space="preserve">jskiej w Łodzi, tj. podmiotu tworzącego dla </w:t>
      </w:r>
      <w:r>
        <w:rPr>
          <w:color w:val="000000"/>
          <w:szCs w:val="20"/>
          <w:u w:color="000000"/>
        </w:rPr>
        <w:t xml:space="preserve">Miejskiego Centrum Medycznego </w:t>
      </w:r>
      <w:r>
        <w:rPr>
          <w:szCs w:val="20"/>
        </w:rPr>
        <w:t>im. </w:t>
      </w:r>
      <w:proofErr w:type="spellStart"/>
      <w:r>
        <w:rPr>
          <w:szCs w:val="20"/>
        </w:rPr>
        <w:t>dr</w:t>
      </w:r>
      <w:proofErr w:type="spellEnd"/>
      <w:r>
        <w:rPr>
          <w:szCs w:val="20"/>
        </w:rPr>
        <w:t xml:space="preserve">. Karola </w:t>
      </w:r>
      <w:proofErr w:type="spellStart"/>
      <w:r>
        <w:rPr>
          <w:szCs w:val="20"/>
        </w:rPr>
        <w:t>Jonschera</w:t>
      </w:r>
      <w:proofErr w:type="spellEnd"/>
      <w:r>
        <w:rPr>
          <w:szCs w:val="20"/>
        </w:rPr>
        <w:t xml:space="preserve"> w Łodzi, co stanowi przedmiot niniejszego projektu uchwały.</w:t>
      </w:r>
    </w:p>
    <w:p w:rsidR="008E398C" w:rsidRDefault="008E398C">
      <w:pPr>
        <w:spacing w:before="120" w:after="120"/>
        <w:ind w:left="283" w:firstLine="227"/>
        <w:jc w:val="both"/>
        <w:rPr>
          <w:color w:val="000000"/>
          <w:szCs w:val="20"/>
        </w:rPr>
      </w:pPr>
    </w:p>
    <w:p w:rsidR="008E398C" w:rsidRDefault="008E398C">
      <w:pPr>
        <w:spacing w:before="120" w:after="120"/>
        <w:ind w:left="283" w:firstLine="227"/>
        <w:jc w:val="both"/>
        <w:rPr>
          <w:color w:val="000000"/>
          <w:szCs w:val="20"/>
          <w:u w:color="000000"/>
        </w:rPr>
      </w:pPr>
    </w:p>
    <w:sectPr w:rsidR="008E398C" w:rsidSect="008E398C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FFA" w:rsidRDefault="008B4FFA" w:rsidP="008E398C">
      <w:r>
        <w:separator/>
      </w:r>
    </w:p>
  </w:endnote>
  <w:endnote w:type="continuationSeparator" w:id="0">
    <w:p w:rsidR="008B4FFA" w:rsidRDefault="008B4FFA" w:rsidP="008E3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8E398C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E398C" w:rsidRDefault="008B4FF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E398C" w:rsidRDefault="008B4FF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E398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60AB2">
            <w:rPr>
              <w:sz w:val="18"/>
            </w:rPr>
            <w:fldChar w:fldCharType="separate"/>
          </w:r>
          <w:r w:rsidR="00260AB2">
            <w:rPr>
              <w:noProof/>
              <w:sz w:val="18"/>
            </w:rPr>
            <w:t>1</w:t>
          </w:r>
          <w:r w:rsidR="008E398C">
            <w:rPr>
              <w:sz w:val="18"/>
            </w:rPr>
            <w:fldChar w:fldCharType="end"/>
          </w:r>
        </w:p>
      </w:tc>
    </w:tr>
  </w:tbl>
  <w:p w:rsidR="008E398C" w:rsidRDefault="008E398C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27"/>
      <w:gridCol w:w="3213"/>
    </w:tblGrid>
    <w:tr w:rsidR="008E398C">
      <w:tc>
        <w:tcPr>
          <w:tcW w:w="642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E398C" w:rsidRDefault="008B4FF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E398C" w:rsidRDefault="008B4FF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E398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60AB2">
            <w:rPr>
              <w:sz w:val="18"/>
            </w:rPr>
            <w:fldChar w:fldCharType="separate"/>
          </w:r>
          <w:r w:rsidR="00260AB2">
            <w:rPr>
              <w:noProof/>
              <w:sz w:val="18"/>
            </w:rPr>
            <w:t>9</w:t>
          </w:r>
          <w:r w:rsidR="008E398C">
            <w:rPr>
              <w:sz w:val="18"/>
            </w:rPr>
            <w:fldChar w:fldCharType="end"/>
          </w:r>
        </w:p>
      </w:tc>
    </w:tr>
  </w:tbl>
  <w:p w:rsidR="008E398C" w:rsidRDefault="008E398C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8E398C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E398C" w:rsidRDefault="008B4FF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E398C" w:rsidRDefault="008B4FF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E398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60AB2">
            <w:rPr>
              <w:sz w:val="18"/>
            </w:rPr>
            <w:fldChar w:fldCharType="separate"/>
          </w:r>
          <w:r w:rsidR="00260AB2">
            <w:rPr>
              <w:noProof/>
              <w:sz w:val="18"/>
            </w:rPr>
            <w:t>10</w:t>
          </w:r>
          <w:r w:rsidR="008E398C">
            <w:rPr>
              <w:sz w:val="18"/>
            </w:rPr>
            <w:fldChar w:fldCharType="end"/>
          </w:r>
        </w:p>
      </w:tc>
    </w:tr>
  </w:tbl>
  <w:p w:rsidR="008E398C" w:rsidRDefault="008E398C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FFA" w:rsidRDefault="008B4FFA" w:rsidP="008E398C">
      <w:r>
        <w:separator/>
      </w:r>
    </w:p>
  </w:footnote>
  <w:footnote w:type="continuationSeparator" w:id="0">
    <w:p w:rsidR="008B4FFA" w:rsidRDefault="008B4FFA" w:rsidP="008E39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46C8"/>
    <w:multiLevelType w:val="hybridMultilevel"/>
    <w:tmpl w:val="00000000"/>
    <w:lvl w:ilvl="0" w:tplc="3CD667F8">
      <w:start w:val="1"/>
      <w:numFmt w:val="decimal"/>
      <w:lvlText w:val="%1."/>
      <w:lvlJc w:val="left"/>
      <w:pPr>
        <w:ind w:left="720" w:hanging="360"/>
      </w:pPr>
    </w:lvl>
    <w:lvl w:ilvl="1" w:tplc="15F4910E">
      <w:start w:val="1"/>
      <w:numFmt w:val="lowerLetter"/>
      <w:lvlText w:val="%2."/>
      <w:lvlJc w:val="left"/>
      <w:pPr>
        <w:ind w:left="1440" w:hanging="360"/>
      </w:pPr>
    </w:lvl>
    <w:lvl w:ilvl="2" w:tplc="4006A136">
      <w:start w:val="1"/>
      <w:numFmt w:val="lowerRoman"/>
      <w:lvlText w:val="%3."/>
      <w:lvlJc w:val="right"/>
      <w:pPr>
        <w:ind w:left="2160" w:hanging="180"/>
      </w:pPr>
    </w:lvl>
    <w:lvl w:ilvl="3" w:tplc="2A380CFE">
      <w:start w:val="1"/>
      <w:numFmt w:val="decimal"/>
      <w:lvlText w:val="%4."/>
      <w:lvlJc w:val="left"/>
      <w:pPr>
        <w:ind w:left="2880" w:hanging="360"/>
      </w:pPr>
    </w:lvl>
    <w:lvl w:ilvl="4" w:tplc="D8607F4E">
      <w:start w:val="1"/>
      <w:numFmt w:val="lowerLetter"/>
      <w:lvlText w:val="%5."/>
      <w:lvlJc w:val="left"/>
      <w:pPr>
        <w:ind w:left="3600" w:hanging="360"/>
      </w:pPr>
    </w:lvl>
    <w:lvl w:ilvl="5" w:tplc="33BCFEF4">
      <w:start w:val="1"/>
      <w:numFmt w:val="lowerRoman"/>
      <w:lvlText w:val="%6."/>
      <w:lvlJc w:val="right"/>
      <w:pPr>
        <w:ind w:left="4320" w:hanging="180"/>
      </w:pPr>
    </w:lvl>
    <w:lvl w:ilvl="6" w:tplc="86A8823A">
      <w:start w:val="1"/>
      <w:numFmt w:val="decimal"/>
      <w:lvlText w:val="%7."/>
      <w:lvlJc w:val="left"/>
      <w:pPr>
        <w:ind w:left="5040" w:hanging="360"/>
      </w:pPr>
    </w:lvl>
    <w:lvl w:ilvl="7" w:tplc="53F69774">
      <w:start w:val="1"/>
      <w:numFmt w:val="lowerLetter"/>
      <w:lvlText w:val="%8."/>
      <w:lvlJc w:val="left"/>
      <w:pPr>
        <w:ind w:left="5760" w:hanging="360"/>
      </w:pPr>
    </w:lvl>
    <w:lvl w:ilvl="8" w:tplc="A8FA304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E3E2F"/>
    <w:multiLevelType w:val="hybridMultilevel"/>
    <w:tmpl w:val="00000000"/>
    <w:lvl w:ilvl="0" w:tplc="3FDE93C6">
      <w:start w:val="1"/>
      <w:numFmt w:val="decimal"/>
      <w:lvlText w:val="%1)"/>
      <w:lvlJc w:val="left"/>
      <w:pPr>
        <w:ind w:left="360" w:hanging="360"/>
      </w:pPr>
    </w:lvl>
    <w:lvl w:ilvl="1" w:tplc="B3B26308">
      <w:start w:val="1"/>
      <w:numFmt w:val="lowerLetter"/>
      <w:lvlText w:val="%2."/>
      <w:lvlJc w:val="left"/>
      <w:pPr>
        <w:ind w:left="1080" w:hanging="360"/>
      </w:pPr>
    </w:lvl>
    <w:lvl w:ilvl="2" w:tplc="8FA2BDFA">
      <w:start w:val="1"/>
      <w:numFmt w:val="lowerRoman"/>
      <w:lvlText w:val="%3."/>
      <w:lvlJc w:val="right"/>
      <w:pPr>
        <w:ind w:left="1800" w:hanging="180"/>
      </w:pPr>
    </w:lvl>
    <w:lvl w:ilvl="3" w:tplc="D794E30C">
      <w:start w:val="1"/>
      <w:numFmt w:val="decimal"/>
      <w:lvlText w:val="%4."/>
      <w:lvlJc w:val="left"/>
      <w:pPr>
        <w:ind w:left="2520" w:hanging="360"/>
      </w:pPr>
    </w:lvl>
    <w:lvl w:ilvl="4" w:tplc="C57A7634">
      <w:start w:val="1"/>
      <w:numFmt w:val="lowerLetter"/>
      <w:lvlText w:val="%5."/>
      <w:lvlJc w:val="left"/>
      <w:pPr>
        <w:ind w:left="3240" w:hanging="360"/>
      </w:pPr>
    </w:lvl>
    <w:lvl w:ilvl="5" w:tplc="47D4F114">
      <w:start w:val="1"/>
      <w:numFmt w:val="lowerRoman"/>
      <w:lvlText w:val="%6."/>
      <w:lvlJc w:val="right"/>
      <w:pPr>
        <w:ind w:left="3960" w:hanging="180"/>
      </w:pPr>
    </w:lvl>
    <w:lvl w:ilvl="6" w:tplc="4032306A">
      <w:start w:val="1"/>
      <w:numFmt w:val="decimal"/>
      <w:lvlText w:val="%7."/>
      <w:lvlJc w:val="left"/>
      <w:pPr>
        <w:ind w:left="4680" w:hanging="360"/>
      </w:pPr>
    </w:lvl>
    <w:lvl w:ilvl="7" w:tplc="9C1C4CC0">
      <w:start w:val="1"/>
      <w:numFmt w:val="lowerLetter"/>
      <w:lvlText w:val="%8."/>
      <w:lvlJc w:val="left"/>
      <w:pPr>
        <w:ind w:left="5400" w:hanging="360"/>
      </w:pPr>
    </w:lvl>
    <w:lvl w:ilvl="8" w:tplc="DB96BBCA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1DD637"/>
    <w:multiLevelType w:val="hybridMultilevel"/>
    <w:tmpl w:val="00000000"/>
    <w:lvl w:ilvl="0" w:tplc="9D38DBB8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E11C9334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 w:tplc="9EDA8C42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25D4835C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E7928E6A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 w:tplc="F9EEB924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473C2718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0E3A260C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28301E18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60AB2"/>
    <w:rsid w:val="008B4FFA"/>
    <w:rsid w:val="008E398C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398C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rsid w:val="008E398C"/>
    <w:pPr>
      <w:keepNext/>
      <w:spacing w:before="240" w:after="60"/>
      <w:jc w:val="left"/>
      <w:outlineLvl w:val="0"/>
    </w:pPr>
    <w:rPr>
      <w:b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8E398C"/>
    <w:pPr>
      <w:tabs>
        <w:tab w:val="center" w:pos="4536"/>
        <w:tab w:val="right" w:pos="9072"/>
      </w:tabs>
      <w:jc w:val="left"/>
    </w:pPr>
    <w:rPr>
      <w:szCs w:val="20"/>
      <w:lang w:eastAsia="en-US" w:bidi="ar-SA"/>
    </w:rPr>
  </w:style>
  <w:style w:type="character" w:styleId="Numerstrony">
    <w:name w:val="page number"/>
    <w:basedOn w:val="Domylnaczcionkaakapitu"/>
    <w:rsid w:val="008E398C"/>
    <w:rPr>
      <w:rFonts w:ascii="Times New Roman" w:hAnsi="Times New Roman"/>
      <w:color w:val="auto"/>
      <w:sz w:val="24"/>
      <w:shd w:val="clear" w:color="auto" w:fill="auto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3366</Words>
  <Characters>20202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23521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oceny sytuacji ekonomiczno-finansowej
samodzielnego publicznego zakładu opieki zdrowotnej o^nazwie Miejskie Centrum Medyczne  im. dr. Karola Jonschera w^Łodzi, na podstawie raportu o^sytuacji ekonomiczno-finansowej za rok 2021.</dc:subject>
  <dc:creator>elukowicz</dc:creator>
  <cp:lastModifiedBy>sstanczyk</cp:lastModifiedBy>
  <cp:revision>2</cp:revision>
  <dcterms:created xsi:type="dcterms:W3CDTF">2022-12-05T11:13:00Z</dcterms:created>
  <dcterms:modified xsi:type="dcterms:W3CDTF">2022-12-05T12:26:00Z</dcterms:modified>
  <cp:category>Akt prawny</cp:category>
</cp:coreProperties>
</file>