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76D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C468C5" w:rsidP="002F00B6">
            <w:pPr>
              <w:ind w:left="6236" w:hanging="282"/>
              <w:jc w:val="left"/>
            </w:pPr>
            <w:r>
              <w:t>Druk Nr</w:t>
            </w:r>
            <w:r w:rsidR="002F00B6">
              <w:t xml:space="preserve"> 294/2022</w:t>
            </w:r>
          </w:p>
          <w:p w:rsidR="00A77B3E" w:rsidRDefault="00C468C5" w:rsidP="002F00B6">
            <w:pPr>
              <w:ind w:left="6236" w:hanging="282"/>
              <w:jc w:val="left"/>
            </w:pPr>
            <w:r>
              <w:t>Projekt z dnia</w:t>
            </w:r>
            <w:r w:rsidR="002F00B6">
              <w:t xml:space="preserve"> 5 grudnia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C468C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468C5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C468C5">
      <w:pPr>
        <w:keepNext/>
        <w:spacing w:after="240"/>
      </w:pPr>
      <w:r>
        <w:rPr>
          <w:b/>
        </w:rPr>
        <w:t>w sprawie oceny sytuacji ekonomiczno-finansowej</w:t>
      </w:r>
      <w:r>
        <w:rPr>
          <w:b/>
        </w:rPr>
        <w:br/>
        <w:t>samodzielnego publicznego zakładu opieki zdrowotnej o nazwie</w:t>
      </w:r>
      <w:r>
        <w:rPr>
          <w:b/>
        </w:rPr>
        <w:br/>
        <w:t xml:space="preserve">Miejskie Centrum Terapii </w:t>
      </w:r>
      <w:r>
        <w:rPr>
          <w:b/>
        </w:rPr>
        <w:t>i Profilaktyki Zdrowotnej im. bł. Rafała Chylińskiego w Łodzi, na podstawie raportu o sytuacji ekonomiczno-finansowej za rok 2021.</w:t>
      </w:r>
    </w:p>
    <w:p w:rsidR="00A77B3E" w:rsidRDefault="00C468C5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559, 583, 1005,</w:t>
      </w:r>
      <w:r>
        <w:t xml:space="preserve"> 1079 i 1561) oraz art. 53a ust. 4 ustawy z dnia 15 kwietnia 2011 r. o działalności leczniczej (Dz. U. z 2022 r. poz. 633, 655, 974 i 1079), Rada Miejska w Łodzi</w:t>
      </w:r>
    </w:p>
    <w:p w:rsidR="00A77B3E" w:rsidRDefault="00C468C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468C5">
      <w:pPr>
        <w:keepLines/>
        <w:spacing w:after="120"/>
        <w:ind w:firstLine="567"/>
        <w:jc w:val="both"/>
      </w:pPr>
      <w:r>
        <w:t>§ 1. </w:t>
      </w:r>
      <w:r>
        <w:t>Dokonuje się oceny sytuacji ekonomiczno-finansowej samodzielnego p</w:t>
      </w:r>
      <w:r>
        <w:t>ublicznego zakładu opieki zdrowotnej o nazwie Miejskie Centrum Terapii i Profilaktyki Zdrowotnej</w:t>
      </w:r>
      <w:r>
        <w:br/>
        <w:t>im. bł. Rafała Chylińskiego w Łodzi, na podstawie raportu o sytuacji ekonomiczno-finansowej sporządzonego za rok 2021, w brzmieniu stanowiącym załącznik do uch</w:t>
      </w:r>
      <w:r>
        <w:t>wały.</w:t>
      </w:r>
    </w:p>
    <w:p w:rsidR="00A77B3E" w:rsidRDefault="00C468C5">
      <w:pPr>
        <w:keepLines/>
        <w:spacing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C468C5">
      <w:pPr>
        <w:keepNext/>
        <w:keepLines/>
        <w:spacing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76D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D0B" w:rsidRDefault="00A76D0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D0B" w:rsidRDefault="00C468C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C468C5">
      <w:pPr>
        <w:ind w:left="283" w:firstLine="227"/>
        <w:jc w:val="both"/>
      </w:pPr>
      <w:r>
        <w:t>Projektodawcą jest</w:t>
      </w:r>
    </w:p>
    <w:p w:rsidR="00A77B3E" w:rsidRDefault="00C468C5">
      <w:pPr>
        <w:ind w:left="283" w:firstLine="227"/>
        <w:jc w:val="both"/>
      </w:pPr>
      <w:r>
        <w:t>Prezydent Miasta Łodzi</w:t>
      </w:r>
    </w:p>
    <w:p w:rsidR="00A77B3E" w:rsidRDefault="00A77B3E">
      <w:pPr>
        <w:ind w:left="283" w:firstLine="227"/>
        <w:jc w:val="both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6D0B" w:rsidRDefault="00C468C5">
      <w:pPr>
        <w:keepNext/>
        <w:ind w:left="4956" w:firstLine="708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lastRenderedPageBreak/>
        <w:t>Załącznik</w:t>
      </w:r>
    </w:p>
    <w:p w:rsidR="00A76D0B" w:rsidRDefault="00C468C5">
      <w:pPr>
        <w:keepNext/>
        <w:ind w:left="4956" w:firstLine="708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do uchwały Nr </w:t>
      </w:r>
    </w:p>
    <w:p w:rsidR="00A76D0B" w:rsidRDefault="00C468C5">
      <w:pPr>
        <w:keepNext/>
        <w:ind w:left="4956" w:firstLine="708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Rady Miejskiej w Łodzi</w:t>
      </w:r>
    </w:p>
    <w:p w:rsidR="00A76D0B" w:rsidRDefault="00C468C5">
      <w:pPr>
        <w:keepNext/>
        <w:ind w:left="4956" w:firstLine="708"/>
        <w:jc w:val="left"/>
        <w:outlineLvl w:val="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</w:p>
    <w:p w:rsidR="00A76D0B" w:rsidRDefault="00A76D0B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76D0B" w:rsidRDefault="00C468C5">
      <w:pPr>
        <w:keepNext/>
        <w:spacing w:before="240" w:after="60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Ocena sytuacji ekonomiczno-finansowej Miejskiego Centrum Terapii i Profilaktyki Zdrowotnej im. bł. </w:t>
      </w:r>
      <w:r>
        <w:rPr>
          <w:b/>
          <w:szCs w:val="20"/>
          <w:lang w:eastAsia="en-US" w:bidi="ar-SA"/>
        </w:rPr>
        <w:t>Rafała Chylińskiego w Łodzi na podstawie raportu o sytuacji ekonomiczno-finansowej za rok 2021.</w:t>
      </w:r>
    </w:p>
    <w:p w:rsidR="00A76D0B" w:rsidRDefault="00C468C5">
      <w:pPr>
        <w:tabs>
          <w:tab w:val="left" w:pos="284"/>
          <w:tab w:val="left" w:pos="360"/>
        </w:tabs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Miejskie Centrum Terapii i Profilaktyki Zdrowotnej im. bł. Rafała Chylińskiego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Łodzi przedstawiło raport prezentujący sytuację ekonomiczno-finansową jednos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tki w roku obrotowym 2021 oraz prognozę ekonomiczno-finansową na lata 2022-2024. Przedłożony dokument został sporządzony na podstawie rozporządzenia Ministra Zdrowia z dnia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12 kwietnia 2017 r. w sprawie wskaźników ekonomiczno-finansowych niezbędnych do sp</w:t>
      </w:r>
      <w:r>
        <w:rPr>
          <w:color w:val="000000"/>
          <w:szCs w:val="20"/>
          <w:shd w:val="clear" w:color="auto" w:fill="FFFFFF"/>
          <w:lang w:eastAsia="en-US" w:bidi="ar-SA"/>
        </w:rPr>
        <w:t>orządzenia analizy oraz prognozy sytuacji ekonomiczno-finansowej samodzielnych publicznych zakładów opieki zdrowotnej (Dz. U. poz. 832), które określa:</w:t>
      </w:r>
    </w:p>
    <w:p w:rsidR="00A76D0B" w:rsidRDefault="00C468C5">
      <w:pPr>
        <w:numPr>
          <w:ilvl w:val="0"/>
          <w:numId w:val="1"/>
        </w:numPr>
        <w:tabs>
          <w:tab w:val="left" w:pos="360"/>
        </w:tabs>
        <w:spacing w:line="276" w:lineRule="auto"/>
        <w:ind w:left="283" w:hanging="283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w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skaźniki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ekonomiczno-finansowe i sposób ich obliczania, dotyczące następujących aspektów sytuacji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finansowej jednostki:</w:t>
      </w:r>
    </w:p>
    <w:p w:rsidR="00A76D0B" w:rsidRDefault="00C468C5">
      <w:pPr>
        <w:numPr>
          <w:ilvl w:val="0"/>
          <w:numId w:val="2"/>
        </w:numPr>
        <w:tabs>
          <w:tab w:val="left" w:pos="324"/>
          <w:tab w:val="left" w:pos="360"/>
          <w:tab w:val="left" w:pos="900"/>
        </w:tabs>
        <w:spacing w:before="120"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zyskowności tj. zdolności jednostki do generowania zysków,</w:t>
      </w:r>
    </w:p>
    <w:p w:rsidR="00A76D0B" w:rsidRDefault="00C468C5">
      <w:pPr>
        <w:numPr>
          <w:ilvl w:val="0"/>
          <w:numId w:val="2"/>
        </w:numPr>
        <w:tabs>
          <w:tab w:val="left" w:pos="324"/>
          <w:tab w:val="left" w:pos="360"/>
          <w:tab w:val="left" w:pos="90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płynności finansowej tj. zdolności jednostki do terminowego regulowania zaciągniętych zobowiązań krótkoterminowych,</w:t>
      </w:r>
    </w:p>
    <w:p w:rsidR="00A76D0B" w:rsidRDefault="00C468C5">
      <w:pPr>
        <w:numPr>
          <w:ilvl w:val="0"/>
          <w:numId w:val="2"/>
        </w:numPr>
        <w:tabs>
          <w:tab w:val="left" w:pos="324"/>
          <w:tab w:val="left" w:pos="360"/>
          <w:tab w:val="left" w:pos="90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 efektywności zarządzania przepływami finansowymi,</w:t>
      </w:r>
    </w:p>
    <w:p w:rsidR="00A76D0B" w:rsidRDefault="00C468C5">
      <w:pPr>
        <w:numPr>
          <w:ilvl w:val="0"/>
          <w:numId w:val="2"/>
        </w:numPr>
        <w:tabs>
          <w:tab w:val="left" w:pos="324"/>
          <w:tab w:val="left" w:pos="360"/>
          <w:tab w:val="left" w:pos="900"/>
        </w:tabs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zadłuże</w:t>
      </w:r>
      <w:r>
        <w:rPr>
          <w:color w:val="000000"/>
          <w:szCs w:val="20"/>
          <w:shd w:val="clear" w:color="auto" w:fill="FFFFFF"/>
          <w:lang w:eastAsia="en-US" w:bidi="ar-SA"/>
        </w:rPr>
        <w:t>nia tj. stopnia finansowania aktywów kapitałami obcymi</w:t>
      </w:r>
      <w:r>
        <w:rPr>
          <w:color w:val="000000"/>
          <w:szCs w:val="20"/>
          <w:shd w:val="clear" w:color="auto" w:fill="FFFFFF"/>
        </w:rPr>
        <w:t>;</w:t>
      </w:r>
    </w:p>
    <w:p w:rsidR="00A76D0B" w:rsidRDefault="00C468C5">
      <w:pPr>
        <w:numPr>
          <w:ilvl w:val="0"/>
          <w:numId w:val="1"/>
        </w:numPr>
        <w:tabs>
          <w:tab w:val="left" w:pos="360"/>
        </w:tabs>
        <w:spacing w:before="100" w:line="276" w:lineRule="auto"/>
        <w:ind w:left="283" w:hanging="283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p</w:t>
      </w:r>
      <w:proofErr w:type="spellStart"/>
      <w:r>
        <w:rPr>
          <w:b/>
          <w:color w:val="000000"/>
          <w:szCs w:val="20"/>
          <w:shd w:val="clear" w:color="auto" w:fill="FFFFFF"/>
          <w:lang w:eastAsia="en-US" w:bidi="ar-SA"/>
        </w:rPr>
        <w:t>unktowe</w:t>
      </w:r>
      <w:proofErr w:type="spellEnd"/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oceny jednostki dla określonych przedziałów wartości wskaźników</w:t>
      </w:r>
      <w:r>
        <w:rPr>
          <w:b/>
          <w:color w:val="000000"/>
          <w:szCs w:val="20"/>
          <w:shd w:val="clear" w:color="auto" w:fill="FFFFFF"/>
        </w:rPr>
        <w:t>.</w:t>
      </w:r>
    </w:p>
    <w:p w:rsidR="00A76D0B" w:rsidRDefault="00C468C5">
      <w:pPr>
        <w:tabs>
          <w:tab w:val="left" w:pos="360"/>
        </w:tabs>
        <w:spacing w:before="10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Sumaryczna, maksymalna możliwa ocena punktowa wszystkich wskaźników ekonomiczno-finansowych dla SPZOZ wynikająca z ww. rozporz</w:t>
      </w:r>
      <w:r>
        <w:rPr>
          <w:color w:val="000000"/>
          <w:szCs w:val="20"/>
          <w:shd w:val="clear" w:color="auto" w:fill="FFFFFF"/>
          <w:lang w:eastAsia="en-US" w:bidi="ar-SA"/>
        </w:rPr>
        <w:t>ądzenia (za dany rok) wynosi 70 pkt.</w:t>
      </w:r>
    </w:p>
    <w:p w:rsidR="00A76D0B" w:rsidRDefault="00C468C5">
      <w:pPr>
        <w:tabs>
          <w:tab w:val="left" w:pos="360"/>
        </w:tabs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Ocena formalno-merytoryczna</w:t>
      </w:r>
    </w:p>
    <w:p w:rsidR="00A76D0B" w:rsidRDefault="00C468C5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Przedstawiony przez Miejskie Centrum Terapii i Profilaktyki Zdrowotnej im. bł. Rafała Chylińskiego w Łodzi raport zawiera obowiązkowe elementy wymienione w ww. rozporządzeniu. Zawarte w nim p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unktowe wartości wskaźników zostały wyliczone przez jednostkę prawidłowo i mają swoje odzwierciedlenie w składowych sprawozdania finansowego tj. bilansie oraz rachunku zysków i strat za 2021 rok oraz prognozy na lata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2022-2024. Przyjęte w raporcie założen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ia oraz kierunki działań pozwalają na dalsze funkcjonowanie jednostki w ramach: leczenia i terapii uzależnień (w ramach kontraktów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NFZ); prowadzenia miejskich programów profilaktycznych finansowanych z budżetu miasta; wystawiania kart zgonów, usług medy</w:t>
      </w:r>
      <w:r>
        <w:rPr>
          <w:color w:val="000000"/>
          <w:szCs w:val="20"/>
          <w:shd w:val="clear" w:color="auto" w:fill="FFFFFF"/>
          <w:lang w:eastAsia="en-US" w:bidi="ar-SA"/>
        </w:rPr>
        <w:t>cznych świadczonych w ramach czynności wykonywanych przez Komendę Wojewódzką Policji w Łodzi oraz przeciwdziałania wykluczeniu społecznemu (realizacja programów „MOST” i „PORT”).</w:t>
      </w:r>
    </w:p>
    <w:p w:rsidR="00A76D0B" w:rsidRDefault="00C468C5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br w:type="column"/>
      </w:r>
    </w:p>
    <w:p w:rsidR="00A76D0B" w:rsidRDefault="00A76D0B">
      <w:pPr>
        <w:tabs>
          <w:tab w:val="left" w:pos="360"/>
        </w:tabs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A76D0B" w:rsidRDefault="00C468C5">
      <w:pPr>
        <w:keepNext/>
        <w:spacing w:before="240"/>
        <w:jc w:val="left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Wskaźniki Miejskiego Centrum Terapii i Profilaktyki Zdrowotnej im. bł. </w:t>
      </w:r>
      <w:r>
        <w:rPr>
          <w:b/>
          <w:szCs w:val="20"/>
          <w:lang w:eastAsia="en-US" w:bidi="ar-SA"/>
        </w:rPr>
        <w:t>Rafała Chylińskiego w Łodzi za rok 2021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96"/>
        <w:gridCol w:w="3989"/>
        <w:gridCol w:w="1630"/>
        <w:gridCol w:w="1795"/>
      </w:tblGrid>
      <w:tr w:rsidR="00A76D0B">
        <w:trPr>
          <w:trHeight w:val="423"/>
        </w:trPr>
        <w:tc>
          <w:tcPr>
            <w:tcW w:w="8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A76D0B" w:rsidRDefault="00C468C5">
            <w:pP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2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200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2021</w:t>
            </w:r>
          </w:p>
        </w:tc>
      </w:tr>
      <w:tr w:rsidR="00A76D0B">
        <w:trPr>
          <w:trHeight w:val="440"/>
        </w:trPr>
        <w:tc>
          <w:tcPr>
            <w:tcW w:w="80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ind w:left="650" w:hanging="650"/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A76D0B">
        <w:trPr>
          <w:trHeight w:val="643"/>
        </w:trPr>
        <w:tc>
          <w:tcPr>
            <w:tcW w:w="8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 netto (%)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6,5%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A76D0B">
        <w:trPr>
          <w:trHeight w:val="572"/>
        </w:trPr>
        <w:tc>
          <w:tcPr>
            <w:tcW w:w="8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działalności operacyjnej (%)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6,77%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A76D0B">
        <w:trPr>
          <w:trHeight w:val="650"/>
        </w:trPr>
        <w:tc>
          <w:tcPr>
            <w:tcW w:w="8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5,18%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A76D0B">
        <w:trPr>
          <w:trHeight w:val="667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Maksymalna ocena punktowa 15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15 (100%)</w:t>
            </w:r>
          </w:p>
        </w:tc>
      </w:tr>
      <w:tr w:rsidR="00A76D0B">
        <w:trPr>
          <w:trHeight w:val="672"/>
        </w:trPr>
        <w:tc>
          <w:tcPr>
            <w:tcW w:w="8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bieżącej płynności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A76D0B">
        <w:trPr>
          <w:trHeight w:val="547"/>
        </w:trPr>
        <w:tc>
          <w:tcPr>
            <w:tcW w:w="8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</w:tr>
      <w:tr w:rsidR="00A76D0B">
        <w:trPr>
          <w:trHeight w:val="689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Maksymalna ocena punktowa 25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 25 (100%)</w:t>
            </w:r>
          </w:p>
        </w:tc>
      </w:tr>
      <w:tr w:rsidR="00A76D0B">
        <w:trPr>
          <w:trHeight w:val="697"/>
        </w:trPr>
        <w:tc>
          <w:tcPr>
            <w:tcW w:w="8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rotacji należności (w dniach)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10,76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A76D0B">
        <w:trPr>
          <w:trHeight w:val="716"/>
        </w:trPr>
        <w:tc>
          <w:tcPr>
            <w:tcW w:w="8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21,93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A76D0B">
        <w:trPr>
          <w:trHeight w:val="591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Maksymalna ocena punktowa 10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 (100%)</w:t>
            </w:r>
          </w:p>
        </w:tc>
      </w:tr>
      <w:tr w:rsidR="00A76D0B">
        <w:trPr>
          <w:trHeight w:val="596"/>
        </w:trPr>
        <w:tc>
          <w:tcPr>
            <w:tcW w:w="8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zadłużenia aktywów (%)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9,71%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A76D0B">
        <w:trPr>
          <w:trHeight w:val="741"/>
        </w:trPr>
        <w:tc>
          <w:tcPr>
            <w:tcW w:w="8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A76D0B">
        <w:trPr>
          <w:trHeight w:val="618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Maksymalna ocena punktowa 20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10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 (100%)</w:t>
            </w:r>
          </w:p>
        </w:tc>
      </w:tr>
      <w:tr w:rsidR="00A76D0B">
        <w:trPr>
          <w:trHeight w:val="621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20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  <w:tr w:rsidR="00A76D0B">
        <w:trPr>
          <w:trHeight w:val="498"/>
        </w:trPr>
        <w:tc>
          <w:tcPr>
            <w:tcW w:w="2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wartość punktów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możliwych do osiągnięcia</w:t>
            </w:r>
          </w:p>
        </w:tc>
        <w:tc>
          <w:tcPr>
            <w:tcW w:w="200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A76D0B" w:rsidRDefault="00C468C5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2021 rok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Miejskie Centrum Terapii i Profilaktyki Zdrowotnej im. bł. Rafała Chylińskiego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Łodzi osiągnęło wynik finansowy netto w wysokości 831.846 zł (większy o 568 473 zł niż w 2020 roku). Po dodaniu kosztów amorty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zacji wzrósł on do poziomu 1.164.673 zł.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Z samej działalności operacyjnej jednostka osiągnęła wynik finansowy w wysokości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867.757 zł (większy o 596.003 zł od osiągniętego w 2020 roku).</w:t>
      </w:r>
    </w:p>
    <w:p w:rsidR="00A76D0B" w:rsidRDefault="00C468C5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Podmiot osiągnął 15 na 15 punktów w skumulowanej skali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wskaźników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co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pozwala stwierdzić, że jest rentowny i posiada stabilną sytuację finansową.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Ogółem wysokość przychodów wyniosła 12.790.156 zł, co stanowi wzrost w stosunku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do 2020 roku (11.081.596 zł) o 1.708.560 zł. Wysokość kosztów w 2021 roku wyniosł</w:t>
      </w:r>
      <w:r>
        <w:rPr>
          <w:color w:val="000000"/>
          <w:szCs w:val="20"/>
          <w:shd w:val="clear" w:color="auto" w:fill="FFFFFF"/>
          <w:lang w:eastAsia="en-US" w:bidi="ar-SA"/>
        </w:rPr>
        <w:t>a   11.958.310 zł i była wyższa w stosunku do 2020 roku (10.818.223 zł) o 1.140.087 zł.</w:t>
      </w:r>
    </w:p>
    <w:p w:rsidR="00A76D0B" w:rsidRDefault="00C468C5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ramach kluczowych przychodów odnotowano, w pozycji:</w:t>
      </w:r>
    </w:p>
    <w:p w:rsidR="00A76D0B" w:rsidRDefault="00C468C5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1)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programy profilaktyczne Miast</w:t>
      </w:r>
      <w:r>
        <w:rPr>
          <w:b/>
          <w:color w:val="000000"/>
          <w:szCs w:val="20"/>
          <w:shd w:val="clear" w:color="auto" w:fill="FFFFFF"/>
        </w:rPr>
        <w:t>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Ł</w:t>
      </w:r>
      <w:r>
        <w:rPr>
          <w:b/>
          <w:color w:val="000000"/>
          <w:szCs w:val="20"/>
          <w:shd w:val="clear" w:color="auto" w:fill="FFFFFF"/>
        </w:rPr>
        <w:t>odzi:</w:t>
      </w:r>
    </w:p>
    <w:p w:rsidR="00A76D0B" w:rsidRDefault="00C468C5">
      <w:pPr>
        <w:spacing w:before="60"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a)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Miejski Program Profilaktyki i Rozwiązywania Problemów Alkoholowych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–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profilaktyka i rozwiązywanie problemów uzależnień,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b)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Miejski Program Profilaktyki i Rozwiązywania Problemów Alkoholowych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shd w:val="clear" w:color="auto" w:fill="FFFFFF"/>
          <w:lang w:eastAsia="en-US" w:bidi="ar-SA"/>
        </w:rPr>
        <w:t>profilaktyka i rozwiązywanie problemów uzależnień - „Transport osób w stanie upojenia alkoholowego”,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c)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Miejski Program Przeciwdziałania Narkomanii – zadania z zakresu profilaktyki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 rozwiązywania problemów uzależnień,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d)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Profilaktyka i rozwiązywania problemów uzależnień – program sanitarno-higieniczny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dla osób uzależnionych lub nadużywających środki psych</w:t>
      </w:r>
      <w:r>
        <w:rPr>
          <w:color w:val="000000"/>
          <w:szCs w:val="20"/>
          <w:shd w:val="clear" w:color="auto" w:fill="FFFFFF"/>
          <w:lang w:eastAsia="en-US" w:bidi="ar-SA"/>
        </w:rPr>
        <w:t>oaktywne,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e)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Program ochrony zdrowia psychicznego – zapewnienie funkcjonowania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„Oddziału Interwencji Kryzysowej”,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f)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Gminny Program Przeciwdziałania Przemocy w Rodzinie oraz Ochrony Ofiar Przemocy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Rodzinie - punkt konsultacyjny dla osób dotkniętych prz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emocą, 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g)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Gminny Program Przeciwdziałania Przemocy w Rodzinie oraz Ochrony Ofiar Przemocy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Rodzinie – prowadzenie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hostelu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dla sprawców przemocy w rodzinie,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h) 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ealizacja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zadania z zakresu administracji rządowej wykonywanego przez powiat – program korekc</w:t>
      </w:r>
      <w:r>
        <w:rPr>
          <w:color w:val="000000"/>
          <w:szCs w:val="20"/>
          <w:shd w:val="clear" w:color="auto" w:fill="FFFFFF"/>
          <w:lang w:eastAsia="en-US" w:bidi="ar-SA"/>
        </w:rPr>
        <w:t>yjno-edukacyjny dla osób stosujących przemoc w rodzinie,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i) 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eadaptacja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osób zagrożonych wykluczeniem społecznym z uwzględnieniem działań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w zakresie rozwiązywania problemów uzależnień,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j) w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ykonywanie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na rzecz Miasta</w:t>
      </w:r>
      <w:r>
        <w:rPr>
          <w:color w:val="000000"/>
          <w:szCs w:val="20"/>
          <w:shd w:val="clear" w:color="auto" w:fill="FFFFFF"/>
        </w:rPr>
        <w:t xml:space="preserve"> Łodzi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zadania polegającego na wystawian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iu kart zgonu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oraz ustalaniu jego przyczyn,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k) d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odatkowe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zadania na rzecz mieszkańców Łodzi zlecone przez jednostkę tworzącą.</w:t>
      </w:r>
    </w:p>
    <w:p w:rsidR="00A76D0B" w:rsidRDefault="00C468C5">
      <w:pPr>
        <w:spacing w:line="276" w:lineRule="auto"/>
        <w:ind w:left="360" w:hanging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– łączny wzrost z 7.143.884 zł do 8.813.998 zł, czyli o 1.670.114 zł;</w:t>
      </w:r>
    </w:p>
    <w:p w:rsidR="00A76D0B" w:rsidRDefault="00C468C5">
      <w:pPr>
        <w:spacing w:before="12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2)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usług medycznych (poza NFZ)</w:t>
      </w:r>
      <w:r>
        <w:rPr>
          <w:color w:val="000000"/>
          <w:szCs w:val="20"/>
          <w:shd w:val="clear" w:color="auto" w:fill="FFFFFF"/>
          <w:lang w:eastAsia="en-US" w:bidi="ar-SA"/>
        </w:rPr>
        <w:t>:</w:t>
      </w:r>
    </w:p>
    <w:p w:rsidR="00A76D0B" w:rsidRDefault="00C468C5">
      <w:pPr>
        <w:spacing w:line="276" w:lineRule="auto"/>
        <w:ind w:left="45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a) </w:t>
      </w:r>
      <w:r>
        <w:rPr>
          <w:color w:val="000000"/>
          <w:szCs w:val="20"/>
          <w:shd w:val="clear" w:color="auto" w:fill="FFFFFF"/>
          <w:lang w:eastAsia="en-US" w:bidi="ar-SA"/>
        </w:rPr>
        <w:t>świad</w:t>
      </w:r>
      <w:r>
        <w:rPr>
          <w:color w:val="000000"/>
          <w:szCs w:val="20"/>
          <w:shd w:val="clear" w:color="auto" w:fill="FFFFFF"/>
          <w:lang w:eastAsia="en-US" w:bidi="ar-SA"/>
        </w:rPr>
        <w:t>czenie całodobowych usług medycznych obejmujących badanie osób zatrzymanych przez Policję na terenie działania Komendy Wojewódzkiej Policji w Łodzi,</w:t>
      </w:r>
    </w:p>
    <w:p w:rsidR="00A76D0B" w:rsidRDefault="00C468C5">
      <w:pPr>
        <w:ind w:left="453" w:hanging="283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b) </w:t>
      </w:r>
      <w:r>
        <w:rPr>
          <w:color w:val="000000"/>
          <w:szCs w:val="20"/>
          <w:shd w:val="clear" w:color="auto" w:fill="FFFFFF"/>
          <w:lang w:eastAsia="en-US" w:bidi="ar-SA"/>
        </w:rPr>
        <w:t>usługi na rzecz osób fizycznych</w:t>
      </w:r>
    </w:p>
    <w:p w:rsidR="00A76D0B" w:rsidRDefault="00C468C5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– łączny wzrost z 170.193 zł do 204.830 zł, czyli o 34.637 zł;</w:t>
      </w:r>
    </w:p>
    <w:p w:rsidR="00A76D0B" w:rsidRDefault="00C468C5">
      <w:pPr>
        <w:spacing w:before="6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3)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wynajem pomieszczeń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3.391 zł do 3.992 zł, czyli o 601,38 zł;</w:t>
      </w:r>
    </w:p>
    <w:p w:rsidR="00A76D0B" w:rsidRDefault="00C468C5">
      <w:pPr>
        <w:spacing w:before="6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4)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dotacje inne (UE "PORT", "MOST" - wyposażenie, koszty pośrednie)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63.426 zł do 118.004 zł, czyli o 54.578 zł;</w:t>
      </w:r>
    </w:p>
    <w:p w:rsidR="00A76D0B" w:rsidRDefault="00C468C5">
      <w:pPr>
        <w:spacing w:before="6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5)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przychody z tyt. odpisów amortyzacyjnych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13.899 zł do 134.757 zł, czyli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o 120.858 zł;</w:t>
      </w:r>
    </w:p>
    <w:p w:rsidR="00A76D0B" w:rsidRDefault="00C468C5">
      <w:pPr>
        <w:spacing w:before="60" w:line="276" w:lineRule="auto"/>
        <w:ind w:left="340" w:hanging="3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6)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pozostała sprzedaż NFZ (opieka psychiatryczna i leczenie uzależnień)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3.581.247 zł  do 3.522.565 zł, czyli o 58.682 zł;</w:t>
      </w:r>
    </w:p>
    <w:p w:rsidR="00A76D0B" w:rsidRDefault="00C468C5">
      <w:pPr>
        <w:spacing w:before="60" w:line="276" w:lineRule="auto"/>
        <w:ind w:left="340" w:hanging="3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7)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inne (alkomat, dok. med.)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50.020 zł do 46 zł, czyl</w:t>
      </w:r>
      <w:r>
        <w:rPr>
          <w:color w:val="000000"/>
          <w:szCs w:val="20"/>
          <w:shd w:val="clear" w:color="auto" w:fill="FFFFFF"/>
          <w:lang w:eastAsia="en-US" w:bidi="ar-SA"/>
        </w:rPr>
        <w:t>i o 49.974 zł;</w:t>
      </w:r>
    </w:p>
    <w:p w:rsidR="00A76D0B" w:rsidRDefault="00C468C5">
      <w:pPr>
        <w:spacing w:before="6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lastRenderedPageBreak/>
        <w:t>8)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darowizny i zapisy otrzymane </w:t>
      </w:r>
      <w:r>
        <w:rPr>
          <w:color w:val="000000"/>
          <w:szCs w:val="20"/>
          <w:shd w:val="clear" w:color="auto" w:fill="FFFFFF"/>
          <w:lang w:eastAsia="en-US" w:bidi="ar-SA"/>
        </w:rPr>
        <w:t>– spadek z 39.557 zł do 10.640 zł, czyli o 28.916 zł</w:t>
      </w:r>
      <w:r>
        <w:rPr>
          <w:color w:val="000000"/>
          <w:szCs w:val="20"/>
          <w:shd w:val="clear" w:color="auto" w:fill="FFFFFF"/>
        </w:rPr>
        <w:t>.</w:t>
      </w:r>
    </w:p>
    <w:p w:rsidR="00A76D0B" w:rsidRDefault="00C468C5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ramach kluczowych kosztów odnotowano, w pozycji: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1)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6.409.709 zł do 6.827.644 zł, czyli o 417.935 zł,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czego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wynagrodzenia wyn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ikające ze stosunku pracy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– wzrost z 5.861.206 zł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do 6.192.668 zł, czyli o 331.462 zł;</w:t>
      </w:r>
    </w:p>
    <w:p w:rsidR="00A76D0B" w:rsidRDefault="00C468C5">
      <w:pPr>
        <w:spacing w:before="6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2)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ubezpieczenia społeczne i inne </w:t>
      </w:r>
      <w:r>
        <w:rPr>
          <w:color w:val="000000"/>
          <w:szCs w:val="20"/>
          <w:shd w:val="clear" w:color="auto" w:fill="FFFFFF"/>
          <w:lang w:eastAsia="en-US" w:bidi="ar-SA"/>
        </w:rPr>
        <w:t>– wzrost z 1.270.736 zł do 1.314.934 zł, o 44.198 zł;</w:t>
      </w:r>
    </w:p>
    <w:p w:rsidR="00A76D0B" w:rsidRDefault="00C468C5">
      <w:pPr>
        <w:spacing w:before="6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3)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usługi obce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1.782.952 zł do 2.554.322 zł, czyli o 771.370 zł;</w:t>
      </w:r>
    </w:p>
    <w:p w:rsidR="00A76D0B" w:rsidRDefault="00C468C5">
      <w:pPr>
        <w:spacing w:before="6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4)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mortyzacja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wzrost z 176.642,95 zł do 332.827 zł, czyli o 156.184,12 zł;</w:t>
      </w:r>
    </w:p>
    <w:p w:rsidR="00A76D0B" w:rsidRDefault="00C468C5">
      <w:pPr>
        <w:spacing w:before="6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5)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zużycie materiałów i energii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spadek z 1.013.252 zł do 749.933 zł, o 263.319 zł</w:t>
      </w:r>
      <w:r>
        <w:rPr>
          <w:color w:val="000000"/>
          <w:szCs w:val="20"/>
          <w:shd w:val="clear" w:color="auto" w:fill="FFFFFF"/>
        </w:rPr>
        <w:t>.</w:t>
      </w:r>
    </w:p>
    <w:p w:rsidR="00A76D0B" w:rsidRDefault="00C468C5">
      <w:pPr>
        <w:spacing w:before="240"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Osiągnięte przez jednostkę wartości w zakresie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wskaźników płynności </w:t>
      </w:r>
      <w:r>
        <w:rPr>
          <w:color w:val="000000"/>
          <w:szCs w:val="20"/>
          <w:shd w:val="clear" w:color="auto" w:fill="FFFFFF"/>
          <w:lang w:eastAsia="en-US" w:bidi="ar-SA"/>
        </w:rPr>
        <w:t>wskazują, że nie ma ona trudn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ości z terminową spłatą zobowiązań: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bieżąca płynność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2,29 (optymalny zakres wartości: 1,5-2,0),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szybka płynność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2,26 (optymalnie: 1 lub więcej). Wartość aktywów obrotowych jest większa od zobowiązań krótkoterminowych i rezerw na zobowiązania krótkoterminow</w:t>
      </w:r>
      <w:r>
        <w:rPr>
          <w:color w:val="000000"/>
          <w:szCs w:val="20"/>
          <w:shd w:val="clear" w:color="auto" w:fill="FFFFFF"/>
          <w:lang w:eastAsia="en-US" w:bidi="ar-SA"/>
        </w:rPr>
        <w:t>e 2,5 razy.</w:t>
      </w:r>
    </w:p>
    <w:p w:rsidR="00A76D0B" w:rsidRDefault="00C468C5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ramach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wskaźników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podmiot w 2021 roku średnio potrzebował 22 dni na uregulowanie zobowiązań z tytułu dostaw towarów i usług (rotacja zobowiązań) oraz 11 dni na otrzymanie swoich należności (rotacja należności), uzyskując </w:t>
      </w:r>
      <w:r>
        <w:rPr>
          <w:color w:val="000000"/>
          <w:szCs w:val="20"/>
          <w:shd w:val="clear" w:color="auto" w:fill="FFFFFF"/>
          <w:lang w:eastAsia="en-US" w:bidi="ar-SA"/>
        </w:rPr>
        <w:t>maksymalną liczbę punktów.</w:t>
      </w:r>
    </w:p>
    <w:p w:rsidR="00A76D0B" w:rsidRDefault="00C468C5">
      <w:pPr>
        <w:spacing w:after="20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2021 roku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wskaźnik zadłużenia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aktywów jednostki wyniósł 9,71%, a współczynnik wypłacalności 0,24 co plasuje są w najwyższej kategorii punktowej. Poziom zadłużenia podmiotu odpowiada 1/10 jej aktywów oraz 24 groszom jednej złotó</w:t>
      </w:r>
      <w:r>
        <w:rPr>
          <w:color w:val="000000"/>
          <w:szCs w:val="20"/>
          <w:shd w:val="clear" w:color="auto" w:fill="FFFFFF"/>
          <w:lang w:eastAsia="en-US" w:bidi="ar-SA"/>
        </w:rPr>
        <w:t>wki funduszu własnego, co potwierdza fakt podmiot uzyskał maksymalną ilość punktów.</w:t>
      </w:r>
    </w:p>
    <w:p w:rsidR="00A76D0B" w:rsidRDefault="00C468C5">
      <w:pPr>
        <w:spacing w:after="200" w:line="276" w:lineRule="auto"/>
        <w:jc w:val="both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wyliczonych wskaźników za 2021 rok Miejskie Centrum Terapii i Profilaktyki Zdrowotnej im. bł. Rafała Chylińskiego w Łodzi uzyskało łączną ocenę punktową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wys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okości 70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, co stanowi 100% punktów możliwych do uzyskania</w:t>
      </w:r>
      <w:r>
        <w:rPr>
          <w:i/>
          <w:color w:val="000000"/>
          <w:szCs w:val="20"/>
          <w:shd w:val="clear" w:color="auto" w:fill="FFFFFF"/>
          <w:lang w:eastAsia="en-US" w:bidi="ar-SA"/>
        </w:rPr>
        <w:t>.</w:t>
      </w:r>
    </w:p>
    <w:p w:rsidR="00A76D0B" w:rsidRDefault="00C468C5">
      <w:pPr>
        <w:spacing w:after="200" w:line="276" w:lineRule="auto"/>
        <w:jc w:val="both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</w:rPr>
        <w:br w:type="column"/>
      </w:r>
    </w:p>
    <w:p w:rsidR="00A76D0B" w:rsidRDefault="00A76D0B">
      <w:pPr>
        <w:spacing w:after="200" w:line="276" w:lineRule="auto"/>
        <w:jc w:val="both"/>
        <w:rPr>
          <w:i/>
          <w:color w:val="000000"/>
          <w:szCs w:val="20"/>
          <w:shd w:val="clear" w:color="auto" w:fill="FFFFFF"/>
          <w:lang w:eastAsia="en-US" w:bidi="ar-SA"/>
        </w:rPr>
      </w:pPr>
    </w:p>
    <w:p w:rsidR="00A76D0B" w:rsidRDefault="00C468C5">
      <w:pPr>
        <w:keepNext/>
        <w:tabs>
          <w:tab w:val="left" w:pos="2565"/>
        </w:tabs>
        <w:spacing w:after="60"/>
        <w:jc w:val="both"/>
        <w:outlineLvl w:val="0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Wskaźniki Miejskiego Centrum Terapii i Profilaktyki Zdrowotnej im. bł. Rafała Chylińskiego w Łodzi – prognoza na lata 2022-2024</w:t>
      </w:r>
    </w:p>
    <w:tbl>
      <w:tblPr>
        <w:tblW w:w="10785" w:type="dxa"/>
        <w:tblInd w:w="-7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5"/>
        <w:gridCol w:w="1545"/>
        <w:gridCol w:w="1125"/>
        <w:gridCol w:w="990"/>
        <w:gridCol w:w="1110"/>
        <w:gridCol w:w="990"/>
        <w:gridCol w:w="1200"/>
        <w:gridCol w:w="1080"/>
      </w:tblGrid>
      <w:tr w:rsidR="00A76D0B">
        <w:trPr>
          <w:trHeight w:val="106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Grupa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</w:tr>
      <w:tr w:rsidR="00A76D0B">
        <w:trPr>
          <w:trHeight w:val="394"/>
        </w:trPr>
        <w:tc>
          <w:tcPr>
            <w:tcW w:w="2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ind w:left="-660" w:firstLine="660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Ilość punktów</w:t>
            </w:r>
          </w:p>
        </w:tc>
      </w:tr>
      <w:tr w:rsidR="00A76D0B">
        <w:trPr>
          <w:trHeight w:val="160"/>
        </w:trPr>
        <w:tc>
          <w:tcPr>
            <w:tcW w:w="2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ZYSKOWNOŚCI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zyskowności  netto  (%)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A76D0B">
        <w:trPr>
          <w:trHeight w:val="306"/>
        </w:trPr>
        <w:tc>
          <w:tcPr>
            <w:tcW w:w="2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zyskowności działalności operacyjnej (%)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0,42%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A76D0B">
        <w:trPr>
          <w:trHeight w:val="200"/>
        </w:trPr>
        <w:tc>
          <w:tcPr>
            <w:tcW w:w="2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zyskowność aktywów (%)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0,25%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A76D0B">
        <w:trPr>
          <w:trHeight w:val="605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15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9</w:t>
            </w:r>
          </w:p>
        </w:tc>
      </w:tr>
      <w:tr w:rsidR="00A76D0B">
        <w:trPr>
          <w:trHeight w:val="543"/>
        </w:trPr>
        <w:tc>
          <w:tcPr>
            <w:tcW w:w="2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PŁYNNOŚCI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bieżącej płynności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  <w:tr w:rsidR="00A76D0B">
        <w:trPr>
          <w:trHeight w:val="181"/>
        </w:trPr>
        <w:tc>
          <w:tcPr>
            <w:tcW w:w="2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szybkiej płynności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</w:tr>
      <w:tr w:rsidR="00A76D0B">
        <w:trPr>
          <w:trHeight w:val="134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 Maksymalna ocena punktowa 25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25</w:t>
            </w:r>
          </w:p>
        </w:tc>
      </w:tr>
      <w:tr w:rsidR="00A76D0B">
        <w:trPr>
          <w:trHeight w:val="436"/>
        </w:trPr>
        <w:tc>
          <w:tcPr>
            <w:tcW w:w="2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EFEKTYWNOŚCI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rotacji należności (w dniach)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8,49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3</w:t>
            </w:r>
          </w:p>
        </w:tc>
      </w:tr>
      <w:tr w:rsidR="00A76D0B">
        <w:trPr>
          <w:trHeight w:val="330"/>
        </w:trPr>
        <w:tc>
          <w:tcPr>
            <w:tcW w:w="2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rotacji zobowiązań (w dniach)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7,82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</w:t>
            </w:r>
          </w:p>
        </w:tc>
      </w:tr>
      <w:tr w:rsidR="00A76D0B">
        <w:trPr>
          <w:trHeight w:val="83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10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CC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A76D0B">
        <w:trPr>
          <w:trHeight w:val="86"/>
        </w:trPr>
        <w:tc>
          <w:tcPr>
            <w:tcW w:w="2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WSKAŹNIKI ZADŁUŻENIA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zadłużenia aktywów (%)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11,19%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6,28%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6,54%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A76D0B">
        <w:trPr>
          <w:trHeight w:val="462"/>
        </w:trPr>
        <w:tc>
          <w:tcPr>
            <w:tcW w:w="2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A76D0B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jc w:val="left"/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wypłacalności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0,31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6D0B" w:rsidRDefault="00C468C5">
            <w:pP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A76D0B">
        <w:trPr>
          <w:trHeight w:val="60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A76D0B" w:rsidRDefault="00C468C5">
            <w:pPr>
              <w:ind w:right="645"/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ocena punktowa 20 </w:t>
            </w:r>
            <w:proofErr w:type="spellStart"/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pkt</w:t>
            </w:r>
            <w:proofErr w:type="spellEnd"/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vAlign w:val="center"/>
          </w:tcPr>
          <w:p w:rsidR="00A76D0B" w:rsidRDefault="00A76D0B">
            <w:pPr>
              <w:jc w:val="left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20</w:t>
            </w:r>
          </w:p>
        </w:tc>
      </w:tr>
      <w:tr w:rsidR="00A76D0B">
        <w:trPr>
          <w:trHeight w:val="71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noWrap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Łączna wartość punktów osiągniętych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64 (91,43%)</w:t>
            </w:r>
          </w:p>
        </w:tc>
      </w:tr>
      <w:tr w:rsidR="00A76D0B">
        <w:trPr>
          <w:trHeight w:val="230"/>
        </w:trPr>
        <w:tc>
          <w:tcPr>
            <w:tcW w:w="4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A76D0B" w:rsidRDefault="00C468C5">
            <w:pPr>
              <w:ind w:right="645"/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 xml:space="preserve">Maksymalna wartość punktów </w:t>
            </w: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możliwych do osiągnięcia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A76D0B" w:rsidRDefault="00C468C5">
            <w:pP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2"/>
                <w:szCs w:val="20"/>
                <w:shd w:val="clear" w:color="auto" w:fill="FFFFFF"/>
                <w:lang w:eastAsia="en-US" w:bidi="ar-SA"/>
              </w:rPr>
              <w:t>70 (100%)</w:t>
            </w:r>
          </w:p>
        </w:tc>
      </w:tr>
    </w:tbl>
    <w:p w:rsidR="00A76D0B" w:rsidRDefault="00C468C5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Prognozowane przez Miejskie Centrum Terapii i Profilaktyki Zdrowotnej im. bł. Rafała Chylińskiego w Łodzi wskaźniki na lata 2022-2024:</w:t>
      </w:r>
    </w:p>
    <w:p w:rsidR="00A76D0B" w:rsidRDefault="00C468C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zyskowności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na podstawie podpisanych umów oraz przyjętego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planu, prognozuje się sukcesywny spadek wysokości wskaźników ze względu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na nieproporcjonalny wzrost kosztów do zakontraktowanych świadczeń.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efekcie poziom wskaźników został oszacowany w przedziale od 0,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19% do 0,42%.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Należy zauważyć, że dynamicznie zmieniająca się sytuacja w zakresie kosztów powoduje niepewność w oszacowania przyszłej ich wysokości.</w:t>
      </w:r>
    </w:p>
    <w:p w:rsidR="00A76D0B" w:rsidRDefault="00C468C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płynności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jednostka zakłada spadek płynności do poziomu od 2,09 do 2,37, co nie wpływa na prog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nozowaną sumę uzyskanych punktów (w wysokości 25). </w:t>
      </w:r>
    </w:p>
    <w:p w:rsidR="00A76D0B" w:rsidRDefault="00C468C5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Wskaźniki efektywności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prognozuje spadek poziomu rotacji należności do ok. 8,5 dnia oraz zobowiązań do 7,67 dni, co nie wpływa na prognozowaną sumę uzyskanych punktów (w wysokości 10). </w:t>
      </w:r>
    </w:p>
    <w:p w:rsidR="00A76D0B" w:rsidRDefault="00C468C5">
      <w:pPr>
        <w:numPr>
          <w:ilvl w:val="0"/>
          <w:numId w:val="3"/>
        </w:numPr>
        <w:tabs>
          <w:tab w:val="left" w:pos="360"/>
        </w:tabs>
        <w:spacing w:after="200" w:line="276" w:lineRule="auto"/>
        <w:ind w:left="36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Wskaźniki zadłuż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enia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– prognozowane wielkość są większe niż w 2021 roku. Wskaźnik zadłużenia aktywów lokuje się w przedziale 6,28%-11,19% a wypłacalności na poziomie ok. 0,3. W efekcie, prognozowana suma uzyskanych punktów pozostała na poziomie 20.</w:t>
      </w:r>
    </w:p>
    <w:p w:rsidR="00A76D0B" w:rsidRDefault="00C468C5">
      <w:pPr>
        <w:spacing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Prognoza Miejskiego Cen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trum Terapii i Profilaktyki Zdrowotnej im. bł. Rafała Chylińskiego w Łodzi na lata 2022-2024 (zł)</w:t>
      </w:r>
    </w:p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1"/>
        <w:gridCol w:w="1357"/>
        <w:gridCol w:w="911"/>
        <w:gridCol w:w="851"/>
        <w:gridCol w:w="992"/>
        <w:gridCol w:w="850"/>
        <w:gridCol w:w="1134"/>
      </w:tblGrid>
      <w:tr w:rsidR="00A76D0B">
        <w:trPr>
          <w:trHeight w:val="142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Dane bilansowe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2022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6D0B" w:rsidRDefault="00C468C5">
            <w:pPr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wartość</w:t>
            </w:r>
          </w:p>
        </w:tc>
      </w:tr>
      <w:tr w:rsidR="00A76D0B">
        <w:trPr>
          <w:trHeight w:val="557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Wynik finansowy netto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  <w:t xml:space="preserve">trend: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33.260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52.850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tabs>
                <w:tab w:val="left" w:pos="3530"/>
              </w:tabs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52.905 zł</w:t>
            </w:r>
          </w:p>
        </w:tc>
      </w:tr>
      <w:tr w:rsidR="00A76D0B">
        <w:trPr>
          <w:trHeight w:val="81"/>
        </w:trPr>
        <w:tc>
          <w:tcPr>
            <w:tcW w:w="9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both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wnioski: </w:t>
            </w:r>
            <w:r>
              <w:rPr>
                <w:i/>
                <w:color w:val="000000"/>
                <w:szCs w:val="20"/>
                <w:shd w:val="clear" w:color="auto" w:fill="FFFFFF"/>
              </w:rPr>
              <w:t>W</w:t>
            </w:r>
            <w:proofErr w:type="spellStart"/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ynik</w:t>
            </w:r>
            <w:proofErr w:type="spellEnd"/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finansowy w porównaniu do roku 2021 jest niższy, spowodowany rosnącymi kosztami utrzymania</w:t>
            </w:r>
          </w:p>
        </w:tc>
      </w:tr>
      <w:tr w:rsidR="00A76D0B">
        <w:trPr>
          <w:trHeight w:val="25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Majątek trwały 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br/>
              <w:t xml:space="preserve">trend: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 malejący /stały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11.635.950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24.216.295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23.584.650 zł</w:t>
            </w:r>
          </w:p>
        </w:tc>
      </w:tr>
      <w:tr w:rsidR="00A76D0B">
        <w:trPr>
          <w:trHeight w:val="115"/>
        </w:trPr>
        <w:tc>
          <w:tcPr>
            <w:tcW w:w="9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both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wnioski: Wzrost wartości majątku trwałego związany jest z realizacją </w:t>
            </w: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budowy nowego projektu pn. "MOST" - budowa </w:t>
            </w:r>
            <w:proofErr w:type="spellStart"/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hostelu</w:t>
            </w:r>
            <w:proofErr w:type="spellEnd"/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 dla osób wykluczonych</w:t>
            </w:r>
          </w:p>
        </w:tc>
      </w:tr>
      <w:tr w:rsidR="00A76D0B">
        <w:trPr>
          <w:trHeight w:val="41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Kapitał własny                                                 trend: </w:t>
            </w:r>
            <w:r>
              <w:rPr>
                <w:b/>
                <w:color w:val="000000"/>
                <w:szCs w:val="20"/>
                <w:shd w:val="clear" w:color="auto" w:fill="FFFFFF"/>
                <w:lang w:eastAsia="en-US" w:bidi="ar-SA"/>
              </w:rPr>
              <w:t>rosnący</w:t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 / malejący / stały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5.752.229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5.805.079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5.857.984 zł</w:t>
            </w:r>
          </w:p>
        </w:tc>
      </w:tr>
      <w:tr w:rsidR="00A76D0B">
        <w:trPr>
          <w:trHeight w:val="131"/>
        </w:trPr>
        <w:tc>
          <w:tcPr>
            <w:tcW w:w="9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both"/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 xml:space="preserve">wnioski:. Zmniejszenie kapitału własnego w </w:t>
            </w:r>
            <w:r>
              <w:rPr>
                <w:i/>
                <w:color w:val="000000"/>
                <w:szCs w:val="20"/>
                <w:shd w:val="clear" w:color="auto" w:fill="FFFFFF"/>
                <w:lang w:eastAsia="en-US" w:bidi="ar-SA"/>
              </w:rPr>
              <w:t>roku 2022 spowodowane jest likwidacją budynków pod nową inwestycję pn. "MOST". Rosnący kapitał w kolejnych latach wynika z osiąganych zysków</w:t>
            </w:r>
          </w:p>
        </w:tc>
      </w:tr>
      <w:tr w:rsidR="00A76D0B">
        <w:trPr>
          <w:trHeight w:val="131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Wynik finansowy </w:t>
            </w:r>
            <w:r>
              <w:rPr>
                <w:color w:val="000000"/>
                <w:szCs w:val="20"/>
                <w:shd w:val="clear" w:color="auto" w:fill="FFFFFF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ze sprzedaży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-160.470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-277.330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-467.670 zł</w:t>
            </w:r>
          </w:p>
        </w:tc>
      </w:tr>
      <w:tr w:rsidR="00A76D0B">
        <w:trPr>
          <w:trHeight w:val="131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 xml:space="preserve">Wynik finansowy </w:t>
            </w:r>
            <w:r>
              <w:rPr>
                <w:color w:val="000000"/>
                <w:szCs w:val="20"/>
                <w:shd w:val="clear" w:color="auto" w:fill="FFFFFF"/>
              </w:rPr>
              <w:br/>
            </w: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z działalności operacyjnej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40.650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62.020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62.490 zł</w:t>
            </w:r>
          </w:p>
        </w:tc>
      </w:tr>
      <w:tr w:rsidR="00A76D0B">
        <w:trPr>
          <w:trHeight w:val="131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Koszty amortyzacji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325.000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298.660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631.640 zł</w:t>
            </w:r>
          </w:p>
        </w:tc>
      </w:tr>
      <w:tr w:rsidR="00A76D0B">
        <w:trPr>
          <w:trHeight w:val="131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Wynik finansowy netto po dodaniu kosztów amortyzacji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358.260 zł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351.510 zł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6D0B" w:rsidRDefault="00C468C5">
            <w:pPr>
              <w:jc w:val="righ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eastAsia="en-US" w:bidi="ar-SA"/>
              </w:rPr>
              <w:t>684.545 zł</w:t>
            </w:r>
          </w:p>
        </w:tc>
      </w:tr>
    </w:tbl>
    <w:p w:rsidR="00A76D0B" w:rsidRDefault="00C468C5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Prognoza na lata 2022-2024 powstała zgodnie z planem finansowym na 2022 oraz w oparciu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o obowiązujące umowy i prognozowane wysokości przychodów w zakresie m.in.:</w:t>
      </w:r>
    </w:p>
    <w:p w:rsidR="00A76D0B" w:rsidRDefault="00C468C5">
      <w:pPr>
        <w:spacing w:before="240"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1)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programów profilaktycznych Miast</w:t>
      </w:r>
      <w:r>
        <w:rPr>
          <w:b/>
          <w:color w:val="000000"/>
          <w:szCs w:val="20"/>
          <w:shd w:val="clear" w:color="auto" w:fill="FFFFFF"/>
        </w:rPr>
        <w:t>a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Ł</w:t>
      </w:r>
      <w:r>
        <w:rPr>
          <w:b/>
          <w:color w:val="000000"/>
          <w:szCs w:val="20"/>
          <w:shd w:val="clear" w:color="auto" w:fill="FFFFFF"/>
        </w:rPr>
        <w:t>odzi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wysokości: 9.900.900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10.300.000 zł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11.400.000 zł w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2)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pozostałej sprzedaży NFZ </w:t>
      </w:r>
      <w:r>
        <w:rPr>
          <w:color w:val="000000"/>
          <w:szCs w:val="20"/>
          <w:shd w:val="clear" w:color="auto" w:fill="FFFFFF"/>
          <w:lang w:eastAsia="en-US" w:bidi="ar-SA"/>
        </w:rPr>
        <w:t>w wysokości:  3.454.800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; 3.850.000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3.900.000 zł w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3)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sprzedaży usług medycznych (poza NFZ) </w:t>
      </w:r>
      <w:r>
        <w:rPr>
          <w:color w:val="000000"/>
          <w:szCs w:val="20"/>
          <w:shd w:val="clear" w:color="auto" w:fill="FFFFFF"/>
          <w:lang w:eastAsia="en-US" w:bidi="ar-SA"/>
        </w:rPr>
        <w:t>w wysokości: 150.000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155.000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; </w:t>
      </w:r>
      <w:r>
        <w:rPr>
          <w:color w:val="000000"/>
          <w:szCs w:val="20"/>
          <w:shd w:val="clear" w:color="auto" w:fill="FFFFFF"/>
          <w:lang w:eastAsia="en-US" w:bidi="ar-SA"/>
        </w:rPr>
        <w:t>170.000 zł w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4)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dotacji na projekty ("MOST”)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wysokości:  1.770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; 144.700 zł w 2023</w:t>
      </w:r>
      <w:r>
        <w:rPr>
          <w:color w:val="000000"/>
          <w:szCs w:val="20"/>
          <w:shd w:val="clear" w:color="auto" w:fill="FFFFFF"/>
        </w:rPr>
        <w:t xml:space="preserve"> r.</w:t>
      </w:r>
    </w:p>
    <w:p w:rsidR="00A76D0B" w:rsidRDefault="00C468C5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Planowany poziom kosztów kształtuje się m.in. w następujący sposób: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1)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wynagrodzenia</w:t>
      </w:r>
      <w:r>
        <w:rPr>
          <w:color w:val="000000"/>
          <w:szCs w:val="20"/>
          <w:shd w:val="clear" w:color="auto" w:fill="FFFFFF"/>
          <w:lang w:eastAsia="en-US" w:bidi="ar-SA"/>
        </w:rPr>
        <w:t>: 7.989.870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8.534.500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9.236.390 zł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czego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wynagrodzenia wynikające ze stosunku pracy</w:t>
      </w:r>
      <w:r>
        <w:rPr>
          <w:color w:val="000000"/>
          <w:szCs w:val="20"/>
          <w:shd w:val="clear" w:color="auto" w:fill="FFFFFF"/>
          <w:lang w:eastAsia="en-US" w:bidi="ar-SA"/>
        </w:rPr>
        <w:t>: 7.032.900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7.746.550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8.520.000 zł w 2024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; 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lastRenderedPageBreak/>
        <w:t>2)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ubezpieczenia społeczne i inne</w:t>
      </w:r>
      <w:r>
        <w:rPr>
          <w:color w:val="000000"/>
          <w:szCs w:val="20"/>
          <w:shd w:val="clear" w:color="auto" w:fill="FFFFFF"/>
          <w:lang w:eastAsia="en-US" w:bidi="ar-SA"/>
        </w:rPr>
        <w:t>: 1.541.730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1.771.130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1.948.600 zł w 2024</w:t>
      </w:r>
      <w:r>
        <w:rPr>
          <w:color w:val="000000"/>
          <w:szCs w:val="20"/>
          <w:shd w:val="clear" w:color="auto" w:fill="FFFFFF"/>
        </w:rPr>
        <w:t xml:space="preserve"> r.;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3) 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usługi 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bce</w:t>
      </w:r>
      <w:r>
        <w:rPr>
          <w:color w:val="000000"/>
          <w:szCs w:val="20"/>
          <w:shd w:val="clear" w:color="auto" w:fill="FFFFFF"/>
          <w:lang w:eastAsia="en-US" w:bidi="ar-SA"/>
        </w:rPr>
        <w:t>: 2.919.900 zł w 2022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; 2.986.280 zł w 2023</w:t>
      </w:r>
      <w:r>
        <w:rPr>
          <w:color w:val="000000"/>
          <w:szCs w:val="20"/>
          <w:shd w:val="clear" w:color="auto" w:fill="FFFFFF"/>
        </w:rPr>
        <w:t xml:space="preserve"> r.</w:t>
      </w:r>
      <w:r>
        <w:rPr>
          <w:color w:val="000000"/>
          <w:szCs w:val="20"/>
          <w:shd w:val="clear" w:color="auto" w:fill="FFFFFF"/>
          <w:lang w:eastAsia="en-US" w:bidi="ar-SA"/>
        </w:rPr>
        <w:t>; 3.097.070 zł w 2024</w:t>
      </w:r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A76D0B" w:rsidRDefault="00C468C5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Pozostałe założenia przyjęte przez Miejskie Centrum Terapii i Profilaktyki Zdrowotnej im. bł. Rafała Chylińskiego w Łodzi na lata 2022-2024</w:t>
      </w:r>
    </w:p>
    <w:p w:rsidR="00A76D0B" w:rsidRDefault="00C468C5">
      <w:pPr>
        <w:spacing w:after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2022 roku jednostka kontynuuje realizację projektu pn. "MOST – Mieszkanie, Opieka, Samodzielność, Terapia - budowa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hostelu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dla osób wykluczonych" przy 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Niciarnianej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41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(w ramach Regionalnego Programu Operacyjnego Województwa Łódzkiego na lata 2014-20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20, oś priorytetowa VII Infrastruktura dla usług społecznych, Działanie VII.3 Infrastruktura opieki społecznej), którego zakończenie zaplanowano na 2023 rok. Pierwotnie, szacunkowy koszt realizacji inwestycji miał wynieść 9.616.253 zł. Jego wycena została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przeprowadzona na podstawie cen materiałów i usług w roku 2020. </w:t>
      </w:r>
    </w:p>
    <w:p w:rsidR="00A76D0B" w:rsidRDefault="00C468C5">
      <w:pPr>
        <w:spacing w:after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II kwartale 2021 roku </w:t>
      </w:r>
      <w:r>
        <w:rPr>
          <w:color w:val="000000"/>
          <w:szCs w:val="20"/>
          <w:shd w:val="clear" w:color="auto" w:fill="FFFFFF"/>
        </w:rPr>
        <w:t xml:space="preserve"> jednostka </w:t>
      </w:r>
      <w:r>
        <w:rPr>
          <w:color w:val="000000"/>
          <w:szCs w:val="20"/>
          <w:shd w:val="clear" w:color="auto" w:fill="FFFFFF"/>
          <w:lang w:eastAsia="en-US" w:bidi="ar-SA"/>
        </w:rPr>
        <w:t>podpisał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 Miast</w:t>
      </w:r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Ł</w:t>
      </w:r>
      <w:r>
        <w:rPr>
          <w:color w:val="000000"/>
          <w:szCs w:val="20"/>
          <w:shd w:val="clear" w:color="auto" w:fill="FFFFFF"/>
        </w:rPr>
        <w:t>ódź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umowę na jego dofinansowanie w wysokości 4.578.415 zł. Ze względu na obecną dużą dynamikę cen usług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i towarów jednostka wskazuje, </w:t>
      </w:r>
      <w:r>
        <w:rPr>
          <w:color w:val="000000"/>
          <w:szCs w:val="20"/>
          <w:shd w:val="clear" w:color="auto" w:fill="FFFFFF"/>
          <w:lang w:eastAsia="en-US" w:bidi="ar-SA"/>
        </w:rPr>
        <w:t>że jego realizacja może być zagrożona. Wstępne informacje dotyczące kosztorysu wskazują na wzrost kosztów budowy o 40%, natomiast koszty rozbiórki, znajdujących się na tym terenie urządzeń, oszacowano na poziomie 430.000 zł. Całkowity koszt budowy może wyn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ieść 13.430.000 zł, przy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dofinasowaniu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ze środków unijnych (5.000.000 zł), pozostałą kwotę w wysokości 8.430.000 zł jednostka planuje uzupełnić poprzez renegocjację warunków dofinansowania ze strony Miasta Łodzi.</w:t>
      </w:r>
    </w:p>
    <w:p w:rsidR="00A76D0B" w:rsidRDefault="00C468C5">
      <w:pPr>
        <w:spacing w:after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roku 2023 jednostka planuje zakończyć bud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owę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hostelu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zgodnie z projektem „MOST”. Oddanie budynku do używania nastąpi na początku 2024. Środki trwałe w budowie zwiększą wartość rzeczowych aktywów trwałych, które na koniec roku wyniosą 23.584.650 zł. </w:t>
      </w:r>
    </w:p>
    <w:p w:rsidR="00A76D0B" w:rsidRDefault="00C468C5">
      <w:pPr>
        <w:spacing w:before="240" w:after="200" w:line="276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Informacja o istotnych zdarzeniach dla Miejskie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go Centrum Terapii i Profilaktyki Zdrowotnej im. bł. Rafała Chylińskiego w Łodzi – prognoza na lata 2022-2024</w:t>
      </w:r>
    </w:p>
    <w:p w:rsidR="00A76D0B" w:rsidRDefault="00C468C5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prognozie na lata 2022-2024 Miejskie Centrum Terapii i Profilaktyki Zdrowotnej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im. bł. Rafała Chylińskiego w Łodzi zakłada rozszerzenie działal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ności o prowadzenie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hostelu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ramach projektu „MOST”. Koszty związane z jego prowadzeniem jednostka planuje pokryć nową dotacją Miasta Łodzi.</w:t>
      </w:r>
    </w:p>
    <w:p w:rsidR="00A76D0B" w:rsidRDefault="00C468C5">
      <w:pPr>
        <w:spacing w:before="240"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Tak jak w latach poprzednich, największą część przychodów jednostki stanowią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te z programów finansowanych z budże</w:t>
      </w:r>
      <w:r>
        <w:rPr>
          <w:color w:val="000000"/>
          <w:szCs w:val="20"/>
          <w:shd w:val="clear" w:color="auto" w:fill="FFFFFF"/>
          <w:lang w:eastAsia="en-US" w:bidi="ar-SA"/>
        </w:rPr>
        <w:t>tu miasta. Kluczowymi kwestiami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na jakie wskazuje jednostka, </w:t>
      </w:r>
      <w:r>
        <w:rPr>
          <w:color w:val="000000"/>
          <w:szCs w:val="20"/>
          <w:shd w:val="clear" w:color="auto" w:fill="FFFFFF"/>
        </w:rPr>
        <w:t>są</w:t>
      </w:r>
      <w:r>
        <w:rPr>
          <w:color w:val="000000"/>
          <w:szCs w:val="20"/>
          <w:shd w:val="clear" w:color="auto" w:fill="FFFFFF"/>
          <w:lang w:eastAsia="en-US" w:bidi="ar-SA"/>
        </w:rPr>
        <w:t>: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1) </w:t>
      </w:r>
      <w:r>
        <w:rPr>
          <w:color w:val="000000"/>
          <w:szCs w:val="20"/>
          <w:shd w:val="clear" w:color="auto" w:fill="FFFFFF"/>
          <w:lang w:eastAsia="en-US" w:bidi="ar-SA"/>
        </w:rPr>
        <w:t>zwiększenie zaangażowania środków publicznych w ramach zadań zleconych;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potencjalne problemy finansowe jednostki wynikające ze wzrostu kosztów funkcjonowania oraz realizacji projektów </w:t>
      </w:r>
      <w:r>
        <w:rPr>
          <w:color w:val="000000"/>
          <w:szCs w:val="20"/>
          <w:shd w:val="clear" w:color="auto" w:fill="FFFFFF"/>
          <w:lang w:eastAsia="en-US" w:bidi="ar-SA"/>
        </w:rPr>
        <w:t>inwestycyjnych.</w:t>
      </w:r>
    </w:p>
    <w:p w:rsidR="00A76D0B" w:rsidRDefault="00A76D0B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A76D0B" w:rsidRDefault="00C468C5">
      <w:pPr>
        <w:spacing w:before="240" w:after="200" w:line="276" w:lineRule="auto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br w:type="column"/>
      </w: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Podsumowanie</w:t>
      </w:r>
    </w:p>
    <w:p w:rsidR="00A76D0B" w:rsidRDefault="00C468C5">
      <w:pPr>
        <w:spacing w:line="276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raportu o sytuacji ekonomiczno-finansowej Miejskiego Centrum Terapii </w:t>
      </w:r>
      <w:r>
        <w:rPr>
          <w:color w:val="000000"/>
          <w:szCs w:val="20"/>
          <w:shd w:val="clear" w:color="auto" w:fill="FFFFFF"/>
          <w:lang w:eastAsia="en-US" w:bidi="ar-SA"/>
        </w:rPr>
        <w:br/>
        <w:t xml:space="preserve">i Profilaktyki Zdrowotnej im. bł. Rafała Chylińskiego w Łodzi, funkcjonującego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jako Samodzielny Publiczny Zakład Opieki Zdrowotnej należy stw</w:t>
      </w:r>
      <w:r>
        <w:rPr>
          <w:color w:val="000000"/>
          <w:szCs w:val="20"/>
          <w:shd w:val="clear" w:color="auto" w:fill="FFFFFF"/>
          <w:lang w:eastAsia="en-US" w:bidi="ar-SA"/>
        </w:rPr>
        <w:t>ierdzić, że:</w:t>
      </w:r>
    </w:p>
    <w:p w:rsidR="00A76D0B" w:rsidRDefault="00C468C5">
      <w:pPr>
        <w:spacing w:before="120" w:line="276" w:lineRule="auto"/>
        <w:ind w:left="283" w:hanging="283"/>
        <w:jc w:val="both"/>
        <w:rPr>
          <w:i/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ocena dokonana na podstawie wskaźników ekonomiczno-finansowych 2021 roku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jest pozytywna – podmiot posiada obecnie stabilną sytuację finansową;</w:t>
      </w:r>
    </w:p>
    <w:p w:rsidR="00A76D0B" w:rsidRDefault="00C468C5">
      <w:pPr>
        <w:spacing w:line="276" w:lineRule="auto"/>
        <w:ind w:left="283" w:hanging="283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2)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jednostka wskazuje na konieczność urealnienia przychodów w latach 2022-2024 </w:t>
      </w:r>
      <w:r>
        <w:rPr>
          <w:color w:val="000000"/>
          <w:szCs w:val="20"/>
          <w:shd w:val="clear" w:color="auto" w:fill="FFFFFF"/>
          <w:lang w:eastAsia="en-US" w:bidi="ar-SA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ramach umów z Miastem Łódź – brak ich zwiększenia może spowodować problemy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 płynnością, regulowaniem bieżących zobowiązań oraz realizacją inwestycji.</w:t>
      </w:r>
    </w:p>
    <w:p w:rsidR="00A76D0B" w:rsidRDefault="00C468C5">
      <w:pPr>
        <w:spacing w:before="240" w:line="276" w:lineRule="auto"/>
        <w:jc w:val="both"/>
        <w:rPr>
          <w:color w:val="000000"/>
          <w:szCs w:val="20"/>
          <w:u w:val="single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związku z powyższym dokonuje się pozytywnej oceny sytuacji ekonomiczno-finansowej Miejskiego Centrum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Terapii i Profilaktyki Zdrowotnej im. bł. Rafała Chylińskiego w Łodzi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na podstawie przedstawionego przez jednostkę raportu o sytuacji ekonomiczno-finansowej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za 2021 rok.</w:t>
      </w:r>
    </w:p>
    <w:p w:rsidR="00A76D0B" w:rsidRDefault="00A76D0B">
      <w:pPr>
        <w:spacing w:before="240" w:line="276" w:lineRule="auto"/>
        <w:jc w:val="both"/>
        <w:rPr>
          <w:szCs w:val="20"/>
          <w:shd w:val="clear" w:color="auto" w:fill="FFFFFF"/>
          <w:lang w:eastAsia="en-US" w:bidi="ar-SA"/>
        </w:rPr>
        <w:sectPr w:rsidR="00A76D0B">
          <w:footerReference w:type="default" r:id="rId8"/>
          <w:pgSz w:w="11906" w:h="16838"/>
          <w:pgMar w:top="743" w:right="1418" w:bottom="1418" w:left="1418" w:header="709" w:footer="709" w:gutter="0"/>
          <w:pgNumType w:start="1"/>
          <w:cols w:space="708"/>
          <w:titlePg/>
        </w:sectPr>
      </w:pPr>
      <w:r>
        <w:rPr>
          <w:szCs w:val="20"/>
          <w:shd w:val="clear" w:color="auto" w:fill="FFFFFF"/>
          <w:lang w:eastAsia="en-US" w:bidi="ar-SA"/>
        </w:rPr>
        <w:fldChar w:fldCharType="begin"/>
      </w:r>
      <w:r>
        <w:rPr>
          <w:szCs w:val="20"/>
          <w:shd w:val="clear" w:color="auto" w:fill="FFFFFF"/>
          <w:lang w:eastAsia="en-US" w:bidi="ar-SA"/>
        </w:rPr>
        <w:fldChar w:fldCharType="end"/>
      </w:r>
    </w:p>
    <w:p w:rsidR="00A76D0B" w:rsidRDefault="00C468C5">
      <w:pPr>
        <w:rPr>
          <w:b/>
          <w:szCs w:val="20"/>
        </w:rPr>
      </w:pPr>
      <w:r>
        <w:rPr>
          <w:b/>
          <w:szCs w:val="20"/>
        </w:rPr>
        <w:lastRenderedPageBreak/>
        <w:t>UZASADNIENIE</w:t>
      </w:r>
    </w:p>
    <w:p w:rsidR="00A76D0B" w:rsidRDefault="00A76D0B">
      <w:pPr>
        <w:rPr>
          <w:szCs w:val="20"/>
        </w:rPr>
      </w:pPr>
    </w:p>
    <w:p w:rsidR="00A76D0B" w:rsidRDefault="00C468C5">
      <w:pPr>
        <w:ind w:firstLine="567"/>
        <w:jc w:val="both"/>
        <w:rPr>
          <w:szCs w:val="20"/>
        </w:rPr>
      </w:pPr>
      <w:r>
        <w:rPr>
          <w:szCs w:val="20"/>
        </w:rPr>
        <w:t xml:space="preserve">Zgodnie z wymogami art. 53a ustawy </w:t>
      </w:r>
      <w:r>
        <w:rPr>
          <w:color w:val="000000"/>
          <w:szCs w:val="20"/>
          <w:u w:color="000000"/>
        </w:rPr>
        <w:t xml:space="preserve">z dnia 15 kwietnia 2011 r. </w:t>
      </w:r>
      <w:r>
        <w:rPr>
          <w:szCs w:val="20"/>
        </w:rPr>
        <w:t xml:space="preserve">o działalności leczniczej samodzielny publiczny zakład opieki zdrowotnej o nazwie Miejskie Centrum </w:t>
      </w:r>
      <w:r>
        <w:rPr>
          <w:szCs w:val="20"/>
          <w:shd w:val="clear" w:color="auto" w:fill="FFFFFF"/>
        </w:rPr>
        <w:t>Terapii i Profilaktyki Zdrowotnej im. bł. Rafała Chylińskiego w Łodzi</w:t>
      </w:r>
      <w:r>
        <w:rPr>
          <w:szCs w:val="20"/>
        </w:rPr>
        <w:t xml:space="preserve"> przedstawiło w wymaganym </w:t>
      </w:r>
      <w:r>
        <w:rPr>
          <w:szCs w:val="20"/>
        </w:rPr>
        <w:t>terminie raport o sytuacji ekonomiczno-finansowej przygotowany na podstawie sprawozdania finansowego za poprzedni rok obrotowy zawierający w szczególności analizę sytuacji ekonomiczno-finansowej za poprzedni rok obrotowy, tj. 2021, a także prognozę sytuacj</w:t>
      </w:r>
      <w:r>
        <w:rPr>
          <w:szCs w:val="20"/>
        </w:rPr>
        <w:t>i ekonomiczno-finansowej na kolejne trzy lata obrotowe wraz z opisem przyjętych założeń oraz informację o istotnych zdarzeniach mających wpływ na sytuację ekonomiczno-finansową samodzielnego publicznego zakładu opieki zdrowotnej.</w:t>
      </w:r>
    </w:p>
    <w:p w:rsidR="00A76D0B" w:rsidRDefault="00C468C5">
      <w:pPr>
        <w:spacing w:before="120" w:after="120"/>
        <w:ind w:firstLine="570"/>
        <w:jc w:val="both"/>
        <w:rPr>
          <w:color w:val="000000"/>
          <w:szCs w:val="20"/>
        </w:rPr>
      </w:pPr>
      <w:r>
        <w:rPr>
          <w:color w:val="000000"/>
          <w:szCs w:val="20"/>
          <w:u w:color="000000"/>
        </w:rPr>
        <w:t>Przedmiotowa ocena raportu</w:t>
      </w:r>
      <w:r>
        <w:rPr>
          <w:color w:val="000000"/>
          <w:szCs w:val="20"/>
          <w:u w:color="000000"/>
        </w:rPr>
        <w:t xml:space="preserve"> </w:t>
      </w:r>
      <w:r>
        <w:rPr>
          <w:szCs w:val="20"/>
        </w:rPr>
        <w:t>o sytuacji ekonomiczno-finansowej</w:t>
      </w:r>
      <w:r>
        <w:rPr>
          <w:color w:val="000000"/>
          <w:szCs w:val="20"/>
          <w:u w:color="000000"/>
        </w:rPr>
        <w:t xml:space="preserve"> została przygotowana zgodnie z wymogami  ustawy z dnia 15 kwietnia 2011 r. o działalności leczniczej  przez komórkę organizacyjną sprawującą bezpośredni nadzór nad samodzielnymi publicznymi zakładami opieki zdrowotnej dla</w:t>
      </w:r>
      <w:r>
        <w:rPr>
          <w:color w:val="000000"/>
          <w:szCs w:val="20"/>
          <w:u w:color="000000"/>
        </w:rPr>
        <w:t xml:space="preserve"> których podmiotem tworzącym jest Miasto Łódź, tj. Wydział Zdrowia i Spraw Społecznych  Urzędu Miasta Łodzi w Departamencie Zdrowia i Spraw Społecznych Urzędu Miasta Łodzi.</w:t>
      </w:r>
    </w:p>
    <w:p w:rsidR="00A76D0B" w:rsidRDefault="00C468C5">
      <w:pPr>
        <w:ind w:firstLine="567"/>
        <w:jc w:val="both"/>
        <w:rPr>
          <w:szCs w:val="20"/>
        </w:rPr>
      </w:pPr>
      <w:r>
        <w:rPr>
          <w:szCs w:val="20"/>
        </w:rPr>
        <w:t>Ocena sytuacji ekonomiczno-finansowej jednostki należy do kompetencji Rady Miejskie</w:t>
      </w:r>
      <w:r>
        <w:rPr>
          <w:szCs w:val="20"/>
        </w:rPr>
        <w:t xml:space="preserve">j w Łodzi, tj. podmiotu tworzącego dla </w:t>
      </w:r>
      <w:r>
        <w:rPr>
          <w:color w:val="000000"/>
          <w:szCs w:val="20"/>
          <w:u w:color="000000"/>
        </w:rPr>
        <w:t xml:space="preserve">Miejskiego Centrum </w:t>
      </w:r>
      <w:r>
        <w:rPr>
          <w:szCs w:val="20"/>
          <w:shd w:val="clear" w:color="auto" w:fill="FFFFFF"/>
        </w:rPr>
        <w:t>Terapii i Profilaktyki Zdrowotnej im. bł. Rafała Chylińskiego w Łodzi</w:t>
      </w:r>
      <w:r>
        <w:rPr>
          <w:szCs w:val="20"/>
        </w:rPr>
        <w:t>, co stanowi przedmiot niniejszego projektu uchwały.</w:t>
      </w:r>
    </w:p>
    <w:p w:rsidR="00A76D0B" w:rsidRDefault="00A76D0B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A76D0B" w:rsidRDefault="00A76D0B">
      <w:pPr>
        <w:spacing w:before="120" w:after="120"/>
        <w:ind w:left="283" w:firstLine="227"/>
        <w:jc w:val="both"/>
        <w:rPr>
          <w:color w:val="000000"/>
          <w:szCs w:val="20"/>
        </w:rPr>
      </w:pPr>
    </w:p>
    <w:p w:rsidR="00A76D0B" w:rsidRDefault="00A76D0B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</w:p>
    <w:sectPr w:rsidR="00A76D0B" w:rsidSect="00A76D0B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C5" w:rsidRDefault="00C468C5" w:rsidP="00A76D0B">
      <w:r>
        <w:separator/>
      </w:r>
    </w:p>
  </w:endnote>
  <w:endnote w:type="continuationSeparator" w:id="0">
    <w:p w:rsidR="00C468C5" w:rsidRDefault="00C468C5" w:rsidP="00A7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76D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6D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00B6">
            <w:rPr>
              <w:sz w:val="18"/>
            </w:rPr>
            <w:fldChar w:fldCharType="separate"/>
          </w:r>
          <w:r w:rsidR="002F00B6">
            <w:rPr>
              <w:noProof/>
              <w:sz w:val="18"/>
            </w:rPr>
            <w:t>1</w:t>
          </w:r>
          <w:r w:rsidR="00A76D0B">
            <w:rPr>
              <w:sz w:val="18"/>
            </w:rPr>
            <w:fldChar w:fldCharType="end"/>
          </w:r>
        </w:p>
      </w:tc>
    </w:tr>
  </w:tbl>
  <w:p w:rsidR="00A76D0B" w:rsidRDefault="00A76D0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7"/>
      <w:gridCol w:w="3023"/>
    </w:tblGrid>
    <w:tr w:rsidR="00A76D0B">
      <w:tc>
        <w:tcPr>
          <w:tcW w:w="604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6D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00B6">
            <w:rPr>
              <w:sz w:val="18"/>
            </w:rPr>
            <w:fldChar w:fldCharType="separate"/>
          </w:r>
          <w:r w:rsidR="002F00B6">
            <w:rPr>
              <w:noProof/>
              <w:sz w:val="18"/>
            </w:rPr>
            <w:t>8</w:t>
          </w:r>
          <w:r w:rsidR="00A76D0B">
            <w:rPr>
              <w:sz w:val="18"/>
            </w:rPr>
            <w:fldChar w:fldCharType="end"/>
          </w:r>
        </w:p>
      </w:tc>
    </w:tr>
  </w:tbl>
  <w:p w:rsidR="00A76D0B" w:rsidRDefault="00A76D0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76D0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76D0B" w:rsidRDefault="00C468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6D0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F00B6">
            <w:rPr>
              <w:sz w:val="18"/>
            </w:rPr>
            <w:fldChar w:fldCharType="separate"/>
          </w:r>
          <w:r w:rsidR="002F00B6">
            <w:rPr>
              <w:noProof/>
              <w:sz w:val="18"/>
            </w:rPr>
            <w:t>9</w:t>
          </w:r>
          <w:r w:rsidR="00A76D0B">
            <w:rPr>
              <w:sz w:val="18"/>
            </w:rPr>
            <w:fldChar w:fldCharType="end"/>
          </w:r>
        </w:p>
      </w:tc>
    </w:tr>
  </w:tbl>
  <w:p w:rsidR="00A76D0B" w:rsidRDefault="00A76D0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C5" w:rsidRDefault="00C468C5" w:rsidP="00A76D0B">
      <w:r>
        <w:separator/>
      </w:r>
    </w:p>
  </w:footnote>
  <w:footnote w:type="continuationSeparator" w:id="0">
    <w:p w:rsidR="00C468C5" w:rsidRDefault="00C468C5" w:rsidP="00A76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C95F"/>
    <w:multiLevelType w:val="hybridMultilevel"/>
    <w:tmpl w:val="00000000"/>
    <w:lvl w:ilvl="0" w:tplc="86ACFF3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705A9D20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7196E55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1B82BC06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DA56CF0C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A630021E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A8D201A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B2F62444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C3F2A69E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>
    <w:nsid w:val="4F6D46C8"/>
    <w:multiLevelType w:val="hybridMultilevel"/>
    <w:tmpl w:val="00000000"/>
    <w:lvl w:ilvl="0" w:tplc="45343924">
      <w:start w:val="1"/>
      <w:numFmt w:val="decimal"/>
      <w:lvlText w:val="%1."/>
      <w:lvlJc w:val="left"/>
      <w:pPr>
        <w:ind w:left="720" w:hanging="360"/>
      </w:pPr>
    </w:lvl>
    <w:lvl w:ilvl="1" w:tplc="8162092A">
      <w:start w:val="1"/>
      <w:numFmt w:val="lowerLetter"/>
      <w:lvlText w:val="%2."/>
      <w:lvlJc w:val="left"/>
      <w:pPr>
        <w:ind w:left="1440" w:hanging="360"/>
      </w:pPr>
    </w:lvl>
    <w:lvl w:ilvl="2" w:tplc="D668068C">
      <w:start w:val="1"/>
      <w:numFmt w:val="lowerRoman"/>
      <w:lvlText w:val="%3."/>
      <w:lvlJc w:val="right"/>
      <w:pPr>
        <w:ind w:left="2160" w:hanging="180"/>
      </w:pPr>
    </w:lvl>
    <w:lvl w:ilvl="3" w:tplc="A13E608C">
      <w:start w:val="1"/>
      <w:numFmt w:val="decimal"/>
      <w:lvlText w:val="%4."/>
      <w:lvlJc w:val="left"/>
      <w:pPr>
        <w:ind w:left="2880" w:hanging="360"/>
      </w:pPr>
    </w:lvl>
    <w:lvl w:ilvl="4" w:tplc="60FE7124">
      <w:start w:val="1"/>
      <w:numFmt w:val="lowerLetter"/>
      <w:lvlText w:val="%5."/>
      <w:lvlJc w:val="left"/>
      <w:pPr>
        <w:ind w:left="3600" w:hanging="360"/>
      </w:pPr>
    </w:lvl>
    <w:lvl w:ilvl="5" w:tplc="05001A40">
      <w:start w:val="1"/>
      <w:numFmt w:val="lowerRoman"/>
      <w:lvlText w:val="%6."/>
      <w:lvlJc w:val="right"/>
      <w:pPr>
        <w:ind w:left="4320" w:hanging="180"/>
      </w:pPr>
    </w:lvl>
    <w:lvl w:ilvl="6" w:tplc="7966CBCC">
      <w:start w:val="1"/>
      <w:numFmt w:val="decimal"/>
      <w:lvlText w:val="%7."/>
      <w:lvlJc w:val="left"/>
      <w:pPr>
        <w:ind w:left="5040" w:hanging="360"/>
      </w:pPr>
    </w:lvl>
    <w:lvl w:ilvl="7" w:tplc="F74812DA">
      <w:start w:val="1"/>
      <w:numFmt w:val="lowerLetter"/>
      <w:lvlText w:val="%8."/>
      <w:lvlJc w:val="left"/>
      <w:pPr>
        <w:ind w:left="5760" w:hanging="360"/>
      </w:pPr>
    </w:lvl>
    <w:lvl w:ilvl="8" w:tplc="90DA6D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AC44F"/>
    <w:multiLevelType w:val="hybridMultilevel"/>
    <w:tmpl w:val="00000000"/>
    <w:lvl w:ilvl="0" w:tplc="11322818">
      <w:start w:val="1"/>
      <w:numFmt w:val="decimal"/>
      <w:lvlText w:val="%1)"/>
      <w:lvlJc w:val="left"/>
      <w:pPr>
        <w:spacing w:beforeAutospacing="0" w:after="0" w:afterAutospacing="0" w:line="240" w:lineRule="auto"/>
        <w:ind w:left="502" w:hanging="360"/>
      </w:pPr>
    </w:lvl>
    <w:lvl w:ilvl="1" w:tplc="7A8A879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DDBC05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4A38C4A6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8FB0B8A2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B7F60AE8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E16A2E54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D6CC119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878475DC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F00B6"/>
    <w:rsid w:val="00A76D0B"/>
    <w:rsid w:val="00A77B3E"/>
    <w:rsid w:val="00C468C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6D0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rsid w:val="00A76D0B"/>
    <w:pPr>
      <w:keepNext/>
      <w:spacing w:before="240" w:after="60"/>
      <w:jc w:val="left"/>
      <w:outlineLvl w:val="0"/>
    </w:pPr>
    <w:rPr>
      <w:b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76D0B"/>
    <w:pPr>
      <w:tabs>
        <w:tab w:val="center" w:pos="4536"/>
        <w:tab w:val="right" w:pos="9072"/>
      </w:tabs>
      <w:jc w:val="left"/>
    </w:pPr>
    <w:rPr>
      <w:szCs w:val="20"/>
      <w:lang w:eastAsia="en-US" w:bidi="ar-SA"/>
    </w:rPr>
  </w:style>
  <w:style w:type="character" w:styleId="Numerstrony">
    <w:name w:val="page number"/>
    <w:basedOn w:val="Domylnaczcionkaakapitu"/>
    <w:rsid w:val="00A76D0B"/>
    <w:rPr>
      <w:rFonts w:ascii="Times New Roman" w:hAnsi="Times New Roman"/>
      <w:color w:val="auto"/>
      <w:sz w:val="24"/>
      <w:shd w:val="clear" w:color="auto" w:fill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oceny sytuacji ekonomiczno-finansowej
samodzielnego publicznego zakładu opieki zdrowotnej o^nazwie
Miejskie Centrum Terapii i^Profilaktyki Zdrowotnej im. bł. Rafała Chylińskiego w^Łodzi, na podstawie raportu o^sytuacji ekonomiczno-finansowej za rok 2021.</dc:subject>
  <dc:creator>elukowicz</dc:creator>
  <cp:lastModifiedBy>sstanczyk</cp:lastModifiedBy>
  <cp:revision>2</cp:revision>
  <dcterms:created xsi:type="dcterms:W3CDTF">2022-12-05T12:29:00Z</dcterms:created>
  <dcterms:modified xsi:type="dcterms:W3CDTF">2022-12-05T12:27:00Z</dcterms:modified>
  <cp:category>Akt prawny</cp:category>
</cp:coreProperties>
</file>