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A425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307C88">
            <w:pPr>
              <w:ind w:left="5669"/>
              <w:jc w:val="left"/>
            </w:pPr>
            <w:r>
              <w:t>Druk Nr 43/2023</w:t>
            </w:r>
          </w:p>
          <w:p w:rsidR="00A77B3E" w:rsidRDefault="00307C88">
            <w:pPr>
              <w:ind w:left="5669"/>
              <w:jc w:val="left"/>
            </w:pPr>
            <w:r>
              <w:t>Projekt z dnia 3 marca 2023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307C8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07C88">
      <w:pPr>
        <w:spacing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307C88">
      <w:pPr>
        <w:keepNext/>
        <w:spacing w:after="240"/>
      </w:pPr>
      <w:bookmarkStart w:id="0" w:name="_GoBack"/>
      <w:r>
        <w:rPr>
          <w:b/>
        </w:rPr>
        <w:t>w sprawie wyrażenia zgody na sprzedaż w drodze przetargu nieruchomości położonych</w:t>
      </w:r>
      <w:r>
        <w:rPr>
          <w:b/>
        </w:rPr>
        <w:br/>
        <w:t>w Łodzi przy ul. Dostawczej 6 i Dostawczej bez numeru</w:t>
      </w:r>
      <w:bookmarkEnd w:id="0"/>
      <w:r>
        <w:rPr>
          <w:b/>
        </w:rPr>
        <w:t>.</w:t>
      </w:r>
    </w:p>
    <w:p w:rsidR="00A77B3E" w:rsidRDefault="00307C88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40) oraz art. 13 ust. 1 i art. 37 ust. 1 ustawy z dnia 21 sierpnia 1997 r. o gospodarce nieruchomościami (Dz. U. z 2021 r. poz. 1899 oraz z 2022 r. poz. 1846 i 2185), Rada Miejska w Łodzi</w:t>
      </w:r>
    </w:p>
    <w:p w:rsidR="00A77B3E" w:rsidRDefault="00307C8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07C8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 xml:space="preserve">§ 1. Wyraża się zgodę na sprzedaż w drodze przetargu nieruchomości, stanowiących własność Miasta Łodzi, położonych w Łodzi przy ul. Dostawczej 6 i Dostawczej bez numeru oznaczonych w ewidencji gruntów i budynków jako działki nr 132/105, 132/106, 132/91, 132/92, 132/102, 132/103, 132/94, 132/95, 132/89, 132/90, 132/84, 132/85, 132/1, 132/5, 132/97, 132/98, 132/86, 132/87, 132/9, 132/82, 132/83 i 134/22 w obrębie W-31, </w:t>
      </w:r>
      <w:r>
        <w:br/>
        <w:t>o łącznej powierzchni 83 720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których prowadzone są księgi wieczyste </w:t>
      </w:r>
      <w:r>
        <w:rPr>
          <w:color w:val="000000"/>
          <w:u w:color="000000"/>
        </w:rPr>
        <w:br/>
        <w:t>nr LD1M/00326876/6, LD1M/00046669/5, LD1M/00202871/6, LD1M/00202870/9, LD1M/00145306/7 oraz LD1M/00033672/5.</w:t>
      </w:r>
    </w:p>
    <w:p w:rsidR="00A77B3E" w:rsidRDefault="00307C8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307C88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42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254" w:rsidRDefault="007A425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254" w:rsidRDefault="00307C8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307C88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307C88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7A4254" w:rsidRDefault="00307C8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7A4254" w:rsidRDefault="007A4254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Miasto Łódź jest właścicielem nieruchomości położonych w Łodzi przy ul. Dostawczej </w:t>
      </w:r>
      <w:r>
        <w:rPr>
          <w:color w:val="000000"/>
          <w:szCs w:val="20"/>
          <w:shd w:val="clear" w:color="auto" w:fill="FFFFFF"/>
        </w:rPr>
        <w:t xml:space="preserve">6 </w:t>
      </w:r>
      <w:r>
        <w:rPr>
          <w:color w:val="000000"/>
          <w:szCs w:val="20"/>
          <w:shd w:val="clear" w:color="auto" w:fill="FFFFFF"/>
        </w:rPr>
        <w:br/>
        <w:t xml:space="preserve">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Dostawczej bez numeru, oznaczonych w obrębie </w:t>
      </w:r>
      <w:r>
        <w:rPr>
          <w:color w:val="000000"/>
          <w:szCs w:val="20"/>
          <w:shd w:val="clear" w:color="auto" w:fill="FFFFFF"/>
        </w:rPr>
        <w:t>W-31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jako działki nr 132/105, 132/106, 132/91, 132/92, 132/102, 132/103, 132/94, 132/95, 132/89, 132/90, 132/84, 132/85, 132/1, 132/5, 132/97, 132/98, 132/86, 132/87, 132/9, 132/82, 132/83 i 134/22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łącznej powierzchni 83 720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dla których prowadzone są księgi wieczyste nr LD1M/00326876/6, LD1M/00046669/5, LD1M/00202871/6, LD1M/00202870/9, LD1M/00145306/7 oraz LD1M/00033672/5</w:t>
      </w:r>
      <w:r>
        <w:rPr>
          <w:color w:val="000000"/>
          <w:szCs w:val="20"/>
          <w:shd w:val="clear" w:color="auto" w:fill="FFFFFF"/>
        </w:rPr>
        <w:t>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Na nieruchomościach posadowione są budynki o funkcji niemieszkalnej. Nieruchomości </w:t>
      </w:r>
      <w:r>
        <w:rPr>
          <w:color w:val="000000"/>
          <w:szCs w:val="20"/>
          <w:shd w:val="clear" w:color="auto" w:fill="FFFFFF"/>
        </w:rPr>
        <w:br/>
        <w:t xml:space="preserve">są częściowo utwardzone kostką brukową oraz płytami betonowymi, a częściowo zadrzewione </w:t>
      </w:r>
      <w:r>
        <w:rPr>
          <w:color w:val="000000"/>
          <w:szCs w:val="20"/>
          <w:shd w:val="clear" w:color="auto" w:fill="FFFFFF"/>
        </w:rPr>
        <w:br/>
        <w:t>i porośnięte trawą.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Części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dział</w:t>
      </w:r>
      <w:r>
        <w:rPr>
          <w:color w:val="000000"/>
          <w:szCs w:val="20"/>
          <w:shd w:val="clear" w:color="auto" w:fill="FFFFFF"/>
        </w:rPr>
        <w:t>ek nr 132/94, 132/97, 132/102, 132/103 i 132/105 w obrębie W-31</w:t>
      </w:r>
      <w:r>
        <w:rPr>
          <w:color w:val="000000"/>
          <w:szCs w:val="20"/>
          <w:shd w:val="clear" w:color="auto" w:fill="FFFFFF"/>
          <w:vertAlign w:val="superscript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objęte </w:t>
      </w:r>
      <w:r>
        <w:rPr>
          <w:color w:val="000000"/>
          <w:szCs w:val="20"/>
          <w:shd w:val="clear" w:color="auto" w:fill="FFFFFF"/>
        </w:rPr>
        <w:br/>
        <w:t xml:space="preserve">są umową dzierżawy zawartą na okres od dnia 1 czerwca 2020 r. do dnia 31 maja 2023 r., </w:t>
      </w:r>
      <w:r>
        <w:rPr>
          <w:color w:val="000000"/>
          <w:szCs w:val="20"/>
          <w:shd w:val="clear" w:color="auto" w:fill="FFFFFF"/>
        </w:rPr>
        <w:br/>
        <w:t>z przeznaczeniem jako teren pod prowadzenie działalności produkcyjnej, usługowej i magazynowej, a także część drogi dojazdowej.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ział</w:t>
      </w:r>
      <w:r>
        <w:rPr>
          <w:color w:val="000000"/>
          <w:szCs w:val="20"/>
          <w:shd w:val="clear" w:color="auto" w:fill="FFFFFF"/>
        </w:rPr>
        <w:t>ki</w:t>
      </w:r>
      <w:proofErr w:type="spellEnd"/>
      <w:r>
        <w:rPr>
          <w:color w:val="000000"/>
          <w:szCs w:val="20"/>
          <w:shd w:val="clear" w:color="auto" w:fill="FFFFFF"/>
        </w:rPr>
        <w:t xml:space="preserve"> nr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132/1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132/82,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132/84,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132/92, 132/90, 132/87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132/85, 132/83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132/5</w:t>
      </w:r>
      <w:r>
        <w:rPr>
          <w:color w:val="000000"/>
          <w:szCs w:val="20"/>
          <w:shd w:val="clear" w:color="auto" w:fill="FFFFFF"/>
        </w:rPr>
        <w:t xml:space="preserve"> w obrębie </w:t>
      </w:r>
      <w:r>
        <w:rPr>
          <w:color w:val="000000"/>
          <w:szCs w:val="20"/>
          <w:shd w:val="clear" w:color="auto" w:fill="FFFFFF"/>
        </w:rPr>
        <w:br/>
        <w:t xml:space="preserve">W-31 oraz części działek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132/86,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132/89,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132/91,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132/94, 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132/97, 132/95</w:t>
      </w:r>
      <w:r>
        <w:rPr>
          <w:color w:val="000000"/>
          <w:szCs w:val="20"/>
          <w:shd w:val="clear" w:color="auto" w:fill="FFFFFF"/>
        </w:rPr>
        <w:t xml:space="preserve"> w obrębie W-31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  <w:t xml:space="preserve">objęte są umową dzierżawy zawartą na okres od dnia 1 października 2021 r. do dnia 30 września 2023 r., z przeznaczeniem jako teren pod działalność: produkcja wyrobów budowlanych </w:t>
      </w:r>
      <w:r>
        <w:rPr>
          <w:color w:val="000000"/>
          <w:szCs w:val="20"/>
          <w:shd w:val="clear" w:color="auto" w:fill="FFFFFF"/>
        </w:rPr>
        <w:br/>
        <w:t>i drogowych oraz usługi magazynowe, a także część drogi dojazdowej.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Części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dział</w:t>
      </w:r>
      <w:r>
        <w:rPr>
          <w:color w:val="000000"/>
          <w:szCs w:val="20"/>
          <w:shd w:val="clear" w:color="auto" w:fill="FFFFFF"/>
        </w:rPr>
        <w:t>ek nr 132/94, 132/97, 132/102 i 132/103 w obrębie W-31 objęte są umową dzierżawy zawartą na okres od dnia 1 maja 2022 r. do dnia 30 kwietnia 2023 r., z przeznaczeniem jako teren pod prowadzenie działalności gospodarczej (konfekcjonowanie cementu) oraz jako część drogi dojazdowej.</w:t>
      </w:r>
    </w:p>
    <w:p w:rsidR="007A4254" w:rsidRDefault="00307C88">
      <w:pPr>
        <w:ind w:firstLine="566"/>
        <w:jc w:val="both"/>
        <w:rPr>
          <w:color w:val="FF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Dla ww. nieruchomości nie ma obowiązującego planu zagospodarowania przestrzennego. Zgodnie z art. 4 ust. 2 pkt 2 ustawy z dnia 27 marca 2003 r. o planowaniu i zagospodarowaniu przestrzennym (Dz. U. z 2022 r. poz. 503, 1846, 2185 i 2747), w przypadku braku miejscowego planu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zagospodarowania przestrzennego, określenie sposobów zagospodarowania i warunków zabudowy następuje w drodze decyzji o warunkach zabudowy i zagospodarowania terenu.</w:t>
      </w:r>
    </w:p>
    <w:p w:rsidR="007A4254" w:rsidRDefault="00307C88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Studium uwarunkowań i kierunków zagospodarowania przestrzennego miasta Łodzi, przyjęte uchwałą Nr LXIX/1753/18 Rady Miejskiej w Łodzi z dnia </w:t>
      </w:r>
      <w:r>
        <w:rPr>
          <w:szCs w:val="20"/>
          <w:lang w:val="x-none" w:eastAsia="en-US" w:bidi="ar-SA"/>
        </w:rPr>
        <w:t>28 marca 2018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zmienioną uchwałami Rady Miejskiej w Łodzi </w:t>
      </w:r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 VI/215/19 z dnia 6 marca 2019 r. i </w:t>
      </w:r>
      <w:r>
        <w:rPr>
          <w:color w:val="000000"/>
          <w:szCs w:val="20"/>
          <w:shd w:val="clear" w:color="auto" w:fill="FFFFFF"/>
        </w:rPr>
        <w:t xml:space="preserve">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LII/1605/21 z dnia 22 grudnia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2021 r., obejmuje powyższe nieruchomości granicami obszaru oznaczonego symbolem AG2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aktywności gospodarczej o znacznej uciążliwości</w:t>
      </w:r>
      <w:r>
        <w:rPr>
          <w:color w:val="000000"/>
          <w:szCs w:val="20"/>
          <w:shd w:val="clear" w:color="auto" w:fill="FFFFFF"/>
        </w:rPr>
        <w:t>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Obsługa komunikacyjna przedmiotowych nieruchomości z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Dróg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Transportu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powinna odbywać się </w:t>
      </w:r>
      <w:r>
        <w:rPr>
          <w:color w:val="000000"/>
          <w:szCs w:val="20"/>
          <w:shd w:val="clear" w:color="auto" w:fill="FFFFFF"/>
        </w:rPr>
        <w:t>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przez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zjazdy z ulicy Dostawczej.</w:t>
      </w:r>
    </w:p>
    <w:p w:rsidR="007A4254" w:rsidRDefault="00307C88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Rad</w:t>
      </w:r>
      <w:r>
        <w:rPr>
          <w:color w:val="000000"/>
          <w:szCs w:val="20"/>
          <w:shd w:val="clear" w:color="auto" w:fill="FFFFFF"/>
          <w:lang w:val="x-none" w:eastAsia="en-US" w:bidi="ar-SA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Osiedla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Zarzew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wymaganym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wypowiedziała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dotyczącej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zbycia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przetargu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przedmiotowych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7A4254" w:rsidRDefault="00307C88">
      <w:pPr>
        <w:ind w:firstLine="54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Wartość nieruchomości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rzeczoznawcę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majątkowego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>19 340 000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Miasto Łódź nie ma planów inwestycyjnych dotyczących tych nieruchomości.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postanowień uchwały Nr XXVII/547/08 Rady Miejskiej w Łodzi z dnia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27 lutego 2008 r. w sprawie zasad nabywania i zbywania nieruchomości, ich wydzierżawiania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lub wynajmowania oraz oddawania w użytkowanie (Dz. Urz. Woj. Łódzkiego z 2017 r. poz. 5141), zmienionej uchwałami Rady Miejskiej w Łodzi: Nr </w:t>
      </w:r>
      <w:r>
        <w:rPr>
          <w:szCs w:val="20"/>
          <w:lang w:val="x-none" w:eastAsia="en-US" w:bidi="ar-SA"/>
        </w:rPr>
        <w:t xml:space="preserve">LXXII/1895/18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14 czerwca 2018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(Dz. Urz. Woj. Łódzkiego poz. 3378), Nr IV/132/19 z dnia 16 stycznia 2019 r. (Dz. Urz. Woj. Łódzkiego poz. 674), Nr XXXVI/1146/21 z dnia 20 stycznia 2021 r. (Dz. Urz. Woj. Łódzkiego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poz. 629), Nr XLI/1275/21 z dnia 14 kwietnia 2021 r. (Dz. Urz. Woj. Łódzkiego poz. 2000)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i Nr XLIV/1382/21 z dnia 23 czerwca 2021 r. (Dz. Urz. Woj. Łódzkiego poz. 3179), zbywanie nieruchomości o wartości powyżej 1 000 000 zł, dla której nie obowiązuje miejscowy plan zagospodarowania przestrzennego, może odbywać się wyłącznie za zgodą Rady Miejskiej w Łodzi.</w:t>
      </w:r>
    </w:p>
    <w:p w:rsidR="007A4254" w:rsidRDefault="00307C88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przedstawiam projekt uchwały Rady Miejskiej w Łodzi w sprawie wyrażenia zgody na sprzedaż w drodze przetargu opisanych na wstępie nieruchomości.</w:t>
      </w: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307C8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Nieruchomości przeznaczone do zbycia w drodze przetargu</w:t>
      </w:r>
    </w:p>
    <w:p w:rsidR="007A4254" w:rsidRDefault="007A4254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7A4254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A4254" w:rsidRDefault="00307C8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6042025" cy="31502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4254" w:rsidSect="001906B3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8E" w:rsidRDefault="0091358E">
      <w:r>
        <w:separator/>
      </w:r>
    </w:p>
  </w:endnote>
  <w:endnote w:type="continuationSeparator" w:id="0">
    <w:p w:rsidR="0091358E" w:rsidRDefault="0091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7A425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4254" w:rsidRDefault="00307C8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4254" w:rsidRDefault="00307C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30E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A4254" w:rsidRDefault="007A425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A425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4254" w:rsidRDefault="00307C8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4254" w:rsidRDefault="00307C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30E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A4254" w:rsidRDefault="007A42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8E" w:rsidRDefault="0091358E">
      <w:r>
        <w:separator/>
      </w:r>
    </w:p>
  </w:footnote>
  <w:footnote w:type="continuationSeparator" w:id="0">
    <w:p w:rsidR="0091358E" w:rsidRDefault="0091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06B3"/>
    <w:rsid w:val="00307C88"/>
    <w:rsid w:val="004030E6"/>
    <w:rsid w:val="007A4254"/>
    <w:rsid w:val="0091358E"/>
    <w:rsid w:val="00A77B3E"/>
    <w:rsid w:val="00CA2A55"/>
    <w:rsid w:val="00E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19C905-916C-4E03-A516-58B9C376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Pr>
      <w:color w:val="auto"/>
      <w:sz w:val="24"/>
      <w:shd w:val="clear" w:color="auto" w:fill="auto"/>
    </w:rPr>
  </w:style>
  <w:style w:type="character" w:customStyle="1" w:styleId="ng-binding">
    <w:name w:val="ng-binding"/>
    <w:basedOn w:val="Domylnaczcionkaakapitu"/>
    <w:rPr>
      <w:color w:val="auto"/>
      <w:shd w:val="clear" w:color="auto" w:fill="auto"/>
    </w:rPr>
  </w:style>
  <w:style w:type="paragraph" w:styleId="Nagwek">
    <w:name w:val="header"/>
    <w:basedOn w:val="Normalny"/>
    <w:link w:val="NagwekZnak"/>
    <w:unhideWhenUsed/>
    <w:rsid w:val="00190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6B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90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0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w^drodze przetargu nieruchomości położonych
w Łodzi przy ul. Dostawczej 6 i Dostawczej bez numeru.</dc:subject>
  <dc:creator>dkubicka</dc:creator>
  <cp:lastModifiedBy>Violetta Gandziarska</cp:lastModifiedBy>
  <cp:revision>2</cp:revision>
  <dcterms:created xsi:type="dcterms:W3CDTF">2023-03-06T12:51:00Z</dcterms:created>
  <dcterms:modified xsi:type="dcterms:W3CDTF">2023-03-06T12:51:00Z</dcterms:modified>
  <cp:category>Akt prawny</cp:category>
</cp:coreProperties>
</file>