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704CBD" w14:paraId="5D1B8994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65177A5" w14:textId="7C62EE0C" w:rsidR="00A77B3E" w:rsidRDefault="00165306">
            <w:pPr>
              <w:ind w:left="6803"/>
              <w:jc w:val="left"/>
            </w:pPr>
            <w:r>
              <w:t>Druk Nr 61/2023</w:t>
            </w:r>
          </w:p>
          <w:p w14:paraId="5E67D632" w14:textId="77777777" w:rsidR="00A77B3E" w:rsidRDefault="00A77B3E">
            <w:pPr>
              <w:ind w:left="6803"/>
              <w:jc w:val="left"/>
            </w:pPr>
          </w:p>
          <w:p w14:paraId="50913386" w14:textId="5EB4EF81" w:rsidR="00A77B3E" w:rsidRDefault="00165306">
            <w:pPr>
              <w:ind w:left="6803"/>
              <w:jc w:val="left"/>
            </w:pPr>
            <w:r>
              <w:t>Projekt z dnia 10 marca 2023 r.</w:t>
            </w:r>
          </w:p>
          <w:p w14:paraId="6D728314" w14:textId="77777777" w:rsidR="00A77B3E" w:rsidRDefault="00A77B3E">
            <w:pPr>
              <w:ind w:left="6803"/>
              <w:jc w:val="left"/>
            </w:pPr>
          </w:p>
        </w:tc>
      </w:tr>
    </w:tbl>
    <w:p w14:paraId="0479E197" w14:textId="77777777" w:rsidR="00A77B3E" w:rsidRDefault="00A77B3E"/>
    <w:p w14:paraId="52D003C5" w14:textId="77777777" w:rsidR="00A77B3E" w:rsidRDefault="00165306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112D72F6" w14:textId="77777777" w:rsidR="00A77B3E" w:rsidRDefault="00165306">
      <w:pPr>
        <w:spacing w:after="280"/>
        <w:jc w:val="center"/>
        <w:rPr>
          <w:b/>
          <w:caps/>
        </w:rPr>
      </w:pPr>
      <w:r>
        <w:rPr>
          <w:b/>
        </w:rPr>
        <w:t>z dnia                           r.</w:t>
      </w:r>
    </w:p>
    <w:p w14:paraId="17A00B68" w14:textId="77777777" w:rsidR="00A77B3E" w:rsidRDefault="00165306">
      <w:pPr>
        <w:keepNext/>
        <w:spacing w:after="280"/>
        <w:jc w:val="center"/>
      </w:pPr>
      <w:r>
        <w:rPr>
          <w:b/>
        </w:rPr>
        <w:t xml:space="preserve">w sprawie uchwalenia miejscowego planu zagospodarowania przestrzennego dla części obszaru miasta Łodzi położonej w rejonie ulic </w:t>
      </w:r>
      <w:r>
        <w:rPr>
          <w:b/>
        </w:rPr>
        <w:t>Grabińskiej i Jana Kasprowicza.</w:t>
      </w:r>
    </w:p>
    <w:p w14:paraId="71E2458F" w14:textId="77777777" w:rsidR="00A77B3E" w:rsidRDefault="00165306">
      <w:pPr>
        <w:keepLines/>
        <w:spacing w:before="120" w:after="120"/>
        <w:ind w:firstLine="567"/>
      </w:pPr>
      <w:r>
        <w:t>Na podstawie art. 18 ust. 2 pkt 5 i art. 40 ust. 1 ustawy z dnia 8 marca 1990 r. o samorządzie gminnym (Dz. U. z 2023 poz. 40) oraz art. 14 ust. 8 i art. 20 ust. 1 ustawy z dnia 27 marca 2003 r. o planowaniu i zagospodarowan</w:t>
      </w:r>
      <w:r>
        <w:t>iu przestrzennym (Dz. U. z 2022 r. poz. 503, 1846, 2185 i 2747), Rada Miejska w Łodzi</w:t>
      </w:r>
    </w:p>
    <w:p w14:paraId="1093624F" w14:textId="77777777" w:rsidR="00A77B3E" w:rsidRDefault="00165306">
      <w:pPr>
        <w:spacing w:before="120" w:after="120"/>
        <w:jc w:val="center"/>
        <w:rPr>
          <w:b/>
        </w:rPr>
      </w:pPr>
      <w:r>
        <w:rPr>
          <w:b/>
        </w:rPr>
        <w:t>uchwala, co następuje:</w:t>
      </w:r>
    </w:p>
    <w:p w14:paraId="012F1EC9" w14:textId="77777777" w:rsidR="00A77B3E" w:rsidRDefault="00165306">
      <w:pPr>
        <w:keepNext/>
        <w:spacing w:before="24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07BCAD56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1. 1. </w:t>
      </w:r>
      <w:r>
        <w:t xml:space="preserve">Przedmiotem uchwały są ustalenia miejscowego planu zagospodarowania przestrzennego dla części obszaru </w:t>
      </w:r>
      <w:r>
        <w:t>miasta Łodzi położonej w rejonie ulic Grabińskiej i Jana Kasprowicza, wraz z jej integralnymi częściami w postaci:</w:t>
      </w:r>
    </w:p>
    <w:p w14:paraId="6C526514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na mapie sytuacyjno-wysokościowej w skali 1:1000, stanowiącego załącznik Nr 1 do uchwały;</w:t>
      </w:r>
    </w:p>
    <w:p w14:paraId="2FFC9562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</w:t>
      </w:r>
      <w:r>
        <w:rPr>
          <w:color w:val="000000"/>
          <w:u w:color="000000"/>
        </w:rPr>
        <w:t>osobie rozpatrzenia uwag do projektu planu wniesionych w związku z wyłożeniem do publicznego wglądu, stanowiącego załącznik Nr 2 do uchwały;</w:t>
      </w:r>
    </w:p>
    <w:p w14:paraId="07FB9C0F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rozstrzygnięcia o sposobie realizacji, zapisanych w planie, inwestycji z zakresu infrastruktury </w:t>
      </w:r>
      <w:r>
        <w:rPr>
          <w:color w:val="000000"/>
          <w:u w:color="000000"/>
        </w:rPr>
        <w:t>technicznej, które należą do zadań własnych gminy oraz zasadach ich finansowania, zgodnie z przepisami o finansach publicznych, stanowiącego załącznik Nr 3 do uchwały.</w:t>
      </w:r>
    </w:p>
    <w:p w14:paraId="5A9E9B8D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1 pk</w:t>
      </w:r>
      <w:r>
        <w:rPr>
          <w:color w:val="000000"/>
          <w:u w:color="000000"/>
        </w:rPr>
        <w:t>t 1.</w:t>
      </w:r>
    </w:p>
    <w:p w14:paraId="11C26198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2. </w:t>
      </w:r>
      <w:r>
        <w:rPr>
          <w:color w:val="000000"/>
          <w:u w:color="000000"/>
        </w:rPr>
        <w:t>Stwierdza się, że plan nie narusza ustaleń „Studium uwarunkowań i kierunków zagospodarowania przestrzennego miasta Łodzi”, uchwalonego uchwałą Nr LXIX/1753/18 Rady Miejskiej w Łodzi z dnia 28 marca 2018 r., zmienioną uchwałami Rady Miejskiej w Ło</w:t>
      </w:r>
      <w:r>
        <w:rPr>
          <w:color w:val="000000"/>
          <w:u w:color="000000"/>
        </w:rPr>
        <w:t>dzi                           Nr VI/215/19 z dnia 6 marca 2019 r. i Nr LII/1605/21 z dnia 22 grudnia 2021 r.</w:t>
      </w:r>
    </w:p>
    <w:p w14:paraId="6926B0E0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3. 1. </w:t>
      </w:r>
      <w:r>
        <w:rPr>
          <w:color w:val="000000"/>
          <w:u w:color="000000"/>
        </w:rPr>
        <w:t>Ze względu na brak podstaw wynikających ze stanu faktycznego, w planie nie określa się:</w:t>
      </w:r>
    </w:p>
    <w:p w14:paraId="0C5C651C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dziedzictwa kulturowego i zabytków</w:t>
      </w:r>
      <w:r>
        <w:rPr>
          <w:color w:val="000000"/>
          <w:u w:color="000000"/>
        </w:rPr>
        <w:t>, w tym krajobrazów kulturowych, oraz dóbr kultury współczesnej;</w:t>
      </w:r>
    </w:p>
    <w:p w14:paraId="4F9F8D95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granic i sposobów zagospodarowania terenów górniczych, a także obszarów szczególnego zagrożenia powodzią, obszarów osuwania się mas ziemnych, krajobrazów priorytetowych określonych w audyc</w:t>
      </w:r>
      <w:r>
        <w:rPr>
          <w:color w:val="000000"/>
          <w:u w:color="000000"/>
        </w:rPr>
        <w:t>ie krajobrazowym oraz w planach zagospodarowania przestrzennego województwa;</w:t>
      </w:r>
    </w:p>
    <w:p w14:paraId="37075FA0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sposobu i terminu tymczasowego zagospodarowania, urządzania i użytkowania terenów.</w:t>
      </w:r>
    </w:p>
    <w:p w14:paraId="30EC5671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Rysunek planu zawiera ustalenia obowiązujące oraz oznaczenia informacyjne, zgodnie z zamie</w:t>
      </w:r>
      <w:r>
        <w:rPr>
          <w:color w:val="000000"/>
          <w:u w:color="000000"/>
        </w:rPr>
        <w:t>szczoną na nim legendą.</w:t>
      </w:r>
    </w:p>
    <w:p w14:paraId="75BCF44E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zagospodarowania oraz sposoby użytkowania poszczególnych terenów wyznaczonych liniami rozgraniczającymi określa się łącznie na podstawie:</w:t>
      </w:r>
    </w:p>
    <w:p w14:paraId="6CF54A92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ustaleń dla całego obszaru objętego planem, zawartych w rozdziale 2;</w:t>
      </w:r>
    </w:p>
    <w:p w14:paraId="193AB528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ustaleń s</w:t>
      </w:r>
      <w:r>
        <w:rPr>
          <w:color w:val="000000"/>
          <w:u w:color="000000"/>
        </w:rPr>
        <w:t>zczegółowych dla terenów, zawartych w rozdziale 3;</w:t>
      </w:r>
    </w:p>
    <w:p w14:paraId="7C448B95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ustaleń obowiązujących, zawartych na rysunku planu.</w:t>
      </w:r>
    </w:p>
    <w:p w14:paraId="6CABBAFA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Położenie linii rozgraniczających należy ustalić poprzez odczyt rysunku planu w oparciu o jego skalę.</w:t>
      </w:r>
    </w:p>
    <w:p w14:paraId="1330FFBC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4. 1. </w:t>
      </w:r>
      <w:r>
        <w:rPr>
          <w:color w:val="000000"/>
          <w:u w:color="000000"/>
        </w:rPr>
        <w:t>Określenia stosowane w uchwale należy</w:t>
      </w:r>
      <w:r>
        <w:rPr>
          <w:color w:val="000000"/>
          <w:u w:color="000000"/>
        </w:rPr>
        <w:t xml:space="preserve"> rozumieć jako:</w:t>
      </w:r>
    </w:p>
    <w:p w14:paraId="59CF8CF6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- dach o spadkach połaci do 15º;</w:t>
      </w:r>
    </w:p>
    <w:p w14:paraId="0A5FA604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elewacja frontowa - elewację budynku znajdującą się od strony przestrzeni publicznej;</w:t>
      </w:r>
    </w:p>
    <w:p w14:paraId="1270A978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front działki - odcinek granicy działki budowlanej przylegający do drogi publicznej lub innego ciągu</w:t>
      </w:r>
      <w:r>
        <w:rPr>
          <w:color w:val="000000"/>
          <w:u w:color="000000"/>
        </w:rPr>
        <w:t xml:space="preserve"> komunikacyjnego, z którego odbywa się główny wjazd lub wejście na tę działkę;</w:t>
      </w:r>
    </w:p>
    <w:p w14:paraId="0722150C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infrastruktura techniczna - przewody i urządzenia oraz obiekty budowlane: wodociągowe, kanalizacyjne, ciepłownicze, elektryczne, gazowe i telekomunikacyjne;</w:t>
      </w:r>
    </w:p>
    <w:p w14:paraId="418E2688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linia rozgrani</w:t>
      </w:r>
      <w:r>
        <w:rPr>
          <w:color w:val="000000"/>
          <w:u w:color="000000"/>
        </w:rPr>
        <w:t>czająca - wyznaczoną na rysunku planu linię ciągłą, stanowiącą granicę między terenami o różnym przeznaczeniu lub różnych zasadach zagospodarowania;</w:t>
      </w:r>
    </w:p>
    <w:p w14:paraId="0568F997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linia zabudowy nieprzekraczalna - wyznaczoną na rysunku planu linię określającą część działki budowlanej</w:t>
      </w:r>
      <w:r>
        <w:rPr>
          <w:color w:val="000000"/>
          <w:u w:color="000000"/>
        </w:rPr>
        <w:t>, na której możliwe jest lokalizowanie budynków, z zakazem jej przekraczania, który to zakaz nie dotyczy:</w:t>
      </w:r>
    </w:p>
    <w:p w14:paraId="273BC297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elementów wejścia do budynku, takich jak: schody, pochylnia, podest, rampa, zadaszenie,</w:t>
      </w:r>
    </w:p>
    <w:p w14:paraId="3AA4DF31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elementów nadwieszeń takich jak: łącznik, balkon, </w:t>
      </w:r>
      <w:r>
        <w:rPr>
          <w:color w:val="000000"/>
          <w:u w:color="000000"/>
        </w:rPr>
        <w:t>wykusz, gzyms, okap dachu,</w:t>
      </w:r>
    </w:p>
    <w:p w14:paraId="62132773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ogniomuru, podpory konstrukcyjnej,</w:t>
      </w:r>
    </w:p>
    <w:p w14:paraId="13DD6004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tarasów, werand i ogrodów zimowych,</w:t>
      </w:r>
    </w:p>
    <w:p w14:paraId="2EB928E2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podziemnych części budynku i urządzeń budowlanych związanych z budynkiem,</w:t>
      </w:r>
    </w:p>
    <w:p w14:paraId="10623F1F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zewnętrznych warstw izolacji termicznej, okładzin oraz zewnętrznych elem</w:t>
      </w:r>
      <w:r>
        <w:rPr>
          <w:color w:val="000000"/>
          <w:u w:color="000000"/>
        </w:rPr>
        <w:t>entów komunikacji pionowej, takich jak klatki schodowe i szyby windowe - wyłącznie w przypadku zabudowy istniejącej,</w:t>
      </w:r>
    </w:p>
    <w:p w14:paraId="241C33A6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obiektów infrastruktury technicznej;</w:t>
      </w:r>
    </w:p>
    <w:p w14:paraId="68F6214C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linia zabudowy obowiązująca - rodzaj linii zabudowy nieprzekraczalnej, wzdłuż której obowiązuje </w:t>
      </w:r>
      <w:r>
        <w:rPr>
          <w:color w:val="000000"/>
          <w:u w:color="000000"/>
        </w:rPr>
        <w:t>nakaz sytuowania minimum 70% powierzchni ściany frontowej budynku innego niż obiekt pomocniczy, gospodarczy lub techniczny;</w:t>
      </w:r>
    </w:p>
    <w:p w14:paraId="45685114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miejsce zmiany linii zabudowy - wskazany na rysunku planu punkt, w którym następuje zmiana rodzaju linii zabudowy;</w:t>
      </w:r>
    </w:p>
    <w:p w14:paraId="4DFB3864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podniesienie standardów jakości użytkowania - działania budowlane przy zabudowie istniejącej obejmujące działania, takie jak dobudowa: ciągów komunikacji pionowej, łączników między budynkami, tarasów, werand, ogrodów zimowych;</w:t>
      </w:r>
    </w:p>
    <w:p w14:paraId="39AF4326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przepisy odrębne - przepi</w:t>
      </w:r>
      <w:r>
        <w:rPr>
          <w:color w:val="000000"/>
          <w:u w:color="000000"/>
        </w:rPr>
        <w:t>sy prawa powszechnie obowiązującego, w szczególności ustawy i rozporządzenia, a także akty prawa miejscowego obowiązujące na obszarze miasta Łodzi;</w:t>
      </w:r>
    </w:p>
    <w:p w14:paraId="13AFD516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lastRenderedPageBreak/>
        <w:t>11) </w:t>
      </w:r>
      <w:r>
        <w:rPr>
          <w:color w:val="000000"/>
          <w:u w:color="000000"/>
        </w:rPr>
        <w:t>przeznaczenie terenu - obiekty budowlane i urządzenia budowlane oraz zagospodarowanie tworzące całość fu</w:t>
      </w:r>
      <w:r>
        <w:rPr>
          <w:color w:val="000000"/>
          <w:u w:color="000000"/>
        </w:rPr>
        <w:t>nkcjonalną, określone ustaleniami planu na danym terenie odpowiednio:</w:t>
      </w:r>
    </w:p>
    <w:p w14:paraId="5B8E5D05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- przeznaczenie, które przeważa na danym terenie,</w:t>
      </w:r>
    </w:p>
    <w:p w14:paraId="7F937336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- przeznaczenie, które uzupełnia przeznaczenie podstawowe;</w:t>
      </w:r>
    </w:p>
    <w:p w14:paraId="56B7DC1F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system NCS - s</w:t>
      </w:r>
      <w:r>
        <w:rPr>
          <w:color w:val="000000"/>
          <w:u w:color="000000"/>
        </w:rPr>
        <w:t>ystem opisu barw publikowany w formie wzorników kolorów; oznaczenie koloru składa się z: napisu „NCS S”, czterech cyfr, z których pierwsze dwie oznaczają procentową zawartość czerni, kolejne dwie - poziom chromatyczności oraz, po myślniku, symbolu koloru o</w:t>
      </w:r>
      <w:r>
        <w:rPr>
          <w:color w:val="000000"/>
          <w:u w:color="000000"/>
        </w:rPr>
        <w:t>znaczającego procentową zawartość kolorów (żółtego - Y, czerwonego - R, niebieskiego - B, zielonego - G) lub kolor neutralny - N;</w:t>
      </w:r>
    </w:p>
    <w:p w14:paraId="668474B1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system RAL - system opisu barw publikowany w formie wzorników kolorów; oznaczenie koloru składa się z napisu „RAL” oraz cz</w:t>
      </w:r>
      <w:r>
        <w:rPr>
          <w:color w:val="000000"/>
          <w:u w:color="000000"/>
        </w:rPr>
        <w:t>terech cyfr, z których pierwsze dwie oznaczają przynależność koloru do umownie określonych grup odcieni (RAL10xx - grupa odcieni żółtych, RAL90xx - grupa odcieni białych i czarnych);</w:t>
      </w:r>
    </w:p>
    <w:p w14:paraId="027D8591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teren - wydzielone liniami rozgraniczającymi nieruchomości lub ich cz</w:t>
      </w:r>
      <w:r>
        <w:rPr>
          <w:color w:val="000000"/>
          <w:u w:color="000000"/>
        </w:rPr>
        <w:t>ęści, oznaczone symbolami liczbowymi i literowymi, z których liczby oznaczają numer porządkowy terenu, a litery podstawowe przeznaczenie terenu;</w:t>
      </w:r>
    </w:p>
    <w:p w14:paraId="2479C84B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uchwała - niniejszą uchwałę Rady Miejskiej w Łodzi;</w:t>
      </w:r>
    </w:p>
    <w:p w14:paraId="6F05BD10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 xml:space="preserve">usługi uciążliwe - działalność usługową powodującą </w:t>
      </w:r>
      <w:r>
        <w:rPr>
          <w:color w:val="000000"/>
          <w:u w:color="000000"/>
        </w:rPr>
        <w:t>przekroczenie standardów jakości środowiska obowiązujących dla przeznaczenia podstawowego terenu;</w:t>
      </w:r>
    </w:p>
    <w:p w14:paraId="4A32FB29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>ustawa - ustawę z dnia 27 marca 2003 r. o planowaniu i zagospodarowaniu przestrzennym, o ile z treści przepisu nie wynika inaczej;</w:t>
      </w:r>
    </w:p>
    <w:p w14:paraId="20DA208C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wskaźnik powierzchn</w:t>
      </w:r>
      <w:r>
        <w:rPr>
          <w:color w:val="000000"/>
          <w:u w:color="000000"/>
        </w:rPr>
        <w:t>i biologicznie czynnej - udział procentowy terenu biologicznie czynnego w powierzchni działki budowlanej;</w:t>
      </w:r>
    </w:p>
    <w:p w14:paraId="6B1F6DBA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19) </w:t>
      </w:r>
      <w:r>
        <w:rPr>
          <w:color w:val="000000"/>
          <w:u w:color="000000"/>
        </w:rPr>
        <w:t>wskaźnik powierzchni zabudowy - udział procentowy powierzchni wyznaczonej przez rzuty pionowe części nadziemnych wszystkich budynków w ich obrysie</w:t>
      </w:r>
      <w:r>
        <w:rPr>
          <w:color w:val="000000"/>
          <w:u w:color="000000"/>
        </w:rPr>
        <w:t xml:space="preserve"> zewnętrznym w powierzchni działki budowlanej;</w:t>
      </w:r>
    </w:p>
    <w:p w14:paraId="2FC174BA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20) </w:t>
      </w:r>
      <w:r>
        <w:rPr>
          <w:color w:val="000000"/>
          <w:u w:color="000000"/>
        </w:rPr>
        <w:t>wysokość zabudowy - określoną w metrach wysokość obiektu budowlanego mierzoną od najniższego poziomu gruntu w miejscu jego lokalizacji do najwyższego punktu jego konstrukcji, a dla budynków - do najwyższeg</w:t>
      </w:r>
      <w:r>
        <w:rPr>
          <w:color w:val="000000"/>
          <w:u w:color="000000"/>
        </w:rPr>
        <w:t>o punktu dachu;</w:t>
      </w:r>
    </w:p>
    <w:p w14:paraId="2BA7DCA9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21) </w:t>
      </w:r>
      <w:r>
        <w:rPr>
          <w:color w:val="000000"/>
          <w:u w:color="000000"/>
        </w:rPr>
        <w:t>zabudowa frontowa - zabudowę o funkcji określonej przeznaczeniem terenu, lokalizowaną na działce budowlanej od strony przestrzeni publicznej, która nie obejmuje obiektów pomocniczych, gospodarczych i technicznych;</w:t>
      </w:r>
    </w:p>
    <w:p w14:paraId="61C9181C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22) </w:t>
      </w:r>
      <w:r>
        <w:rPr>
          <w:color w:val="000000"/>
          <w:u w:color="000000"/>
        </w:rPr>
        <w:t>zabudowa istniejąc</w:t>
      </w:r>
      <w:r>
        <w:rPr>
          <w:color w:val="000000"/>
          <w:u w:color="000000"/>
        </w:rPr>
        <w:t>a - budynki istniejące oraz budynki posiadające w dniu wejścia w życie planu prawo do realizacji na podstawie ostatecznej decyzji o pozwoleniu na budowę lub zgłoszenia, o którym mowa w przepisach odrębnych z zakresu prawa budowlanego.</w:t>
      </w:r>
    </w:p>
    <w:p w14:paraId="7AAEC668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niezdefiniowane w ust. 1, dotyczące zagadnień przewidzianych ustawą lub przepisami odrębnymi przywołanymi w treści niniejszej uchwały, należy rozumieć w sposób określony w ustawie lub w tych przepisach, a w przypadku braku defi</w:t>
      </w:r>
      <w:r>
        <w:rPr>
          <w:color w:val="000000"/>
          <w:u w:color="000000"/>
        </w:rPr>
        <w:t>nicji, w rozumieniu powszechnym.</w:t>
      </w:r>
    </w:p>
    <w:p w14:paraId="1DFE74A0" w14:textId="77777777" w:rsidR="00A77B3E" w:rsidRDefault="00165306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45CCE6E1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5. </w:t>
      </w:r>
      <w:r>
        <w:rPr>
          <w:color w:val="000000"/>
          <w:u w:color="000000"/>
        </w:rPr>
        <w:t>Ustala się następujące zasady ochrony i kształtowania ładu przestrzennego:</w:t>
      </w:r>
    </w:p>
    <w:p w14:paraId="60C22DE3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kształtowania standardów zagospodarowania i użytkowania terenów:</w:t>
      </w:r>
    </w:p>
    <w:p w14:paraId="146749BD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ochronę układu urbanistycznego osiedla Nowosolna poprzez kształtowanie układu komunikacyjnego i zabudowy,</w:t>
      </w:r>
    </w:p>
    <w:p w14:paraId="59849D31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ustalenie zasad zagospodarowania terenów w dostosowaniu do występujących uwarunkowań  w celu umożliwienia ich rozwoju funkcjonalno-przestrzennego,</w:t>
      </w:r>
    </w:p>
    <w:p w14:paraId="4F8F5038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zapewnienie pomiędzy terenami właściwych relacji przestrzennych i środowiskowych;</w:t>
      </w:r>
    </w:p>
    <w:p w14:paraId="48055201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przeznaczenia terenów zakaz lokalizacji:</w:t>
      </w:r>
    </w:p>
    <w:p w14:paraId="0F27CC27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usług handlu o powierzchni sprzedaży równej 1 000 m² i wyższej,</w:t>
      </w:r>
    </w:p>
    <w:p w14:paraId="04CFBB34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usług uciążliwych,</w:t>
      </w:r>
    </w:p>
    <w:p w14:paraId="304D74DC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usług w zakresie obsługi</w:t>
      </w:r>
      <w:r>
        <w:rPr>
          <w:color w:val="000000"/>
          <w:u w:color="000000"/>
        </w:rPr>
        <w:t xml:space="preserve"> komunikacji takich jak: warsztaty samochodowe i stacje obsługi samochodów powyżej 2 stanowisk dla samochodów, stacje paliw i myjnie samochodowe;</w:t>
      </w:r>
    </w:p>
    <w:p w14:paraId="2688F3E4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lokalizacji zabudowy:</w:t>
      </w:r>
    </w:p>
    <w:p w14:paraId="6F012EBE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obiektów pomocniczych, gospodarczych i technicznych w</w:t>
      </w:r>
      <w:r>
        <w:rPr>
          <w:color w:val="000000"/>
          <w:u w:color="000000"/>
        </w:rPr>
        <w:t> odległości mniejszej niż 10,0 m od linii zabudowy wyznaczonej od strony dróg publicznych,</w:t>
      </w:r>
    </w:p>
    <w:p w14:paraId="1B6B22B7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zabudowy istniejącej o funkcji zgodnej z przeznaczeniem terenu, a niespełniającej wymagań dotyczących linii zabudowy:</w:t>
      </w:r>
    </w:p>
    <w:p w14:paraId="781F8B56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części poza liniami z</w:t>
      </w:r>
      <w:r>
        <w:rPr>
          <w:color w:val="000000"/>
          <w:u w:color="000000"/>
        </w:rPr>
        <w:t xml:space="preserve">abudowy - dopuszczenie remontu, przebudowy i nadbudowy do parametrów określonych w planie, rozbudowy uwzględniającej wyznaczone na rysunku planu linie zabudowy oraz wykonania innych robót budowlanych polegających na doprowadzeniu do zgodności z przepisami </w:t>
      </w:r>
      <w:r>
        <w:rPr>
          <w:color w:val="000000"/>
          <w:u w:color="000000"/>
        </w:rPr>
        <w:t>odrębnymi z zakresu budownictwa lub podniesieniu standardów jakości użytkowania,</w:t>
      </w:r>
    </w:p>
    <w:p w14:paraId="6D315FAB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obrębie linii zabudowy - dopuszczenie remontu, przebudowy, nadbudowy i rozbudowy bez konieczności jej realizacji w linii zabudowy obowiązującej,</w:t>
      </w:r>
    </w:p>
    <w:p w14:paraId="1A302606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</w:t>
      </w:r>
      <w:r>
        <w:rPr>
          <w:color w:val="000000"/>
          <w:u w:color="000000"/>
        </w:rPr>
        <w:t>a się lokalizację tymczasowych obiektów budowlanych wyłącznie w granicach terenu oznaczonego symbolem 1US;</w:t>
      </w:r>
    </w:p>
    <w:p w14:paraId="442F743E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wskaźników i parametrów zabudowy:</w:t>
      </w:r>
    </w:p>
    <w:p w14:paraId="6B8B53F9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obiektów budowlanych innych niż budynki niewskazanych w ustaleniach szczegółowych tekstu planu</w:t>
      </w:r>
      <w:r>
        <w:rPr>
          <w:color w:val="000000"/>
          <w:u w:color="000000"/>
        </w:rPr>
        <w:t>, określa się maksymalną wysokość zabudowy - 40,0 m,</w:t>
      </w:r>
    </w:p>
    <w:p w14:paraId="5B217569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zabudowy istniejącej o funkcji zgodnej z przeznaczeniem terenu, a niespełniającej wymagań dotyczących wskaźników i parametrów zabudowy:</w:t>
      </w:r>
    </w:p>
    <w:p w14:paraId="2DA22406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nieosiągającej minimalnej intensywności - </w:t>
      </w:r>
      <w:r>
        <w:rPr>
          <w:color w:val="000000"/>
          <w:u w:color="000000"/>
        </w:rPr>
        <w:t>dopuszczenie remontu lub przebudowy oraz wykonania innych robót budowlanych polegających na doprowadzeniu do zgodności z przepisami odrębnymi z zakresu budownictwa lub podniesieniu standardów jakości użytkowania bez konieczności osiągnięcia parametrów okre</w:t>
      </w:r>
      <w:r>
        <w:rPr>
          <w:color w:val="000000"/>
          <w:u w:color="000000"/>
        </w:rPr>
        <w:t>ślonych w planie,</w:t>
      </w:r>
    </w:p>
    <w:p w14:paraId="404CBCB7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dopuszczenie zachowania kształtu dachu, niezgodnego z parametrami określonymi w ustaleniach szczegółowych dla terenów zawartych w rozdziale 3, w przypadku prowadzenia robót budowlanych polegających na rozbudowie zabudowy istniejącej;</w:t>
      </w:r>
    </w:p>
    <w:p w14:paraId="5AF09DB5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5)</w:t>
      </w:r>
      <w:r>
        <w:t> </w:t>
      </w:r>
      <w:r>
        <w:rPr>
          <w:color w:val="000000"/>
          <w:u w:color="000000"/>
        </w:rPr>
        <w:t>w zakresie kształtowania zabudowy:</w:t>
      </w:r>
    </w:p>
    <w:p w14:paraId="5BDF11CD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lokalizacji ścian bez okien lub drzwi od strony granicy z terenami przestrzeni publicznej w odległości mniejszej niż 10,0 m od linii zabudowy,</w:t>
      </w:r>
    </w:p>
    <w:p w14:paraId="17BAD8A4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zabudowy frontowej o dachach kalenicowych lokalizowanej zgodn</w:t>
      </w:r>
      <w:r>
        <w:rPr>
          <w:color w:val="000000"/>
          <w:u w:color="000000"/>
        </w:rPr>
        <w:t>ie z linią zabudowy obowiązującą - nakaz kształtowania kierunku głównej kalenicy dachu równolegle do tej linii;</w:t>
      </w:r>
    </w:p>
    <w:p w14:paraId="7615C605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kolorystyki oraz materiałów wykończeniowych elewacji i dachów dla budynków:</w:t>
      </w:r>
    </w:p>
    <w:p w14:paraId="3C5AA1BB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nakaz stosowania nie więcej niż trzech materiałów w</w:t>
      </w:r>
      <w:r>
        <w:rPr>
          <w:color w:val="000000"/>
          <w:u w:color="000000"/>
        </w:rPr>
        <w:t>ykończeniowych dla ścian spośród: betonu architektonicznego, ceramiki budowlanej, drewna, kamienia naturalnego, metalu, tynku, szkła, włókno-cementu oraz dla obiektów sportu i rekreacji materiałów syntetycznych, z wyłączeniem sidingu,</w:t>
      </w:r>
    </w:p>
    <w:p w14:paraId="7BFB5CC5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n</w:t>
      </w:r>
      <w:r>
        <w:rPr>
          <w:color w:val="000000"/>
          <w:u w:color="000000"/>
        </w:rPr>
        <w:t>ie więcej niż trzech kolorów dla ścian spośród:</w:t>
      </w:r>
    </w:p>
    <w:p w14:paraId="7522E999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naturalnej kolorystyki zastosowanych materiałów wykończeniowych,</w:t>
      </w:r>
    </w:p>
    <w:p w14:paraId="5768927C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powierzchni malowanych lub struktur barwionych - odpowiadających w systemie NCS barwom o oznaczeniu z zakresu podanego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1"/>
        <w:gridCol w:w="1860"/>
        <w:gridCol w:w="1995"/>
        <w:gridCol w:w="2295"/>
        <w:gridCol w:w="2881"/>
      </w:tblGrid>
      <w:tr w:rsidR="00704CBD" w14:paraId="22A8EC97" w14:textId="77777777"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1C87B48" w14:textId="77777777" w:rsidR="00A77B3E" w:rsidRDefault="00165306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System</w:t>
            </w:r>
            <w:r>
              <w:rPr>
                <w:sz w:val="20"/>
              </w:rPr>
              <w:t xml:space="preserve"> i edycja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32E69FF" w14:textId="77777777" w:rsidR="00A77B3E" w:rsidRDefault="00165306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Zawartość czerni</w:t>
            </w:r>
          </w:p>
          <w:p w14:paraId="06A54A9C" w14:textId="77777777" w:rsidR="00704CBD" w:rsidRDefault="00165306">
            <w:pPr>
              <w:jc w:val="center"/>
            </w:pPr>
            <w:r>
              <w:rPr>
                <w:sz w:val="20"/>
              </w:rPr>
              <w:t>(dwie pierwsze cyfry)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0E2BF687" w14:textId="77777777" w:rsidR="00A77B3E" w:rsidRDefault="00165306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Poziom chromatyczności</w:t>
            </w:r>
          </w:p>
          <w:p w14:paraId="479D40D4" w14:textId="77777777" w:rsidR="00704CBD" w:rsidRDefault="00165306">
            <w:pPr>
              <w:jc w:val="center"/>
            </w:pPr>
            <w:r>
              <w:rPr>
                <w:sz w:val="20"/>
              </w:rPr>
              <w:t>(dwie kolejne cyfry)</w:t>
            </w:r>
          </w:p>
        </w:tc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6CCF029" w14:textId="77777777" w:rsidR="00A77B3E" w:rsidRDefault="00165306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Symbol koloru</w:t>
            </w:r>
          </w:p>
          <w:p w14:paraId="2F264B5C" w14:textId="77777777" w:rsidR="00704CBD" w:rsidRDefault="00165306">
            <w:pPr>
              <w:jc w:val="center"/>
            </w:pPr>
            <w:r>
              <w:rPr>
                <w:sz w:val="20"/>
              </w:rPr>
              <w:t>(po myślniku)</w:t>
            </w:r>
          </w:p>
        </w:tc>
        <w:tc>
          <w:tcPr>
            <w:tcW w:w="2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B25C2A4" w14:textId="77777777" w:rsidR="00A77B3E" w:rsidRDefault="00165306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Gamy barw</w:t>
            </w:r>
          </w:p>
        </w:tc>
      </w:tr>
      <w:tr w:rsidR="00704CBD" w14:paraId="75875C59" w14:textId="77777777">
        <w:tc>
          <w:tcPr>
            <w:tcW w:w="1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5891C9F" w14:textId="77777777" w:rsidR="00A77B3E" w:rsidRDefault="00165306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NCS S</w:t>
            </w:r>
          </w:p>
        </w:tc>
        <w:tc>
          <w:tcPr>
            <w:tcW w:w="1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81BC958" w14:textId="77777777" w:rsidR="00A77B3E" w:rsidRDefault="00165306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maks. 60</w:t>
            </w:r>
          </w:p>
        </w:tc>
        <w:tc>
          <w:tcPr>
            <w:tcW w:w="1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D07F6AF" w14:textId="77777777" w:rsidR="00A77B3E" w:rsidRDefault="00165306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maks. 02</w:t>
            </w:r>
          </w:p>
        </w:tc>
        <w:tc>
          <w:tcPr>
            <w:tcW w:w="22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58F5683" w14:textId="77777777" w:rsidR="00A77B3E" w:rsidRDefault="00165306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Y, N, G</w:t>
            </w:r>
          </w:p>
        </w:tc>
        <w:tc>
          <w:tcPr>
            <w:tcW w:w="2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6F6CF9B" w14:textId="77777777" w:rsidR="00A77B3E" w:rsidRDefault="00165306">
            <w:pPr>
              <w:jc w:val="center"/>
              <w:rPr>
                <w:color w:val="000000"/>
                <w:u w:color="000000"/>
              </w:rPr>
            </w:pPr>
            <w:r>
              <w:rPr>
                <w:sz w:val="20"/>
              </w:rPr>
              <w:t>neutralne, biele, szarości, grafity</w:t>
            </w:r>
          </w:p>
        </w:tc>
      </w:tr>
    </w:tbl>
    <w:p w14:paraId="64EECA06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dla dachów innych niż płaskie - nakaz </w:t>
      </w:r>
      <w:r>
        <w:rPr>
          <w:color w:val="000000"/>
          <w:u w:color="000000"/>
        </w:rPr>
        <w:t>stosowania pokrycia wyłącznie w postaci:</w:t>
      </w:r>
    </w:p>
    <w:p w14:paraId="37C94696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blachy dachowej lub materiału bitumicznego w kolorze ceglastym, brązowym, szarym, grafitowym, czarnym lub naturalnym,</w:t>
      </w:r>
    </w:p>
    <w:p w14:paraId="3FA5AC61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dachówki w kolorze ceglastym, brązowym, szarym, grafitowym lub czarnym,</w:t>
      </w:r>
    </w:p>
    <w:p w14:paraId="51D2CE71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szkła,</w:t>
      </w:r>
    </w:p>
    <w:p w14:paraId="1F46B0A6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materiałów</w:t>
      </w:r>
      <w:r>
        <w:rPr>
          <w:color w:val="000000"/>
          <w:u w:color="000000"/>
        </w:rPr>
        <w:t xml:space="preserve"> syntetycznych dla obiektów sportu i rekreacji;</w:t>
      </w:r>
    </w:p>
    <w:p w14:paraId="75F3A3D9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lokalizowania urządzeń technicznych:</w:t>
      </w:r>
    </w:p>
    <w:p w14:paraId="1EE1A9FB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zakaz umieszczania na elewacjach frontowych elementów technicznego wyposażenia budynków takich jak: klimatyzatory, przewody kominowe, za </w:t>
      </w:r>
      <w:r>
        <w:rPr>
          <w:color w:val="000000"/>
          <w:u w:color="000000"/>
        </w:rPr>
        <w:t>wyjątkiem instalacji służących iluminacji budynków,</w:t>
      </w:r>
    </w:p>
    <w:p w14:paraId="5242B642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umieszczania na połaciach dachowych widocznych od strony terenów przestrzeni publicznych urządzeń technicznych służących wentylacji i klimatyzacji oraz masztów telekomunikacyjnych,</w:t>
      </w:r>
    </w:p>
    <w:p w14:paraId="6456E508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dopuszczeni</w:t>
      </w:r>
      <w:r>
        <w:rPr>
          <w:color w:val="000000"/>
          <w:u w:color="000000"/>
        </w:rPr>
        <w:t>e umieszczania skrzynek przyłączy infrastruktury technicznej na elewacjach frontowych lub ogrodzeniach, wyłącznie jako wbudowanych w ścianę lub ogrodzenie oraz pod warunkiem zastosowania kolorystyki dla widocznej części skrzynek odpowiadającej barwie elewa</w:t>
      </w:r>
      <w:r>
        <w:rPr>
          <w:color w:val="000000"/>
          <w:u w:color="000000"/>
        </w:rPr>
        <w:t>cji lub ogrodzenia, w które są wbudowane, lub w kolorze grafitowym odpowiadającym barwie 7016 w systemie RAL lub w kolorze, który określają przepisy odrębne,</w:t>
      </w:r>
    </w:p>
    <w:p w14:paraId="749D42B0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umieszczania stacji przekaźnikowych wyłącznie na dachach budynków o wysokości nie </w:t>
      </w:r>
      <w:r>
        <w:rPr>
          <w:color w:val="000000"/>
          <w:u w:color="000000"/>
        </w:rPr>
        <w:t>mniejszej niż 10,0 m,</w:t>
      </w:r>
    </w:p>
    <w:p w14:paraId="50145186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dopuszczenie zakładania na obiektach budowlanych usytuowanych przy granicy z terenami dróg publicznych znaków i sygnałów drogowych lub innych urządzeń bezpieczeństwa ruchu drogowego, urządzeń służących do zapewnienia bezpieczeństwa</w:t>
      </w:r>
      <w:r>
        <w:rPr>
          <w:color w:val="000000"/>
          <w:u w:color="000000"/>
        </w:rPr>
        <w:t xml:space="preserve"> publicznego, a także urządzeń niezbędnych do korzystania z nich, w rozumieniu przepisów odrębnych z zakresu gospodarki nieruchomościami.</w:t>
      </w:r>
    </w:p>
    <w:p w14:paraId="368857A0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6. </w:t>
      </w:r>
      <w:r>
        <w:rPr>
          <w:color w:val="000000"/>
          <w:u w:color="000000"/>
        </w:rPr>
        <w:t>Ustala się wymagania wynikające z potrzeb kształtowania przestrzeni publicznej, do której na obszarze planu należ</w:t>
      </w:r>
      <w:r>
        <w:rPr>
          <w:color w:val="000000"/>
          <w:u w:color="000000"/>
        </w:rPr>
        <w:t>y teren drogi dojazdowej oznaczony na rysunku planu symbolem 1KDD, polegające na nakazie stosowania rozwiązań technicznych uwzględniających potrzeby osób ze szczególnymi potrzebami.</w:t>
      </w:r>
    </w:p>
    <w:p w14:paraId="279655B7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7. </w:t>
      </w:r>
      <w:r>
        <w:rPr>
          <w:color w:val="000000"/>
          <w:u w:color="000000"/>
        </w:rPr>
        <w:t>Ustala się następujące zasady ochrony środowiska, przyrody i krajobra</w:t>
      </w:r>
      <w:r>
        <w:rPr>
          <w:color w:val="000000"/>
          <w:u w:color="000000"/>
        </w:rPr>
        <w:t>zu oraz zasady kształtowania krajobrazu:</w:t>
      </w:r>
    </w:p>
    <w:p w14:paraId="4D6316FC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zakaz lokalizacji przedsięwzięć mogących:</w:t>
      </w:r>
    </w:p>
    <w:p w14:paraId="6D75A2A7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zawsze znacząco oddziaływać na środowisko,</w:t>
      </w:r>
    </w:p>
    <w:p w14:paraId="54EDCA17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potencjalnie znacząco oddziaływać na środowisko za wyjątkiem dróg, inwestycji z zakresu infrastruktury technicznej;</w:t>
      </w:r>
    </w:p>
    <w:p w14:paraId="416EC413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</w:t>
      </w:r>
      <w:r>
        <w:rPr>
          <w:color w:val="000000"/>
          <w:u w:color="000000"/>
        </w:rPr>
        <w:t>puszczenie wykorzystania odnawialnych źródeł energii dla realizacji zaopatrzenia w energię elektryczną i ciepło o mocy:</w:t>
      </w:r>
    </w:p>
    <w:p w14:paraId="5164E012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nieprzekraczającej 100 kW z wyłączeniem elektrowni wiatrowych,</w:t>
      </w:r>
    </w:p>
    <w:p w14:paraId="25F50435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przekraczającej 100 kW wyłącznie w zakresie </w:t>
      </w:r>
      <w:r>
        <w:rPr>
          <w:color w:val="000000"/>
          <w:u w:color="000000"/>
        </w:rPr>
        <w:t>wykorzystania energii słonecznej;</w:t>
      </w:r>
    </w:p>
    <w:p w14:paraId="43AF2DC9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i kształtowania krajobrazu - zakaz wykonywania prac ziemnych trwale zniekształcających rzeźbę terenu;</w:t>
      </w:r>
    </w:p>
    <w:p w14:paraId="327C4B44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gospodarki wodnej i odprowadzania ścieków - nakaz stosowania kompleksowych rozwiązań</w:t>
      </w:r>
      <w:r>
        <w:rPr>
          <w:color w:val="000000"/>
          <w:u w:color="000000"/>
        </w:rPr>
        <w:t xml:space="preserve"> poprzez:</w:t>
      </w:r>
    </w:p>
    <w:p w14:paraId="656041F9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doprowadzenie infrastruktury technicznej wodociągowej i kanalizacji sanitarnej do wszystkich terenów przeznaczonych na cele zabudowy,</w:t>
      </w:r>
    </w:p>
    <w:p w14:paraId="38CFD83B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realizację urządzeń infrastruktury technicznej odbioru wód opadowych i roztopowych dla terenów przeznaczon</w:t>
      </w:r>
      <w:r>
        <w:rPr>
          <w:color w:val="000000"/>
          <w:u w:color="000000"/>
        </w:rPr>
        <w:t>ych na cele dróg;</w:t>
      </w:r>
    </w:p>
    <w:p w14:paraId="18A7230E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 wód podziemnych i powierzchniowych:</w:t>
      </w:r>
    </w:p>
    <w:p w14:paraId="5EF89ED6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stosowania rozwiązań umożliwiających wykorzystanie lub retencjonowanie nadmiaru wód opadowych i roztopowych w miejscu ich powstania, z dopuszczeniem odprowadzenia ich do o</w:t>
      </w:r>
      <w:r>
        <w:rPr>
          <w:color w:val="000000"/>
          <w:u w:color="000000"/>
        </w:rPr>
        <w:t>dbiornika na warunkach określonych w przepisach odrębnych dotyczących zbiorowego zaopatrzenia w wodę i zbiorowego odprowadzenia ścieków oraz prawa wodnego, a także budownictwa,</w:t>
      </w:r>
    </w:p>
    <w:p w14:paraId="02F24DEA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dokonywania zmian stosunków wodnych, jeżeli zmiany te nie wynikają z d</w:t>
      </w:r>
      <w:r>
        <w:rPr>
          <w:color w:val="000000"/>
          <w:u w:color="000000"/>
        </w:rPr>
        <w:t>ziałań na rzecz ochrony przyrody albo racjonalnej gospodarki wodnej;</w:t>
      </w:r>
    </w:p>
    <w:p w14:paraId="24A3B924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powietrza - zakaz stosowania indywidualnych źródeł zaopatrzenia w ciepło powodujących emisję spalin przekraczającą dopuszczalne normy;</w:t>
      </w:r>
    </w:p>
    <w:p w14:paraId="38025739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przed ha</w:t>
      </w:r>
      <w:r>
        <w:rPr>
          <w:color w:val="000000"/>
          <w:u w:color="000000"/>
        </w:rPr>
        <w:t>łasem - tereny oznaczone na rysunku planu symbolem MN-U zalicza się do terenów chronionych akustycznie, określonych jako „tereny mieszkaniowo-usługowe”, w rozumieniu przepisów odrębnych dotyczących dopuszczalnych poziomów hałasu w środowisku;</w:t>
      </w:r>
    </w:p>
    <w:p w14:paraId="4CD8F894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</w:t>
      </w:r>
      <w:r>
        <w:rPr>
          <w:color w:val="000000"/>
          <w:u w:color="000000"/>
        </w:rPr>
        <w:t xml:space="preserve"> ochrony przed polami elektromagnetycznymi - zakaz lokalizacji obiektów, urządzeń i sieci infrastrukturalnych, które powodują przekroczenie dopuszczalnych poziomów pól elektromagnetycznych w środowisku określonych w przepisach odrębnych z zakresu ochrony ś</w:t>
      </w:r>
      <w:r>
        <w:rPr>
          <w:color w:val="000000"/>
          <w:u w:color="000000"/>
        </w:rPr>
        <w:t>rodowiska w budynkach z pomieszczeniami przeznaczonymi na pobyt ludzi, w rozumieniu przepisów odrębnych z zakresu budownictwa;</w:t>
      </w:r>
    </w:p>
    <w:p w14:paraId="3AC51B8F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zakresie ochrony powierzchni ziemi oraz gospodarki odpadami - nakaz zapewnienia dla nieruchomości miejsca służącego do czaso</w:t>
      </w:r>
      <w:r>
        <w:rPr>
          <w:color w:val="000000"/>
          <w:u w:color="000000"/>
        </w:rPr>
        <w:t>wego gromadzenia odpadów stałych, z uwzględnieniem wymogów wynikających z przepisów odrębnych dotyczących budownictwa oraz dotyczących utrzymania czystości i porządku w gminie.</w:t>
      </w:r>
    </w:p>
    <w:p w14:paraId="36BF15F7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8. 1. </w:t>
      </w:r>
      <w:r>
        <w:rPr>
          <w:color w:val="000000"/>
          <w:u w:color="000000"/>
        </w:rPr>
        <w:t xml:space="preserve">W zakresie zasad i warunków scalania i podziału </w:t>
      </w:r>
      <w:r>
        <w:rPr>
          <w:color w:val="000000"/>
          <w:u w:color="000000"/>
        </w:rPr>
        <w:t>nieruchomości:</w:t>
      </w:r>
    </w:p>
    <w:p w14:paraId="5BBA767A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wyznacza się granic obszarów określonych w przepisach odrębnych wymagających obowiązkowego przeprowadzenia scaleń i podziałów nieruchomości;</w:t>
      </w:r>
    </w:p>
    <w:p w14:paraId="1B6006AE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 dokonywanego na wniosek, ok</w:t>
      </w:r>
      <w:r>
        <w:rPr>
          <w:color w:val="000000"/>
          <w:u w:color="000000"/>
        </w:rPr>
        <w:t>reślono w ustaleniach szczegółowych dla terenów w rozdziale 3.</w:t>
      </w:r>
    </w:p>
    <w:p w14:paraId="4DED0B51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Parametry działek powstałych w wyniku scalania i podziału nieruchomości, określone w ustaleniach szczegółowych dla terenów zawartych w rozdziale 3, nie obowiązują dla działek gruntu wydzielo</w:t>
      </w:r>
      <w:r>
        <w:rPr>
          <w:color w:val="000000"/>
          <w:u w:color="000000"/>
        </w:rPr>
        <w:t>nych pod drogi oraz infrastrukturę techniczną.</w:t>
      </w:r>
    </w:p>
    <w:p w14:paraId="19D7EE8E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9. </w:t>
      </w:r>
      <w:r>
        <w:rPr>
          <w:color w:val="000000"/>
          <w:u w:color="000000"/>
        </w:rPr>
        <w:t>Ustala się szczególne warunki zagospodarowania terenów oraz ograniczenia w ich użytkowaniu:</w:t>
      </w:r>
    </w:p>
    <w:p w14:paraId="0BE7860C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 z pomieszczeniami przeznaczonymi na pobyt ludzi w strefie ochronnej od napowietrzn</w:t>
      </w:r>
      <w:r>
        <w:rPr>
          <w:color w:val="000000"/>
          <w:u w:color="000000"/>
        </w:rPr>
        <w:t>ych linii elektroenergetycznych o napięciu 15 kV do 7,5 m od osi linii elektroenergetycznej;</w:t>
      </w:r>
    </w:p>
    <w:p w14:paraId="4C0E2046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likwidacji infrastruktury, o której mowa w pkt 1, zakazy dotyczące strefy ochronnej nie obowiązują;</w:t>
      </w:r>
    </w:p>
    <w:p w14:paraId="54F8F3D2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cały obszar planu obejmują powierzchnie ogran</w:t>
      </w:r>
      <w:r>
        <w:rPr>
          <w:color w:val="000000"/>
          <w:u w:color="000000"/>
        </w:rPr>
        <w:t>iczające zabudowę (BRA) od lotniczych</w:t>
      </w:r>
      <w:r>
        <w:rPr>
          <w:color w:val="000000"/>
          <w:u w:color="000000"/>
        </w:rPr>
        <w:br/>
        <w:t>urządzeń naziemnych (LUN), z wyłączeniami oraz możliwością uzyskania odstępstwa</w:t>
      </w:r>
      <w:r>
        <w:rPr>
          <w:color w:val="000000"/>
          <w:u w:color="000000"/>
        </w:rPr>
        <w:br/>
        <w:t>od wymogów dotyczących powierzchni ograniczających zabudowę zgodnie</w:t>
      </w:r>
      <w:r>
        <w:rPr>
          <w:color w:val="000000"/>
          <w:u w:color="000000"/>
        </w:rPr>
        <w:br/>
        <w:t>z przepisami odrębnymi z zakresu lotnictwa;</w:t>
      </w:r>
    </w:p>
    <w:p w14:paraId="6DAEA9AF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strefie ochrony sanit</w:t>
      </w:r>
      <w:r>
        <w:rPr>
          <w:color w:val="000000"/>
          <w:u w:color="000000"/>
        </w:rPr>
        <w:t>arnej cmentarza (150 m) wynoszącej do 150 m, oznaczonej na rysunku planu, zakaz lokalizacji studni służących do czerpania wody do picia i potrzeb gospodarczych.</w:t>
      </w:r>
    </w:p>
    <w:p w14:paraId="60B09C14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10. </w:t>
      </w:r>
      <w:r>
        <w:rPr>
          <w:color w:val="000000"/>
          <w:u w:color="000000"/>
        </w:rPr>
        <w:t>Ustala się następujące zasady modernizacji, rozbudowy i budowy systemów komunikacji:</w:t>
      </w:r>
    </w:p>
    <w:p w14:paraId="72608EB1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</w:t>
      </w:r>
      <w:r>
        <w:rPr>
          <w:color w:val="000000"/>
          <w:u w:color="000000"/>
        </w:rPr>
        <w:t>ołączenie układu komunikacyjnego obszaru objętego planem z zewnętrznym układem komunikacyjnym poprzez teren drogi dojazdowej, oznaczonej na rysunku planu symbolem 1KDD;</w:t>
      </w:r>
    </w:p>
    <w:p w14:paraId="7D4F1DEC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lokalizacji i budowy dróg wewnętrznych niewyznaczonych na rysunku planu</w:t>
      </w:r>
      <w:r>
        <w:rPr>
          <w:color w:val="000000"/>
          <w:u w:color="000000"/>
        </w:rPr>
        <w:t xml:space="preserve"> z zachowaniem:</w:t>
      </w:r>
    </w:p>
    <w:p w14:paraId="5F3BF03A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minimalnej szerokości drogi w liniach rozgraniczających - 7,0 m,</w:t>
      </w:r>
    </w:p>
    <w:p w14:paraId="197BC6E7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lokalizacja drogi dopuszczalna wyłącznie:</w:t>
      </w:r>
    </w:p>
    <w:p w14:paraId="3C8A39A0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radialnie względem wskazanego na rysunku planu okręgu pomocniczego, którego środek znajduje się w punkcie o współrzędnych geo</w:t>
      </w:r>
      <w:r>
        <w:rPr>
          <w:color w:val="000000"/>
          <w:u w:color="000000"/>
        </w:rPr>
        <w:t>dezyjnych w układzie xy 2000 (x=5741161,19, y=6609664,92) lub</w:t>
      </w:r>
    </w:p>
    <w:p w14:paraId="1DD18153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kierunku prostopadłym do jednej z dwóch najbliższych historycznych miedz oznaczonych na rysunku planu, przy czym kierunek ten określa się z tolerancją 3º.</w:t>
      </w:r>
    </w:p>
    <w:p w14:paraId="095B0A99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11. 1. </w:t>
      </w:r>
      <w:r>
        <w:rPr>
          <w:color w:val="000000"/>
          <w:u w:color="000000"/>
        </w:rPr>
        <w:t xml:space="preserve">Ustala się liczbę </w:t>
      </w:r>
      <w:r>
        <w:rPr>
          <w:color w:val="000000"/>
          <w:u w:color="000000"/>
        </w:rPr>
        <w:t>miejsc do parkowania dla samochodów i rowerów dotyczącą nowo projektowanych budynków lub ich części:</w:t>
      </w:r>
    </w:p>
    <w:p w14:paraId="04B240F7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samochodów osobowych - minimum:</w:t>
      </w:r>
    </w:p>
    <w:p w14:paraId="4572EBBE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mieszkań w budynkach mieszkalnych lub mieszkalno-usługowych - 1 stanowisko na każde mieszkanie,</w:t>
      </w:r>
    </w:p>
    <w:p w14:paraId="64CAB1B6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</w:t>
      </w:r>
      <w:r>
        <w:rPr>
          <w:color w:val="000000"/>
          <w:u w:color="000000"/>
        </w:rPr>
        <w:t>ów i obiektów sportu i rekreacji - 1 stanowisko na każde 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użytkowej,</w:t>
      </w:r>
    </w:p>
    <w:p w14:paraId="4F107D37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pozostałych usług - 1 stanowisko na każde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użytkowej;</w:t>
      </w:r>
    </w:p>
    <w:p w14:paraId="46A0889D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rowerów - minimum 1 stanowisko na każde 200 m² powierzchni użytkowej usług.</w:t>
      </w:r>
    </w:p>
    <w:p w14:paraId="17A5BC84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Wymaganą liczbę miejsc do parkowania dla samochodów i stanowisk dla rowerów należy określać:</w:t>
      </w:r>
    </w:p>
    <w:p w14:paraId="4C3DC063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proporcjonalnie względem przyjętej jednostki przeliczeniowej i zaokrąglać w górę do kolejnej liczby całkowitej;</w:t>
      </w:r>
    </w:p>
    <w:p w14:paraId="780A64C9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poprzez sumowanie łącznej minimalnej liczby m</w:t>
      </w:r>
      <w:r>
        <w:rPr>
          <w:color w:val="000000"/>
          <w:u w:color="000000"/>
        </w:rPr>
        <w:t>iejsc parkingowych dla równoczesnego użytkowania dla obiektów wielofunkcyjnych, zgodnie z wymogami określonymi w ust. 1.</w:t>
      </w:r>
    </w:p>
    <w:p w14:paraId="41C97685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Na parkingach dla samochodów osobowych liczących więcej niż 5 miejsc przeznaczonych na postój pojazdów, minimum 4% ogólnej liczby mi</w:t>
      </w:r>
      <w:r>
        <w:rPr>
          <w:color w:val="000000"/>
          <w:u w:color="000000"/>
        </w:rPr>
        <w:t>ejsc, lecz nie mniej niż 1 miejsce parkingowe, przeznaczyć należy na parkowanie pojazdów zaopatrzonych w kartę parkingową, o której mowa w przepisach o ruchu drogowym, z zastrzeżeniem: dróg publicznych, stref zamieszkania i stref ruchu, dla których minimal</w:t>
      </w:r>
      <w:r>
        <w:rPr>
          <w:color w:val="000000"/>
          <w:u w:color="000000"/>
        </w:rPr>
        <w:t>ną liczbę stanowisk parkingowych dla pojazdów zaopatrzonych w kartę parkingową określają przepisy odrębne z zakresu dróg publicznych.</w:t>
      </w:r>
    </w:p>
    <w:p w14:paraId="68D49DC3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12. 1. </w:t>
      </w:r>
      <w:r>
        <w:rPr>
          <w:color w:val="000000"/>
          <w:u w:color="000000"/>
        </w:rPr>
        <w:t>Ustala się następujące zasady modernizacji, rozbudowy i budowy systemów infrastruktury technicznej:</w:t>
      </w:r>
    </w:p>
    <w:p w14:paraId="3FB52CB0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</w:t>
      </w:r>
      <w:r>
        <w:rPr>
          <w:color w:val="000000"/>
          <w:u w:color="000000"/>
        </w:rPr>
        <w:t>e terenów w infrastrukturę techniczną w oparciu o istniejące systemy, ich przebudowę i rozbudowę, a także budowę nowych systemów;</w:t>
      </w:r>
    </w:p>
    <w:p w14:paraId="24803687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infrastruktury technicznej w terenach dróg publicznych;</w:t>
      </w:r>
    </w:p>
    <w:p w14:paraId="65B8A3AB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dopuszczenie lokalizacji sieci i urządzeń infr</w:t>
      </w:r>
      <w:r>
        <w:rPr>
          <w:color w:val="000000"/>
          <w:u w:color="000000"/>
        </w:rPr>
        <w:t>astruktury technicznej w terenach o innym przeznaczeniu niż w pkt 2, zgodnie z ustaleniami planu, z zachowaniem możliwości lokalizowania budynków na podstawie wyznaczonych na rysunku planu linii zabudowy;</w:t>
      </w:r>
    </w:p>
    <w:p w14:paraId="776BD406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nakaz lokalizacji nowej oraz przebudowywanej i r</w:t>
      </w:r>
      <w:r>
        <w:rPr>
          <w:color w:val="000000"/>
          <w:u w:color="000000"/>
        </w:rPr>
        <w:t>ozbudowywanej infrastruktury technicznej jako podziemnej, z wyłączeniem stacji transformatorowych zlokalizowanych poza przestrzeniami publicznymi oraz elementów infrastruktury technicznej, które jedynie jako nadziemne mogą pełnić swoją funkcję.</w:t>
      </w:r>
    </w:p>
    <w:p w14:paraId="7EB1E283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Określa </w:t>
      </w:r>
      <w:r>
        <w:rPr>
          <w:color w:val="000000"/>
          <w:u w:color="000000"/>
        </w:rPr>
        <w:t>się warunki powiązań infrastruktury technicznej na obszarze planu z układem zewnętrznym:</w:t>
      </w:r>
    </w:p>
    <w:p w14:paraId="094BB102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podstawowy element zaopatrzenia w wodę - magistrala wodociągowa „STOKI” oraz ujęcia wody „Olkuska”, „Kasprowicza” i „Pomorska”;</w:t>
      </w:r>
    </w:p>
    <w:p w14:paraId="37D23F1E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byto</w:t>
      </w:r>
      <w:r>
        <w:rPr>
          <w:color w:val="000000"/>
          <w:u w:color="000000"/>
        </w:rPr>
        <w:t>wych - kolektor VII biegnący przez teren Nowosolnej wzdłuż rzeki Miazgi, a następnie wzdłuż ulicy Pomorskiej;</w:t>
      </w:r>
    </w:p>
    <w:p w14:paraId="17CC2DE1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podstawowy odbiornik nadmiaru wód opadowych i roztopowych - zbiorniki odparowywalno-chłonne;</w:t>
      </w:r>
    </w:p>
    <w:p w14:paraId="0F08CB43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elementy zaopatrzenia w gaz - gazoci</w:t>
      </w:r>
      <w:r>
        <w:rPr>
          <w:color w:val="000000"/>
          <w:u w:color="000000"/>
        </w:rPr>
        <w:t>ąg średniego ciśnienia Dn 100 zlokalizowany w ulicy Jana Kasprowicza;</w:t>
      </w:r>
    </w:p>
    <w:p w14:paraId="5F6A777E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źródło zaopatrzenia w energię elektryczną - Główny Punkt Zasilania Janów 220/110/15 kV.</w:t>
      </w:r>
    </w:p>
    <w:p w14:paraId="127718C8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13. 1. </w:t>
      </w:r>
      <w:r>
        <w:rPr>
          <w:color w:val="000000"/>
          <w:u w:color="000000"/>
        </w:rPr>
        <w:t xml:space="preserve">Ustala się granice terenu rozmieszczenia inwestycji celu </w:t>
      </w:r>
      <w:r>
        <w:rPr>
          <w:color w:val="000000"/>
          <w:u w:color="000000"/>
        </w:rPr>
        <w:t>publicznego o znaczeniu lokalnym, które stanowią wskazane na rysunku planu linie rozgraniczające terenu drogi dojazdowej oznaczonego na rysunku planu symbolem 1KDD.</w:t>
      </w:r>
    </w:p>
    <w:p w14:paraId="7DFE7BBB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Dopuszcza się lokalizację inwestycji celu publicznego o znaczeniu lokalnym i ponadlokaln</w:t>
      </w:r>
      <w:r>
        <w:rPr>
          <w:color w:val="000000"/>
          <w:u w:color="000000"/>
        </w:rPr>
        <w:t>ym w granicach niewymienionych w ust. 1 pod warunkiem ich zgodności z przeznaczeniem terenów.</w:t>
      </w:r>
    </w:p>
    <w:p w14:paraId="26DDB54A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14. </w:t>
      </w:r>
      <w:r>
        <w:rPr>
          <w:color w:val="000000"/>
          <w:u w:color="000000"/>
        </w:rPr>
        <w:t>Ustala się wysokość stawki procentowej służącej określeniu opłaty, o której mowa w art. 36 ust. 4 ustawy dla wszystkich terenów w wysokości 30%.</w:t>
      </w:r>
    </w:p>
    <w:p w14:paraId="22809135" w14:textId="77777777" w:rsidR="00A77B3E" w:rsidRDefault="00165306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lastRenderedPageBreak/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14:paraId="394F5002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15. 1. </w:t>
      </w:r>
      <w:r>
        <w:rPr>
          <w:color w:val="000000"/>
          <w:u w:color="000000"/>
        </w:rPr>
        <w:t xml:space="preserve">Dla terenów oznaczonych na rysunku planu symbolami: </w:t>
      </w:r>
      <w:r>
        <w:rPr>
          <w:b/>
          <w:color w:val="000000"/>
          <w:u w:color="000000"/>
        </w:rPr>
        <w:t xml:space="preserve">1MN-U, 2MN-U                                  i 3MN-U </w:t>
      </w:r>
      <w:r>
        <w:rPr>
          <w:color w:val="000000"/>
          <w:u w:color="000000"/>
        </w:rPr>
        <w:t>obowiązują ustalenia zawarte w kolejnych ustępach niniejszego paragrafu.</w:t>
      </w:r>
    </w:p>
    <w:p w14:paraId="32BD2795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</w:t>
      </w:r>
      <w:r>
        <w:rPr>
          <w:color w:val="000000"/>
          <w:u w:color="000000"/>
        </w:rPr>
        <w:t xml:space="preserve"> ustala się:</w:t>
      </w:r>
    </w:p>
    <w:p w14:paraId="1DA44437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tereny zabudowy mieszkaniowej jednorodzinnej lub usług z wykluczeniem usług handlu, kultu religijnego, bezpieczeństwa i porządku publicznego;</w:t>
      </w:r>
    </w:p>
    <w:p w14:paraId="41D9B797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5864EBE1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usług,</w:t>
      </w:r>
    </w:p>
    <w:p w14:paraId="32B9F047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tereny </w:t>
      </w:r>
      <w:r>
        <w:rPr>
          <w:color w:val="000000"/>
          <w:u w:color="000000"/>
        </w:rPr>
        <w:t>infrastruktury technicznej.</w:t>
      </w:r>
    </w:p>
    <w:p w14:paraId="2243AFF5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19C20D84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14:paraId="448D4DAE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 - maksimum 30%,</w:t>
      </w:r>
    </w:p>
    <w:p w14:paraId="7BE9E60C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intensywność </w:t>
      </w:r>
      <w:r>
        <w:rPr>
          <w:color w:val="000000"/>
          <w:u w:color="000000"/>
        </w:rPr>
        <w:t>zabudowy dla kondygnacji nadziemnych - minimum 0,01, maksimum 0,5,</w:t>
      </w:r>
    </w:p>
    <w:p w14:paraId="572B5265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intensywność zabudowy dla kondygnacji podziemnych - maksimum 0,4,</w:t>
      </w:r>
    </w:p>
    <w:p w14:paraId="3404C63B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wskaźnik powierzchni biologicznie czynnej:</w:t>
      </w:r>
    </w:p>
    <w:p w14:paraId="3635A199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powierzchni powyżej 300 m² do 600 m² - minimum 20%,</w:t>
      </w:r>
    </w:p>
    <w:p w14:paraId="42852E18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dla </w:t>
      </w:r>
      <w:r>
        <w:rPr>
          <w:color w:val="000000"/>
          <w:u w:color="000000"/>
        </w:rPr>
        <w:t>działek o powierzchni powyżej 600 m² do 1 000 m² - minimum 35%,</w:t>
      </w:r>
    </w:p>
    <w:p w14:paraId="0A461B73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powierzchni powyżej 1 000 m² do 1 600 m² - minimum 45%,</w:t>
      </w:r>
    </w:p>
    <w:p w14:paraId="3E97BE41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dla działek o powierzchni powyżej 1 600 m² do 2 200 m² - minimum 55%,</w:t>
      </w:r>
    </w:p>
    <w:p w14:paraId="5E6A9549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dla działek o powierzchni powyżej 2 200 m² - </w:t>
      </w:r>
      <w:r>
        <w:rPr>
          <w:color w:val="000000"/>
          <w:u w:color="000000"/>
        </w:rPr>
        <w:t>minimum 65%;</w:t>
      </w:r>
    </w:p>
    <w:p w14:paraId="39EDEAE9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7759BADE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14:paraId="4862C8C4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jednorodzinnych i usługowych - maksimum 10,0 m,</w:t>
      </w:r>
    </w:p>
    <w:p w14:paraId="10BCD342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- maksimum 6,0 m,</w:t>
      </w:r>
    </w:p>
    <w:p w14:paraId="37014C77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geometria dachów - dachy dwuspadowe, z dopuszczeniem nacz</w:t>
      </w:r>
      <w:r>
        <w:rPr>
          <w:color w:val="000000"/>
          <w:u w:color="000000"/>
        </w:rPr>
        <w:t>ółkowych, lub wielospadowe o symetrycznym układzie połaci i jednakowym kącie nachylenia w zakresie od 30° do 45°, dla budynków gospodarczych i garaży dopuszcza się również dachy płaskie.</w:t>
      </w:r>
    </w:p>
    <w:p w14:paraId="47DF41A1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Określa się minimalną powierzchnię nowo wydzielonych działek budow</w:t>
      </w:r>
      <w:r>
        <w:rPr>
          <w:color w:val="000000"/>
          <w:u w:color="000000"/>
        </w:rPr>
        <w:t>lanych - 300 m². Parametr ten nie dotyczy działek wydzielonych pod nowe drogi albo pod poszerzenie dróg istniejących, działek pod urządzenia infrastruktury technicznej oraz powstałych w wyniku podziałów prowadzonych po wyznaczonych na rysunku planu liniach</w:t>
      </w:r>
      <w:r>
        <w:rPr>
          <w:color w:val="000000"/>
          <w:u w:color="000000"/>
        </w:rPr>
        <w:t xml:space="preserve"> rozgraniczających.</w:t>
      </w:r>
    </w:p>
    <w:p w14:paraId="5AE59381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3458A9C9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- minimum 300 m²;</w:t>
      </w:r>
    </w:p>
    <w:p w14:paraId="48764967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- minimum 10,0 m;</w:t>
      </w:r>
    </w:p>
    <w:p w14:paraId="7CEAD5E5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działki w stosunku do pasa drogowego - 9</w:t>
      </w:r>
      <w:r>
        <w:rPr>
          <w:color w:val="000000"/>
          <w:u w:color="000000"/>
        </w:rPr>
        <w:t>0° z tolerancją 3°.</w:t>
      </w:r>
    </w:p>
    <w:p w14:paraId="581CBE75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16.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>1US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14:paraId="61C3698A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W zakresie przeznaczenia terenu ustala się:</w:t>
      </w:r>
    </w:p>
    <w:p w14:paraId="20B4C793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- teren usług sportu i </w:t>
      </w:r>
      <w:r>
        <w:rPr>
          <w:color w:val="000000"/>
          <w:u w:color="000000"/>
        </w:rPr>
        <w:t>rekreacji;</w:t>
      </w:r>
    </w:p>
    <w:p w14:paraId="52591038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3DD00890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usług,</w:t>
      </w:r>
    </w:p>
    <w:p w14:paraId="70E55C71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technicznej.</w:t>
      </w:r>
    </w:p>
    <w:p w14:paraId="2A185CFA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03B3BB77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</w:t>
      </w:r>
      <w:r>
        <w:rPr>
          <w:color w:val="000000"/>
          <w:u w:color="000000"/>
        </w:rPr>
        <w:t>u:</w:t>
      </w:r>
    </w:p>
    <w:p w14:paraId="212B7323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 - maksimum 20%,</w:t>
      </w:r>
    </w:p>
    <w:p w14:paraId="1AECD451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dla kondygnacji nadziemnych - minimum 0,01, maksimum 0,5,</w:t>
      </w:r>
    </w:p>
    <w:p w14:paraId="0A99EFA9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intensywność zabudowy dla kondygnacji podziemnych - maksimum 0,4,</w:t>
      </w:r>
    </w:p>
    <w:p w14:paraId="4E8BDDC4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wskaźnik powierzchni biologicznie czynnej - minim</w:t>
      </w:r>
      <w:r>
        <w:rPr>
          <w:color w:val="000000"/>
          <w:u w:color="000000"/>
        </w:rPr>
        <w:t>um 65%;</w:t>
      </w:r>
    </w:p>
    <w:p w14:paraId="66C78AF5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102AC248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14:paraId="536BFF80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i obiektów sportu i rekreacji - maksimum 15,0 m,</w:t>
      </w:r>
    </w:p>
    <w:p w14:paraId="7135A5F1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pozostałych budynków usługowych - maksimum 10,0 m,</w:t>
      </w:r>
    </w:p>
    <w:p w14:paraId="322C0397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- 6,0 m,</w:t>
      </w:r>
    </w:p>
    <w:p w14:paraId="5D928734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geometria dachów:</w:t>
      </w:r>
    </w:p>
    <w:p w14:paraId="5959BD71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i obiektów sportu i rekreacji - dachy o kącie nachylenia połaci wynoszącym do 45°, dopuszcza się krzywoliniowe formy przekrycia,</w:t>
      </w:r>
    </w:p>
    <w:p w14:paraId="62C572F0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pozostałych budynków usługowych - dachy dwuspadowe lub wielospadowe, o symetrycznym układzie połaci i jednakowym kąc</w:t>
      </w:r>
      <w:r>
        <w:rPr>
          <w:color w:val="000000"/>
          <w:u w:color="000000"/>
        </w:rPr>
        <w:t>ie nachylenia w zakresie od 30° do 45°,</w:t>
      </w:r>
    </w:p>
    <w:p w14:paraId="4BD747B0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- dachy dwuspadowe lub wielospadowe, o symetrycznym układzie połaci i jednakowym kącie nachylenia w zakresie od 30° do 45° lub dachy płaskie;</w:t>
      </w:r>
    </w:p>
    <w:p w14:paraId="1CE6175C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 oraz lo</w:t>
      </w:r>
      <w:r>
        <w:rPr>
          <w:color w:val="000000"/>
          <w:u w:color="000000"/>
        </w:rPr>
        <w:t>kalizacji obiektów i funkcji:</w:t>
      </w:r>
    </w:p>
    <w:p w14:paraId="421AF7E4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powierzchnia zabudowy budynków usług handlu na działce budowlanej - 100 m²,</w:t>
      </w:r>
    </w:p>
    <w:p w14:paraId="1FA4CD02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lokalizowania na działce budowlanej:</w:t>
      </w:r>
    </w:p>
    <w:p w14:paraId="10597DC7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tymczasowych obiektów sportu i rekreacji o wysokości do 15,0 m i </w:t>
      </w:r>
      <w:r>
        <w:rPr>
          <w:color w:val="000000"/>
          <w:u w:color="000000"/>
        </w:rPr>
        <w:t>powierzchni zabudowy maksimum 6000,0 m², w liczbie nie większej niż 2,</w:t>
      </w:r>
    </w:p>
    <w:p w14:paraId="543AE9AC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tymczasowych obiektów usługowo-handlowych towarzyszących imprezom plenerowym i sportowym, na okres nie dłuższy niż czas trwania imprezy, o maksymalnych wymiarach poziomych 7,0 m x 7,0</w:t>
      </w:r>
      <w:r>
        <w:rPr>
          <w:color w:val="000000"/>
          <w:u w:color="000000"/>
        </w:rPr>
        <w:t xml:space="preserve"> m i wysokości maksimum 4,0 m oraz o dachu płaskim lub dwuspadowym o kącie nachylenia do 35°, w liczbie nie większej niż 5,</w:t>
      </w:r>
    </w:p>
    <w:p w14:paraId="73235608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sanitariatów o maksymalnych wymiarach poziomych 4,0 m x 3,0 m i wysokości maksimum              3,5 m oraz dachu płaskim, w liczbi</w:t>
      </w:r>
      <w:r>
        <w:rPr>
          <w:color w:val="000000"/>
          <w:u w:color="000000"/>
        </w:rPr>
        <w:t>e nie większej niż 2,</w:t>
      </w:r>
    </w:p>
    <w:p w14:paraId="2DA855FC" w14:textId="77777777" w:rsidR="00A77B3E" w:rsidRDefault="00165306">
      <w:pPr>
        <w:keepLines/>
        <w:spacing w:before="120" w:after="120"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nakaz:</w:t>
      </w:r>
    </w:p>
    <w:p w14:paraId="2DF77FBC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lokalizacji sieci infrastruktury technicznej wyłącznie jako podziemnych za wyjątkiem słupów oświetlenia terenu,</w:t>
      </w:r>
    </w:p>
    <w:p w14:paraId="0AEC2B50" w14:textId="77777777" w:rsidR="00A77B3E" w:rsidRDefault="00165306">
      <w:pPr>
        <w:keepLines/>
        <w:spacing w:before="120" w:after="120"/>
        <w:ind w:left="56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kształtowania nawierzchni zapewniającej bezpieczeństwo użytkowania, ewakuację i dostępność do obiektów dla w</w:t>
      </w:r>
      <w:r>
        <w:rPr>
          <w:color w:val="000000"/>
          <w:u w:color="000000"/>
        </w:rPr>
        <w:t>łaściwych służb.</w:t>
      </w:r>
    </w:p>
    <w:p w14:paraId="214651A3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4. </w:t>
      </w:r>
      <w:r>
        <w:rPr>
          <w:color w:val="000000"/>
          <w:u w:color="000000"/>
        </w:rPr>
        <w:t>Określa się minimalną powierzchnię nowo wydzielonych działek budowlanych                            - 2000 m². Parametr ten nie dotyczy działek wydzielonych pod nowe drogi albo pod poszerzenie dróg istniejących, działek pod urządzenia i</w:t>
      </w:r>
      <w:r>
        <w:rPr>
          <w:color w:val="000000"/>
          <w:u w:color="000000"/>
        </w:rPr>
        <w:t>nfrastruktury technicznej oraz powstałych w wyniku podziałów prowadzonych po wyznaczonych na rysunku planu liniach rozgraniczających.</w:t>
      </w:r>
    </w:p>
    <w:p w14:paraId="21B6AF30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786B7729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- minim</w:t>
      </w:r>
      <w:r>
        <w:rPr>
          <w:color w:val="000000"/>
          <w:u w:color="000000"/>
        </w:rPr>
        <w:t>um 2000 m²;</w:t>
      </w:r>
    </w:p>
    <w:p w14:paraId="4DC75EF9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- minimum 40,0 m;</w:t>
      </w:r>
    </w:p>
    <w:p w14:paraId="749352B1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działki w stosunku do pasa drogowego - 90° z tolerancją 3°.</w:t>
      </w:r>
    </w:p>
    <w:p w14:paraId="52D84124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17. 1. </w:t>
      </w:r>
      <w:r>
        <w:rPr>
          <w:color w:val="000000"/>
          <w:u w:color="000000"/>
        </w:rPr>
        <w:t xml:space="preserve">Dla terenu oznaczonego na rysunku planu symbolem </w:t>
      </w:r>
      <w:r>
        <w:rPr>
          <w:b/>
          <w:color w:val="000000"/>
          <w:u w:color="000000"/>
        </w:rPr>
        <w:t>1KDD</w:t>
      </w:r>
      <w:r>
        <w:rPr>
          <w:color w:val="000000"/>
          <w:u w:color="000000"/>
        </w:rPr>
        <w:t xml:space="preserve"> obowiązują ustalenia zawarte w </w:t>
      </w:r>
      <w:r>
        <w:rPr>
          <w:color w:val="000000"/>
          <w:u w:color="000000"/>
        </w:rPr>
        <w:t xml:space="preserve">kolejnych ustępach niniejszego paragrafu. </w:t>
      </w:r>
    </w:p>
    <w:p w14:paraId="4D47F132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5BFCF350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- teren drogi dojazdowej;</w:t>
      </w:r>
    </w:p>
    <w:p w14:paraId="120F3056" w14:textId="77777777" w:rsidR="00A77B3E" w:rsidRDefault="00165306">
      <w:pPr>
        <w:spacing w:before="120" w:after="120"/>
        <w:ind w:left="227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- teren infrastruktury technicznej.</w:t>
      </w:r>
    </w:p>
    <w:p w14:paraId="6BBE18C6" w14:textId="77777777" w:rsidR="00A77B3E" w:rsidRDefault="00165306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</w:t>
      </w:r>
      <w:r>
        <w:rPr>
          <w:color w:val="000000"/>
          <w:u w:color="000000"/>
        </w:rPr>
        <w:t>lno-technicznych ustala się szerokość w liniach rozgraniczających 8,0 m, bez uwzględnienia poszerzeń i narożnych ścięć linii rozgraniczających przy skrzyżowaniach zgodnie z rysunkiem planu.</w:t>
      </w:r>
    </w:p>
    <w:p w14:paraId="76C95358" w14:textId="77777777" w:rsidR="00A77B3E" w:rsidRDefault="00165306">
      <w:pPr>
        <w:keepNext/>
        <w:keepLines/>
        <w:spacing w:before="24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248F5B12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18. </w:t>
      </w:r>
      <w:r>
        <w:rPr>
          <w:color w:val="000000"/>
          <w:u w:color="000000"/>
        </w:rPr>
        <w:t>Dane przestrzenne dla planu w po</w:t>
      </w:r>
      <w:r>
        <w:rPr>
          <w:color w:val="000000"/>
          <w:u w:color="000000"/>
        </w:rPr>
        <w:t>staci dokumentu elektronicznego, o których mowa w art. 67a ust. 3 ustawy, stanowią załącznik Nr 4 do uchwały.</w:t>
      </w:r>
    </w:p>
    <w:p w14:paraId="2AA57E02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19. </w:t>
      </w:r>
      <w:r>
        <w:rPr>
          <w:color w:val="000000"/>
          <w:u w:color="000000"/>
        </w:rPr>
        <w:t>Wykonanie uchwały powierza się Prezydentowi Miasta Łodzi.</w:t>
      </w:r>
    </w:p>
    <w:p w14:paraId="29DFDC9C" w14:textId="77777777" w:rsidR="00A77B3E" w:rsidRDefault="00165306">
      <w:pPr>
        <w:keepLines/>
        <w:spacing w:before="240" w:after="120"/>
        <w:ind w:firstLine="567"/>
        <w:rPr>
          <w:color w:val="000000"/>
          <w:u w:color="000000"/>
        </w:rPr>
      </w:pPr>
      <w:r>
        <w:t>§ 20. </w:t>
      </w:r>
      <w:r>
        <w:rPr>
          <w:color w:val="000000"/>
          <w:u w:color="000000"/>
        </w:rPr>
        <w:t>Traci moc uchwała Nr XLIX/1508/21 Rady Miejskiej w Łodzi z dnia 20 </w:t>
      </w:r>
      <w:r>
        <w:rPr>
          <w:color w:val="000000"/>
          <w:u w:color="000000"/>
        </w:rPr>
        <w:t>października 2021 r. w sprawie uchwalenia miejscowego planu zagospodarowania przestrzennego dla części obszaru miasta Łodzi położonej w rejonie ulic: Brzezińskiej, Pomorskiej, Jugosłowiańskiej, Wiączyńskiej, J. Kasprowicza, Grabińskiej i Byszewskiej - obsz</w:t>
      </w:r>
      <w:r>
        <w:rPr>
          <w:color w:val="000000"/>
          <w:u w:color="000000"/>
        </w:rPr>
        <w:t>aru centrum osiedla Nowosolna</w:t>
      </w:r>
      <w:r>
        <w:rPr>
          <w:color w:val="000000"/>
          <w:u w:color="000000"/>
        </w:rPr>
        <w:br/>
        <w:t>(Dz. Urz. Woj. Łódzkiego poz. 5802) - w części odnoszącej się do obszaru objętego ustaleniami niniejszej uchwały.</w:t>
      </w:r>
    </w:p>
    <w:p w14:paraId="0C1F03E6" w14:textId="77777777" w:rsidR="00A77B3E" w:rsidRDefault="00165306">
      <w:pPr>
        <w:keepNext/>
        <w:keepLines/>
        <w:spacing w:before="240" w:after="120"/>
        <w:ind w:firstLine="567"/>
        <w:rPr>
          <w:color w:val="000000"/>
          <w:u w:color="000000"/>
        </w:rPr>
      </w:pPr>
      <w:r>
        <w:t>§ 21. </w:t>
      </w:r>
      <w:r>
        <w:rPr>
          <w:color w:val="000000"/>
          <w:u w:color="000000"/>
        </w:rPr>
        <w:t>Uchwała wchodzi w życie po upływie 14 dni od dnia jej ogłoszenia w Dzienniku Urzędowym Województwa Łódzkie</w:t>
      </w:r>
      <w:r>
        <w:rPr>
          <w:color w:val="000000"/>
          <w:u w:color="000000"/>
        </w:rPr>
        <w:t>go.</w:t>
      </w:r>
    </w:p>
    <w:p w14:paraId="1CE53D03" w14:textId="77777777" w:rsidR="00A77B3E" w:rsidRDefault="00165306">
      <w:pPr>
        <w:keepNext/>
        <w:keepLines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14:paraId="2162673F" w14:textId="77777777" w:rsidR="00A77B3E" w:rsidRDefault="00165306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704CBD" w14:paraId="3DF81182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71F967B" w14:textId="77777777" w:rsidR="00704CBD" w:rsidRDefault="00704CBD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DCC82B" w14:textId="77777777" w:rsidR="00704CBD" w:rsidRDefault="00165306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Rady 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70C473AD" w14:textId="77777777" w:rsidR="00A77B3E" w:rsidRDefault="00165306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3B96B0AE" w14:textId="77777777" w:rsidR="00A77B3E" w:rsidRDefault="00165306">
      <w:pPr>
        <w:spacing w:before="120" w:after="120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1134" w:right="1020" w:bottom="1134" w:left="1020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lastRenderedPageBreak/>
        <w:t>Prezydent Miasta Łodzi</w:t>
      </w:r>
    </w:p>
    <w:p w14:paraId="1F04CE5E" w14:textId="77777777" w:rsidR="00A77B3E" w:rsidRDefault="00165306">
      <w:pPr>
        <w:keepNext/>
        <w:spacing w:after="120"/>
        <w:ind w:left="614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</w:r>
    </w:p>
    <w:p w14:paraId="166DA6BF" w14:textId="77777777" w:rsidR="00A77B3E" w:rsidRDefault="00165306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Rysunek planu </w:t>
      </w:r>
      <w:r>
        <w:rPr>
          <w:b/>
          <w:color w:val="000000"/>
          <w:u w:color="000000"/>
        </w:rPr>
        <w:t>wykonany na mapie sytuacyjno-wysokościowej w skali 1:1000</w:t>
      </w:r>
    </w:p>
    <w:p w14:paraId="07A2A284" w14:textId="77777777" w:rsidR="00A77B3E" w:rsidRDefault="00165306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2AAA4ECF" wp14:editId="629E1D49">
            <wp:extent cx="5672669" cy="4051907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2669" cy="405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14D1E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ZBIORCZY</w:t>
      </w:r>
    </w:p>
    <w:p w14:paraId="35381CFD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66D65B4D" wp14:editId="48797463">
            <wp:extent cx="6265259" cy="6503301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5259" cy="650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EC61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</w:t>
      </w:r>
    </w:p>
    <w:p w14:paraId="1EC5103E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672C484" wp14:editId="2BE9F1E4">
            <wp:extent cx="6234480" cy="6423118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4480" cy="642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ED8C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2</w:t>
      </w:r>
    </w:p>
    <w:p w14:paraId="5001D13A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8F18E12" wp14:editId="75E424FF">
            <wp:extent cx="6224939" cy="6413574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4939" cy="641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6ED7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3</w:t>
      </w:r>
    </w:p>
    <w:p w14:paraId="3ADD26F7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C6C5062" wp14:editId="7254A248">
            <wp:extent cx="6232589" cy="6470838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2589" cy="647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CAB1F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4</w:t>
      </w:r>
    </w:p>
    <w:p w14:paraId="39AD927D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3E28677" wp14:editId="144D42B3">
            <wp:extent cx="6251675" cy="6489926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1675" cy="648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99129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5</w:t>
      </w:r>
    </w:p>
    <w:p w14:paraId="7FA2C43B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3047ABB" wp14:editId="0DE5507F">
            <wp:extent cx="6092161" cy="6349576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2161" cy="634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12AE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6</w:t>
      </w:r>
    </w:p>
    <w:p w14:paraId="4E8C71CE" w14:textId="77777777" w:rsidR="00A77B3E" w:rsidRDefault="00165306">
      <w:pPr>
        <w:spacing w:before="120" w:after="12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14DD5A7" wp14:editId="120A4661">
            <wp:extent cx="6030211" cy="5163309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0211" cy="51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C872" w14:textId="77777777" w:rsidR="00A77B3E" w:rsidRDefault="00165306">
      <w:pPr>
        <w:spacing w:before="120" w:after="120"/>
        <w:jc w:val="center"/>
        <w:rPr>
          <w:color w:val="000000"/>
          <w:u w:color="000000"/>
        </w:rPr>
        <w:sectPr w:rsidR="00A77B3E">
          <w:footerReference w:type="default" r:id="rId24"/>
          <w:endnotePr>
            <w:numFmt w:val="decimal"/>
          </w:endnotePr>
          <w:pgSz w:w="11906" w:h="16838"/>
          <w:pgMar w:top="1134" w:right="1020" w:bottom="1134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LEGENDA</w:t>
      </w:r>
    </w:p>
    <w:p w14:paraId="2274AABD" w14:textId="77777777" w:rsidR="00A77B3E" w:rsidRDefault="00165306">
      <w:pPr>
        <w:keepNext/>
        <w:spacing w:after="120"/>
        <w:ind w:left="614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 xml:space="preserve">Rady </w:t>
      </w:r>
      <w:r>
        <w:rPr>
          <w:color w:val="000000"/>
          <w:u w:color="000000"/>
        </w:rPr>
        <w:t>Miejskiej w Łodzi</w:t>
      </w:r>
      <w:r>
        <w:rPr>
          <w:color w:val="000000"/>
          <w:u w:color="000000"/>
        </w:rPr>
        <w:br/>
      </w:r>
    </w:p>
    <w:p w14:paraId="70C6C8BC" w14:textId="77777777" w:rsidR="00A77B3E" w:rsidRDefault="00165306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planu wniesionych w związku z wyłożeniem do publicznego wglądu.</w:t>
      </w:r>
    </w:p>
    <w:p w14:paraId="150FB75B" w14:textId="77777777" w:rsidR="00A77B3E" w:rsidRDefault="00165306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 położonej w rejonie ulic G</w:t>
      </w:r>
      <w:r>
        <w:rPr>
          <w:color w:val="000000"/>
          <w:u w:color="000000"/>
        </w:rPr>
        <w:t>rabińskiej i Jana Kasprowicza został wyłożony do publicznego wglądu w okresie od 13 stycznia 2023 r. do 3 lutego 2023 r.</w:t>
      </w:r>
    </w:p>
    <w:p w14:paraId="16F9D6A2" w14:textId="77777777" w:rsidR="00A77B3E" w:rsidRDefault="00165306">
      <w:pPr>
        <w:keepNext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W terminie wyznaczonym do wnoszenia uwag dotyczących projektu planu tj. do dnia 17 lutego 2023 r. nie wpłynęła żadna uwaga.</w:t>
      </w:r>
    </w:p>
    <w:p w14:paraId="09ABBDA7" w14:textId="77777777" w:rsidR="00A77B3E" w:rsidRDefault="00165306">
      <w:pPr>
        <w:keepNext/>
        <w:keepLines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14:paraId="1C975702" w14:textId="77777777" w:rsidR="00A77B3E" w:rsidRDefault="00165306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704CBD" w14:paraId="07CB528E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F1A910" w14:textId="77777777" w:rsidR="00704CBD" w:rsidRDefault="00704CBD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EFB3A2" w14:textId="77777777" w:rsidR="00704CBD" w:rsidRDefault="00165306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1E2AB913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5"/>
          <w:endnotePr>
            <w:numFmt w:val="decimal"/>
          </w:endnotePr>
          <w:pgSz w:w="11906" w:h="16838"/>
          <w:pgMar w:top="1134" w:right="1020" w:bottom="1134" w:left="1020" w:header="708" w:footer="708" w:gutter="0"/>
          <w:pgNumType w:start="1"/>
          <w:cols w:space="708"/>
          <w:docGrid w:linePitch="360"/>
        </w:sectPr>
      </w:pPr>
    </w:p>
    <w:p w14:paraId="680ADD2D" w14:textId="77777777" w:rsidR="00A77B3E" w:rsidRDefault="00165306">
      <w:pPr>
        <w:keepNext/>
        <w:spacing w:after="120"/>
        <w:ind w:left="6140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</w:r>
    </w:p>
    <w:p w14:paraId="03D3E7EF" w14:textId="77777777" w:rsidR="00A77B3E" w:rsidRDefault="00165306">
      <w:pPr>
        <w:keepNext/>
        <w:spacing w:after="2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realizacji zapisanych w planie inwestycji z zakresu </w:t>
      </w:r>
      <w:r>
        <w:rPr>
          <w:b/>
          <w:color w:val="000000"/>
          <w:u w:color="000000"/>
        </w:rPr>
        <w:t>infrastruktury technicznej, które należą do zadań własnych gminy oraz zasadach ich finansowania, zgodnie z przepisami o finansach publicznych.</w:t>
      </w:r>
    </w:p>
    <w:p w14:paraId="73757478" w14:textId="77777777" w:rsidR="00A77B3E" w:rsidRDefault="00165306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należy:</w:t>
      </w:r>
    </w:p>
    <w:p w14:paraId="7C0205B8" w14:textId="77777777" w:rsidR="00A77B3E" w:rsidRDefault="00165306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- wydzielenie i wykup ter</w:t>
      </w:r>
      <w:r>
        <w:rPr>
          <w:color w:val="000000"/>
          <w:u w:color="000000"/>
        </w:rPr>
        <w:t>enu pod realizację nowej drogi gminnej,</w:t>
      </w:r>
    </w:p>
    <w:p w14:paraId="74A253DC" w14:textId="77777777" w:rsidR="00A77B3E" w:rsidRDefault="00165306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- budowa jezdni, chodników, sieci oświetlenia ulicznego na drodze gminnej,</w:t>
      </w:r>
    </w:p>
    <w:p w14:paraId="12780E0B" w14:textId="77777777" w:rsidR="00A77B3E" w:rsidRDefault="00165306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- uzbrojenie terenów w sieć wodociągową, kanalizacji sanitarnej i deszczowej.</w:t>
      </w:r>
    </w:p>
    <w:p w14:paraId="22BF7DDC" w14:textId="77777777" w:rsidR="00A77B3E" w:rsidRDefault="00165306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Powyższe zadania będą umieszczone w programach rozwoju poszczeg</w:t>
      </w:r>
      <w:r>
        <w:rPr>
          <w:color w:val="000000"/>
          <w:u w:color="000000"/>
        </w:rPr>
        <w:t>ólnych elementów zagospodarowania, a następnie w zadaniach rzeczowych budżetu gminy objętych wieloletnią prognozą finansową.</w:t>
      </w:r>
    </w:p>
    <w:p w14:paraId="274C2DCD" w14:textId="77777777" w:rsidR="00A77B3E" w:rsidRDefault="00165306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Finansowanie będzie odbywało się w oparciu o budżet gminy, z wykorzystaniem funduszy strukturalnych Unii Europejskiej oraz środków </w:t>
      </w:r>
      <w:r>
        <w:rPr>
          <w:color w:val="000000"/>
          <w:u w:color="000000"/>
        </w:rPr>
        <w:t>Funduszu Ochrony Środowiska, a także innych możliwych do pozyskania środków zewnętrznych.</w:t>
      </w:r>
    </w:p>
    <w:p w14:paraId="3085D2E3" w14:textId="77777777" w:rsidR="00A77B3E" w:rsidRDefault="00165306">
      <w:pPr>
        <w:keepNext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Niniejszy załącznik nie zawiera obciążeń miasta z tytułu odszkodowań w trybie art. 36 ust. 1 ustawy.</w:t>
      </w:r>
    </w:p>
    <w:p w14:paraId="18F817E6" w14:textId="77777777" w:rsidR="00A77B3E" w:rsidRDefault="00165306">
      <w:pPr>
        <w:keepNext/>
        <w:keepLines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14:paraId="00B98656" w14:textId="77777777" w:rsidR="00A77B3E" w:rsidRDefault="00165306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704CBD" w14:paraId="304C6608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63320F" w14:textId="77777777" w:rsidR="00704CBD" w:rsidRDefault="00704CBD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8458B8" w14:textId="77777777" w:rsidR="00704CBD" w:rsidRDefault="00165306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 Rady 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14:paraId="7DF31CEA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6"/>
          <w:endnotePr>
            <w:numFmt w:val="decimal"/>
          </w:endnotePr>
          <w:pgSz w:w="11906" w:h="16838"/>
          <w:pgMar w:top="1134" w:right="1020" w:bottom="1134" w:left="1020" w:header="708" w:footer="708" w:gutter="0"/>
          <w:pgNumType w:start="1"/>
          <w:cols w:space="708"/>
          <w:docGrid w:linePitch="360"/>
        </w:sectPr>
      </w:pPr>
    </w:p>
    <w:p w14:paraId="72A93F4E" w14:textId="77777777" w:rsidR="00A77B3E" w:rsidRDefault="00165306">
      <w:pPr>
        <w:keepNext/>
        <w:spacing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                    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>z dnia                           r.</w:t>
      </w:r>
      <w:r>
        <w:rPr>
          <w:color w:val="000000"/>
          <w:u w:color="000000"/>
        </w:rPr>
        <w:br/>
      </w:r>
      <w:hyperlink r:id="rId27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14:paraId="61EE8EBE" w14:textId="77777777" w:rsidR="00A77B3E" w:rsidRDefault="00165306">
      <w:pPr>
        <w:keepNext/>
        <w:spacing w:after="280"/>
        <w:jc w:val="center"/>
        <w:rPr>
          <w:color w:val="000000"/>
          <w:u w:color="000000"/>
        </w:rPr>
        <w:sectPr w:rsidR="00A77B3E">
          <w:footerReference w:type="default" r:id="rId28"/>
          <w:endnotePr>
            <w:numFmt w:val="decimal"/>
          </w:endnotePr>
          <w:pgSz w:w="11906" w:h="16838"/>
          <w:pgMar w:top="1134" w:right="1020" w:bottom="1134" w:left="1020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przestrzenne, o których mowa w art. 67a ust. 3 ustawy z dnia 27 marca 2003 r. o planowaniu i zagospodarowaniu przestrzennym</w:t>
      </w:r>
    </w:p>
    <w:p w14:paraId="17E6EF29" w14:textId="77777777" w:rsidR="00704CBD" w:rsidRDefault="00704CBD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1171AD19" w14:textId="77777777" w:rsidR="00704CBD" w:rsidRDefault="00165306">
      <w:pPr>
        <w:spacing w:line="360" w:lineRule="auto"/>
        <w:jc w:val="center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14:paraId="510A4A35" w14:textId="77777777" w:rsidR="00704CBD" w:rsidRDefault="00165306">
      <w:pPr>
        <w:spacing w:before="120" w:after="120"/>
        <w:jc w:val="center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t xml:space="preserve">do projektu uchwały w sprawie uchwalenia miejscowego planu </w:t>
      </w:r>
      <w:r>
        <w:rPr>
          <w:b/>
          <w:color w:val="000000"/>
          <w:szCs w:val="20"/>
          <w:shd w:val="clear" w:color="auto" w:fill="FFFFFF"/>
          <w:lang w:val="x-none" w:eastAsia="en-US" w:bidi="ar-SA"/>
        </w:rPr>
        <w:t>zagospodarowania przestrzennego dla części obszaru miasta Łodzi położonej w rejonie ulic Grabińskiej i Jana Kasprowicza.</w:t>
      </w:r>
    </w:p>
    <w:p w14:paraId="12CDC0F4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Projekt planu (wraz z „Prognozą oddziaływania na środowisko” i „Prognozą skutków finansowych uchwalenia planu miejscowego”) został opra</w:t>
      </w:r>
      <w:r>
        <w:rPr>
          <w:color w:val="000000"/>
          <w:szCs w:val="20"/>
          <w:shd w:val="clear" w:color="auto" w:fill="FFFFFF"/>
          <w:lang w:val="x-none" w:eastAsia="en-US" w:bidi="ar-SA"/>
        </w:rPr>
        <w:t>cowany na podstawie uchwały Nr LIV/1641/22 Rady Miejskiej w Łodzi z dnia 19 stycznia 2022 r. w sprawie przystąpienia do sporządzenia miejscowego planu zagospodarowania przestrzennego dla części obszaru miasta Łodzi położonej w rejonie ulic Grabińskiej i Ja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na Kasprowicza. Powierzchnia obszaru objętego ustaleniami planu wynosi </w:t>
      </w:r>
      <w:r>
        <w:rPr>
          <w:color w:val="000000"/>
          <w:szCs w:val="20"/>
          <w:shd w:val="clear" w:color="auto" w:fill="FFFFFF"/>
        </w:rPr>
        <w:t xml:space="preserve">                    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ok.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4,0 ha.</w:t>
      </w:r>
    </w:p>
    <w:p w14:paraId="7A70011E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Przedmiotem planu, zgodnie z jego uchwałą inicjującą, jest ustalenie przeznaczenia i sposobu zagospodarowania terenów zgodnie z wymogami ładu przestrzen</w:t>
      </w:r>
      <w:r>
        <w:rPr>
          <w:color w:val="000000"/>
          <w:szCs w:val="20"/>
          <w:shd w:val="clear" w:color="auto" w:fill="FFFFFF"/>
          <w:lang w:val="x-none" w:eastAsia="en-US" w:bidi="ar-SA"/>
        </w:rPr>
        <w:t>nego oraz realizowaną polityką przestrzenną miasta określoną w obowiązującym Studium uwarunkowań i kierunków zagospodarowania przestrzennego miasta Łodzi uchwalonego uchwałą Nr LXIX/1753/18 Rady Miejskiej w Łodzi z dnia 28 marca 2018 r., zmienion</w:t>
      </w:r>
      <w:r>
        <w:rPr>
          <w:color w:val="000000"/>
          <w:szCs w:val="20"/>
          <w:shd w:val="clear" w:color="auto" w:fill="FFFFFF"/>
        </w:rPr>
        <w:t>ą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uchwałam</w:t>
      </w:r>
      <w:r>
        <w:rPr>
          <w:color w:val="000000"/>
          <w:szCs w:val="20"/>
          <w:shd w:val="clear" w:color="auto" w:fill="FFFFFF"/>
          <w:lang w:val="x-none" w:eastAsia="en-US" w:bidi="ar-SA"/>
        </w:rPr>
        <w:t>i Rady Miejskiej w Łodzi Nr VI/215/19 z dnia 6 marca 2019 r. i Nr LII/1605/21 z dnia 22 grudnia 2021 r.</w:t>
      </w:r>
    </w:p>
    <w:p w14:paraId="35E7C9BF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Projekt przedstawionej uchwały jest zgodny z ww. obowiązującym Studium uwarunkowań i kierunków zagospodarowania przestrzennego miasta Łodzi. W Studium 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bszar opracowania położony jest całości terenu zabudowy mieszkaniowej jednorodzinnej (M3). </w:t>
      </w:r>
    </w:p>
    <w:p w14:paraId="183362F4" w14:textId="77777777" w:rsidR="00704CBD" w:rsidRDefault="00165306">
      <w:pPr>
        <w:spacing w:before="10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Na obszarze, dla którego sporządzono niniejszy projekt planu obowiązuje miejscowy plan zagospodarowania przestrzennego zgodnie z podjętą uchwałą Nr XLIX/1508/21 Rad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y Miejskiej </w:t>
      </w:r>
      <w:r>
        <w:rPr>
          <w:color w:val="000000"/>
          <w:szCs w:val="20"/>
          <w:shd w:val="clear" w:color="auto" w:fill="FFFFFF"/>
        </w:rPr>
        <w:t xml:space="preserve">            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 Łodzi z dnia 20 października 2021 r. w sprawie uchwalenia miejscowego planu zagospodarowania przestrzennego dla części obszaru miasta Łodzi położonej w rejonie ulic: Brzezińskiej, Pomorskiej, Jugosłowiańskiej, Wiączyńskiej, J. Ka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sprowicza, Grabińskiej </w:t>
      </w:r>
      <w:r>
        <w:rPr>
          <w:color w:val="000000"/>
          <w:szCs w:val="20"/>
          <w:shd w:val="clear" w:color="auto" w:fill="FFFFFF"/>
        </w:rPr>
        <w:t xml:space="preserve">                              </w:t>
      </w:r>
      <w:r>
        <w:rPr>
          <w:color w:val="000000"/>
          <w:szCs w:val="20"/>
          <w:shd w:val="clear" w:color="auto" w:fill="FFFFFF"/>
          <w:lang w:val="x-none" w:eastAsia="en-US" w:bidi="ar-SA"/>
        </w:rPr>
        <w:t>i Byszewskiej – obszaru centrum osiedla Nowosolna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</w:t>
      </w:r>
      <w:r>
        <w:rPr>
          <w:color w:val="000000"/>
          <w:szCs w:val="20"/>
          <w:shd w:val="clear" w:color="auto" w:fill="FFFFFF"/>
        </w:rPr>
        <w:t xml:space="preserve">Dz. Urz. Woj. Łódzkiego,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poz. 5802). Tereny objęte niniejszą uchwałą przeznaczone są w obowiązującym planie pod zabudowę mieszkaniową jednorodzinną i us</w:t>
      </w:r>
      <w:r>
        <w:rPr>
          <w:color w:val="000000"/>
          <w:szCs w:val="20"/>
          <w:shd w:val="clear" w:color="auto" w:fill="FFFFFF"/>
          <w:lang w:val="x-none" w:eastAsia="en-US" w:bidi="ar-SA"/>
        </w:rPr>
        <w:t>ługi lokalne – fragmenty terenów 2.1MN i 2.2MN (projektem planu objęte są fragmenty tych terenów), projekt planu obejmuje również teren d</w:t>
      </w:r>
      <w:r>
        <w:rPr>
          <w:color w:val="000000"/>
          <w:szCs w:val="20"/>
          <w:shd w:val="clear" w:color="auto" w:fill="FFFFFF"/>
        </w:rPr>
        <w:t>r</w:t>
      </w:r>
      <w:r>
        <w:rPr>
          <w:color w:val="000000"/>
          <w:szCs w:val="20"/>
          <w:shd w:val="clear" w:color="auto" w:fill="FFFFFF"/>
          <w:lang w:val="x-none" w:eastAsia="en-US" w:bidi="ar-SA"/>
        </w:rPr>
        <w:t>ogi publicznej – 2.2KDD.</w:t>
      </w:r>
    </w:p>
    <w:p w14:paraId="0667F7D2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Celem prac planistycznych jest zmiana przebiegu projektowanej drogi o symbolu 2.2KDD w obowią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zującym planie z 20 października 2021 r. w celu umożliwienia prawidłowego funkcjonowania boiska piłkarskiego zlokalizowanego na dz. o nr ew. 222/11, obręb W-45, zgodnie </w:t>
      </w:r>
      <w:r>
        <w:rPr>
          <w:color w:val="000000"/>
          <w:szCs w:val="20"/>
          <w:shd w:val="clear" w:color="auto" w:fill="FFFFFF"/>
        </w:rPr>
        <w:t xml:space="preserve">  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 obowiązującymi przepisami. Powyższe stanowi realizację zobowiązania podjętego dnia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 xml:space="preserve">                      </w:t>
      </w:r>
      <w:r>
        <w:rPr>
          <w:color w:val="000000"/>
          <w:szCs w:val="20"/>
          <w:shd w:val="clear" w:color="auto" w:fill="FFFFFF"/>
          <w:lang w:val="x-none" w:eastAsia="en-US" w:bidi="ar-SA"/>
        </w:rPr>
        <w:t>7 października 2021 r. przez Pierwszego Wiceprezydenta Miasta Łodzi w sprawie przystąpienia do punktowych zmian ww. miejscowego planu.</w:t>
      </w:r>
    </w:p>
    <w:p w14:paraId="5D9AEA36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 projekcie planu, oprócz terenów zabudowy mieszkaniowej jednorodzinnej lub usług, </w:t>
      </w: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>(z wykluczeniem</w:t>
      </w: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 usług handlu, kultu religijnego, bezpieczeństwa i porządku publicznego</w:t>
      </w:r>
      <w:r>
        <w:rPr>
          <w:color w:val="000000"/>
          <w:sz w:val="22"/>
          <w:szCs w:val="20"/>
          <w:shd w:val="clear" w:color="auto" w:fill="FFFFFF"/>
        </w:rPr>
        <w:t>)</w:t>
      </w:r>
      <w:r>
        <w:rPr>
          <w:color w:val="000000"/>
          <w:sz w:val="22"/>
          <w:szCs w:val="20"/>
          <w:shd w:val="clear" w:color="auto" w:fill="FFFFFF"/>
          <w:lang w:val="x-none" w:eastAsia="en-US" w:bidi="ar-SA"/>
        </w:rPr>
        <w:t xml:space="preserve">, wyznaczono również teren usług sportu i rekreacji - obejmujący istniejący kompleks sportowy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oraz teren komunikacji drogowej publicznej - </w:t>
      </w:r>
      <w:r>
        <w:rPr>
          <w:color w:val="000000"/>
          <w:szCs w:val="20"/>
          <w:shd w:val="clear" w:color="auto" w:fill="FFFFFF"/>
        </w:rPr>
        <w:t>teren drogi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dojazdowej - zapewniający ciągłość radialnego układu komunikacyjnego. </w:t>
      </w:r>
    </w:p>
    <w:p w14:paraId="1B17F8EE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Wskazane w planie przeznaczenie te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renów jest skutkiem uwzględnienia istniejącego zagospodarowania, przesądzeń planistycznych wynikających z obowiązującego miejscowego planu z 20 października 2021 r. oraz polityki przestrzennej Miasta. Ustalenia zawarte w projekcie umożliwiają prawidłowe fu</w:t>
      </w:r>
      <w:r>
        <w:rPr>
          <w:color w:val="000000"/>
          <w:szCs w:val="20"/>
          <w:shd w:val="clear" w:color="auto" w:fill="FFFFFF"/>
          <w:lang w:val="x-none" w:eastAsia="en-US" w:bidi="ar-SA"/>
        </w:rPr>
        <w:t>nkcjonowanie obszaru oraz jego dalszy rozwój funkcjonalno-przestrzenny w nawiązaniu do historycznego układu urbanistycznego osiedla Nowosolna.</w:t>
      </w:r>
    </w:p>
    <w:p w14:paraId="01B577BD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 xml:space="preserve">Rysunek planu stanowiący Załącznik Nr 1 do uchwały wykonano na mapie sytuacyjno-wysokościowej w skali 1:1000. </w:t>
      </w:r>
    </w:p>
    <w:p w14:paraId="29BF46C2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Us</w:t>
      </w:r>
      <w:r>
        <w:rPr>
          <w:color w:val="000000"/>
          <w:szCs w:val="20"/>
          <w:shd w:val="clear" w:color="auto" w:fill="FFFFFF"/>
          <w:lang w:val="x-none" w:eastAsia="en-US" w:bidi="ar-SA"/>
        </w:rPr>
        <w:t>talenia projektu planu miejscowego określają przeznaczenie, zasady zabudowy i zagospodarowania terenu, wymagania wynikające z potrzeb kształtowania przestrzeni publicznych, zasady prawidłowej obsługi komunikacyjnej w powiązaniu z istniejącym układem komuni</w:t>
      </w:r>
      <w:r>
        <w:rPr>
          <w:color w:val="000000"/>
          <w:szCs w:val="20"/>
          <w:shd w:val="clear" w:color="auto" w:fill="FFFFFF"/>
          <w:lang w:val="x-none" w:eastAsia="en-US" w:bidi="ar-SA"/>
        </w:rPr>
        <w:t>kacyjnym miasta oraz systemowe rozwiązania w zakresie infrastruktury technicznej.</w:t>
      </w:r>
    </w:p>
    <w:p w14:paraId="2A0A43B1" w14:textId="77777777" w:rsidR="00704CBD" w:rsidRDefault="00165306">
      <w:pPr>
        <w:spacing w:before="10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Procedura formalno-prawna sporządzenia planu miejscowego została przeprowadzona w trybie art. 17 ustawy z dnia 27 marca 2003 r. o planowaniu i zagospodarowaniu przestrzennym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 U. z 2022 r. poz. 503, 1846</w:t>
      </w:r>
      <w:r>
        <w:rPr>
          <w:color w:val="000000"/>
          <w:szCs w:val="20"/>
          <w:shd w:val="clear" w:color="auto" w:fill="FFFFFF"/>
        </w:rPr>
        <w:t xml:space="preserve">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2185</w:t>
      </w:r>
      <w:r>
        <w:rPr>
          <w:color w:val="000000"/>
          <w:szCs w:val="20"/>
          <w:shd w:val="clear" w:color="auto" w:fill="FFFFFF"/>
        </w:rPr>
        <w:t xml:space="preserve"> i 2747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66D3A528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t>I. Realizacja wymogów wynikających z art. 1 ust. 2 - 4 ustawy z dnia 27 marca 2003 r. o planowaniu i zagospodarowaniu przestrzennym.</w:t>
      </w:r>
    </w:p>
    <w:p w14:paraId="6073D0C9" w14:textId="77777777" w:rsidR="00704CBD" w:rsidRDefault="00165306">
      <w:pPr>
        <w:numPr>
          <w:ilvl w:val="0"/>
          <w:numId w:val="1"/>
        </w:numPr>
        <w:spacing w:before="120" w:after="120"/>
        <w:ind w:left="284" w:hanging="284"/>
        <w:contextualSpacing/>
        <w:rPr>
          <w:szCs w:val="20"/>
          <w:lang w:val="x-none" w:eastAsia="en-US" w:bidi="ar-SA"/>
        </w:rPr>
      </w:pPr>
      <w:r>
        <w:rPr>
          <w:szCs w:val="20"/>
          <w:u w:val="single" w:color="000000"/>
          <w:lang w:val="x-none" w:eastAsia="en-US" w:bidi="ar-SA"/>
        </w:rPr>
        <w:t>W projekcie planu uwzględniono:</w:t>
      </w:r>
    </w:p>
    <w:p w14:paraId="561DA661" w14:textId="77777777" w:rsidR="00704CBD" w:rsidRDefault="00165306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wymagania ładu przestrzennego, w tym urbani</w:t>
      </w:r>
      <w:r>
        <w:rPr>
          <w:szCs w:val="20"/>
          <w:lang w:val="x-none" w:eastAsia="en-US" w:bidi="ar-SA"/>
        </w:rPr>
        <w:t>styki i architektury oraz walory architektoniczne i krajobrazowe zwłaszcza poprzez: określenie przeznaczenia terenów, spójne z dotychczasowymi założeniami i tendencjami w rozwoju obszaru oraz polityką przestrzenną Miasta wyrażoną w Studium uwarunkowań i ki</w:t>
      </w:r>
      <w:r>
        <w:rPr>
          <w:szCs w:val="20"/>
          <w:lang w:val="x-none" w:eastAsia="en-US" w:bidi="ar-SA"/>
        </w:rPr>
        <w:t>erunków zagospodarowania przestrzennego, precyzujące założenia urbanistyczne dla jego funkcjonowania oraz szanujące warunki krajobrazowe i środowiskowe, poprzez określenie zasad kształtowania zabudowy zgodnie z wyznaczonymi na rysunku planu liniami zabudow</w:t>
      </w:r>
      <w:r>
        <w:rPr>
          <w:szCs w:val="20"/>
          <w:lang w:val="x-none" w:eastAsia="en-US" w:bidi="ar-SA"/>
        </w:rPr>
        <w:t>y oraz wskaźnikami i parametrami ujętymi w tekście planu oraz poprzez określenie kolorystyki oraz materiałów wykończeniowych elewacji i dachów dla budynków;</w:t>
      </w:r>
    </w:p>
    <w:p w14:paraId="4A84BEA4" w14:textId="77777777" w:rsidR="00704CBD" w:rsidRDefault="00165306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wymagania ochrony środowiska poprzez wprowadzenie ograniczeń, zakazów i nakazów w zakresie wykorzys</w:t>
      </w:r>
      <w:r>
        <w:rPr>
          <w:szCs w:val="20"/>
          <w:lang w:val="x-none" w:eastAsia="en-US" w:bidi="ar-SA"/>
        </w:rPr>
        <w:t xml:space="preserve">tywania terenów - </w:t>
      </w:r>
      <w:r>
        <w:rPr>
          <w:szCs w:val="20"/>
          <w:shd w:val="clear" w:color="auto" w:fill="FFFFFF"/>
          <w:lang w:val="x-none" w:eastAsia="en-US" w:bidi="ar-SA"/>
        </w:rPr>
        <w:t xml:space="preserve">w projekcie planu dopuszczono wykorzystanie odnawialnych źródeł energii dla realizacji zaopatrzenia w energię elektryczną i ciepło </w:t>
      </w:r>
      <w:r>
        <w:rPr>
          <w:szCs w:val="20"/>
          <w:shd w:val="clear" w:color="auto" w:fill="FFFFFF"/>
        </w:rPr>
        <w:t xml:space="preserve">                    </w:t>
      </w:r>
      <w:r>
        <w:rPr>
          <w:szCs w:val="20"/>
          <w:shd w:val="clear" w:color="auto" w:fill="FFFFFF"/>
          <w:lang w:val="x-none" w:eastAsia="en-US" w:bidi="ar-SA"/>
        </w:rPr>
        <w:t>o mocy przekraczającej 100 kW wyłącznie w zakresie wykorzystania energii słonecznej, kt</w:t>
      </w:r>
      <w:r>
        <w:rPr>
          <w:szCs w:val="20"/>
          <w:shd w:val="clear" w:color="auto" w:fill="FFFFFF"/>
          <w:lang w:val="x-none" w:eastAsia="en-US" w:bidi="ar-SA"/>
        </w:rPr>
        <w:t xml:space="preserve">órych oddziaływanie na środowisko nie będzie wykraczać poza wyznaczone na rysunku projektu planu linie rozgraniczające poszczególne tereny. W związku z powyższym </w:t>
      </w:r>
      <w:r>
        <w:rPr>
          <w:szCs w:val="20"/>
          <w:shd w:val="clear" w:color="auto" w:fill="FFFFFF"/>
        </w:rPr>
        <w:t xml:space="preserve">                     </w:t>
      </w:r>
      <w:r>
        <w:rPr>
          <w:szCs w:val="20"/>
          <w:shd w:val="clear" w:color="auto" w:fill="FFFFFF"/>
          <w:lang w:val="x-none" w:eastAsia="en-US" w:bidi="ar-SA"/>
        </w:rPr>
        <w:t xml:space="preserve">w projekcie planu </w:t>
      </w:r>
      <w:r>
        <w:rPr>
          <w:szCs w:val="20"/>
          <w:lang w:val="x-none" w:eastAsia="en-US" w:bidi="ar-SA"/>
        </w:rPr>
        <w:t xml:space="preserve">nie wyznaczono granic stref ochronnych </w:t>
      </w:r>
      <w:r>
        <w:rPr>
          <w:szCs w:val="20"/>
          <w:lang w:val="x-none" w:eastAsia="en-US" w:bidi="ar-SA"/>
        </w:rPr>
        <w:t>związanych z ograniczeniami w zabudowie oraz zagospodarowaniu i użytkowaniu terenu oraz występowania znaczącego oddziaływania na środowisko od ww. odnawialnych źródeł energii;</w:t>
      </w:r>
    </w:p>
    <w:p w14:paraId="61926687" w14:textId="77777777" w:rsidR="00704CBD" w:rsidRDefault="00165306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wymagania ochrony zdrowia oraz bezpieczeństwa ludzi i mienia, a także potrzeby o</w:t>
      </w:r>
      <w:r>
        <w:rPr>
          <w:szCs w:val="20"/>
          <w:lang w:val="x-none" w:eastAsia="en-US" w:bidi="ar-SA"/>
        </w:rPr>
        <w:t xml:space="preserve">sób ze szczególnymi potrzebami, o których mowa w </w:t>
      </w:r>
      <w:hyperlink r:id="rId29" w:anchor="/document/18889037?cm=DOCUMENT" w:history="1">
        <w:r>
          <w:rPr>
            <w:szCs w:val="20"/>
            <w:lang w:val="x-none" w:eastAsia="en-US" w:bidi="ar-SA"/>
          </w:rPr>
          <w:t>ustawie</w:t>
        </w:r>
      </w:hyperlink>
      <w:r>
        <w:rPr>
          <w:szCs w:val="20"/>
          <w:lang w:val="x-none" w:eastAsia="en-US" w:bidi="ar-SA"/>
        </w:rPr>
        <w:t xml:space="preserve"> z dnia 19 lipca 2019 r. o zapewnianiu dostępności osobom ze szczególnymi potrzebami (Dz. U. z 2022 r. poz. 2240) poprzez:</w:t>
      </w:r>
    </w:p>
    <w:p w14:paraId="487437C9" w14:textId="77777777" w:rsidR="00704CBD" w:rsidRDefault="00165306">
      <w:pPr>
        <w:numPr>
          <w:ilvl w:val="0"/>
          <w:numId w:val="3"/>
        </w:numPr>
        <w:spacing w:after="100"/>
        <w:ind w:left="1134" w:hanging="296"/>
        <w:contextualSpacing/>
        <w:rPr>
          <w:szCs w:val="20"/>
          <w:lang w:val="x-none" w:eastAsia="en-US" w:bidi="ar-SA"/>
        </w:rPr>
      </w:pPr>
      <w:r>
        <w:rPr>
          <w:szCs w:val="20"/>
          <w:shd w:val="clear" w:color="auto" w:fill="FFFFFF"/>
          <w:lang w:val="x-none" w:eastAsia="en-US" w:bidi="ar-SA"/>
        </w:rPr>
        <w:t>ustal</w:t>
      </w:r>
      <w:r>
        <w:rPr>
          <w:szCs w:val="20"/>
          <w:shd w:val="clear" w:color="auto" w:fill="FFFFFF"/>
          <w:lang w:val="x-none" w:eastAsia="en-US" w:bidi="ar-SA"/>
        </w:rPr>
        <w:t>enie zasad ochrony środowiska, wymagań wynikających z potrzeb kształtowania przestrzeni publicznych oraz zasad w zakresie miejsc parkingowych przeznaczonych na parkowanie pojazdów zaopatrzonych w kartę parkingową,</w:t>
      </w:r>
    </w:p>
    <w:p w14:paraId="2D8D05B1" w14:textId="77777777" w:rsidR="00704CBD" w:rsidRDefault="00165306">
      <w:pPr>
        <w:numPr>
          <w:ilvl w:val="0"/>
          <w:numId w:val="3"/>
        </w:numPr>
        <w:spacing w:after="100"/>
        <w:ind w:left="1134" w:hanging="296"/>
        <w:contextualSpacing/>
        <w:rPr>
          <w:szCs w:val="20"/>
          <w:lang w:val="x-none" w:eastAsia="en-US" w:bidi="ar-SA"/>
        </w:rPr>
      </w:pPr>
      <w:r>
        <w:rPr>
          <w:szCs w:val="20"/>
          <w:shd w:val="clear" w:color="auto" w:fill="FFFFFF"/>
          <w:lang w:val="x-none" w:eastAsia="en-US" w:bidi="ar-SA"/>
        </w:rPr>
        <w:t>ograniczenie wysokości obiektów budowlanyc</w:t>
      </w:r>
      <w:r>
        <w:rPr>
          <w:szCs w:val="20"/>
          <w:shd w:val="clear" w:color="auto" w:fill="FFFFFF"/>
          <w:lang w:val="x-none" w:eastAsia="en-US" w:bidi="ar-SA"/>
        </w:rPr>
        <w:t>h na całym obszarze planu do maksymalnie 40,0 m, co uniemożliwia lokalizowanie obiektów stanowiących przeszkody lotnicze oraz obiektów przekraczających powierzchnie ograniczające lotniska;</w:t>
      </w:r>
    </w:p>
    <w:p w14:paraId="162031D1" w14:textId="77777777" w:rsidR="00704CBD" w:rsidRDefault="00165306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 xml:space="preserve">walory ekonomiczne przestrzeni poprzez racjonalnie </w:t>
      </w:r>
      <w:r>
        <w:rPr>
          <w:szCs w:val="20"/>
          <w:lang w:val="x-none" w:eastAsia="en-US" w:bidi="ar-SA"/>
        </w:rPr>
        <w:t>wykorzystanie istniejącego zagospodarowania terenu;</w:t>
      </w:r>
    </w:p>
    <w:p w14:paraId="6C23E295" w14:textId="77777777" w:rsidR="00704CBD" w:rsidRDefault="00165306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prawo własności, wyznaczając liniami rozgraniczającymi tereny przeznaczone pod inwestycje celu publicznego oraz w sposób nieingerujący w nieruchomości stanowiące własność prywatną;</w:t>
      </w:r>
    </w:p>
    <w:p w14:paraId="37B86F28" w14:textId="77777777" w:rsidR="00704CBD" w:rsidRDefault="00165306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potrzeby obronności i b</w:t>
      </w:r>
      <w:r>
        <w:rPr>
          <w:szCs w:val="20"/>
          <w:lang w:val="x-none" w:eastAsia="en-US" w:bidi="ar-SA"/>
        </w:rPr>
        <w:t>ezpieczeństwa państwa poprzez uzyskanie uzgodnień z właściwymi organami wojskowymi, ochrony granic oraz bezpieczeństwa państwa;</w:t>
      </w:r>
    </w:p>
    <w:p w14:paraId="398D2347" w14:textId="77777777" w:rsidR="00704CBD" w:rsidRDefault="00165306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lastRenderedPageBreak/>
        <w:t>potrzeby interesu publicznego poprzez wskazanie w projekcie planu terenów przestrzeni publicznych oraz ustaleń z zakresu infrast</w:t>
      </w:r>
      <w:r>
        <w:rPr>
          <w:szCs w:val="20"/>
          <w:lang w:val="x-none" w:eastAsia="en-US" w:bidi="ar-SA"/>
        </w:rPr>
        <w:t xml:space="preserve">ruktury technicznej; </w:t>
      </w:r>
    </w:p>
    <w:p w14:paraId="768F3B26" w14:textId="77777777" w:rsidR="00704CBD" w:rsidRDefault="00165306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potrzeby w zakresie rozwoju infrastruktury technicznej, w szczególności sieci szerokopasmowych, określając możliwość wyposażenia terenów w sieci i urządzenia infrastruktury technicznej oraz precyzując zasady ich realizacji;</w:t>
      </w:r>
    </w:p>
    <w:p w14:paraId="6FDD1145" w14:textId="77777777" w:rsidR="00704CBD" w:rsidRDefault="00165306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zapewnieni</w:t>
      </w:r>
      <w:r>
        <w:rPr>
          <w:szCs w:val="20"/>
          <w:lang w:val="x-none" w:eastAsia="en-US" w:bidi="ar-SA"/>
        </w:rPr>
        <w:t>e udziału społeczeństwa w pracach nad miejscowym planem zagospodarowania przestrzennego, w tym przy użyciu środków komunikacji elektronicznej, oraz zachowanie jawności i przejrzystości procedur planistycznych poprzez:</w:t>
      </w:r>
    </w:p>
    <w:p w14:paraId="0EEC76A3" w14:textId="77777777" w:rsidR="00704CBD" w:rsidRDefault="00165306">
      <w:pPr>
        <w:spacing w:after="100"/>
        <w:ind w:left="1134" w:hanging="296"/>
        <w:contextualSpacing/>
        <w:rPr>
          <w:szCs w:val="20"/>
          <w:lang w:val="x-none" w:eastAsia="en-US" w:bidi="ar-SA"/>
        </w:rPr>
      </w:pPr>
      <w:r>
        <w:rPr>
          <w:szCs w:val="20"/>
          <w:shd w:val="clear" w:color="auto" w:fill="FFFFFF"/>
        </w:rPr>
        <w:t xml:space="preserve">a) </w:t>
      </w:r>
      <w:r>
        <w:rPr>
          <w:szCs w:val="20"/>
          <w:shd w:val="clear" w:color="auto" w:fill="FFFFFF"/>
        </w:rPr>
        <w:tab/>
      </w:r>
      <w:r>
        <w:rPr>
          <w:szCs w:val="20"/>
          <w:shd w:val="clear" w:color="auto" w:fill="FFFFFF"/>
          <w:lang w:val="x-none" w:eastAsia="en-US" w:bidi="ar-SA"/>
        </w:rPr>
        <w:t>podanie do publicznej wiadomości i</w:t>
      </w:r>
      <w:r>
        <w:rPr>
          <w:szCs w:val="20"/>
          <w:shd w:val="clear" w:color="auto" w:fill="FFFFFF"/>
          <w:lang w:val="x-none" w:eastAsia="en-US" w:bidi="ar-SA"/>
        </w:rPr>
        <w:t>nformacji o przystąpieniu do sporządzenia projektu planu,  zgodnie z wymogami przepisów ustawy z dnia 27 marca 2003 r. o planowaniu i zagospodarowaniu przestrzennym oraz ustawy z dnia 3 października 2008 r. o udostępnianiu informacji o środowisku i jego oc</w:t>
      </w:r>
      <w:r>
        <w:rPr>
          <w:szCs w:val="20"/>
          <w:shd w:val="clear" w:color="auto" w:fill="FFFFFF"/>
          <w:lang w:val="x-none" w:eastAsia="en-US" w:bidi="ar-SA"/>
        </w:rPr>
        <w:t>hronie, udziale społeczeństwa w ochronie środowiska oraz o ocenach oddziaływania na środowisko (Dz. U. z 2022 r. poz. 1029, 1260, 1261, 1783, 1846</w:t>
      </w:r>
      <w:r>
        <w:rPr>
          <w:szCs w:val="20"/>
          <w:shd w:val="clear" w:color="auto" w:fill="FFFFFF"/>
        </w:rPr>
        <w:t xml:space="preserve">, </w:t>
      </w:r>
      <w:r>
        <w:rPr>
          <w:szCs w:val="20"/>
          <w:shd w:val="clear" w:color="auto" w:fill="FFFFFF"/>
          <w:lang w:val="x-none" w:eastAsia="en-US" w:bidi="ar-SA"/>
        </w:rPr>
        <w:t>2185</w:t>
      </w:r>
      <w:r>
        <w:rPr>
          <w:szCs w:val="20"/>
          <w:shd w:val="clear" w:color="auto" w:fill="FFFFFF"/>
        </w:rPr>
        <w:t xml:space="preserve"> i 2687</w:t>
      </w:r>
      <w:r>
        <w:rPr>
          <w:szCs w:val="20"/>
          <w:shd w:val="clear" w:color="auto" w:fill="FFFFFF"/>
          <w:lang w:val="x-none" w:eastAsia="en-US" w:bidi="ar-SA"/>
        </w:rPr>
        <w:t>), w formie ogłoszeń w prasie, obwieszczeń zawieszonych na tablicy ogłoszeń oraz zamieszczonych n</w:t>
      </w:r>
      <w:r>
        <w:rPr>
          <w:szCs w:val="20"/>
          <w:shd w:val="clear" w:color="auto" w:fill="FFFFFF"/>
          <w:lang w:val="x-none" w:eastAsia="en-US" w:bidi="ar-SA"/>
        </w:rPr>
        <w:t>a stronie internetowej Miejskiej Pracowni Urbanistycznej w Łodzi,</w:t>
      </w:r>
    </w:p>
    <w:p w14:paraId="208FF45A" w14:textId="77777777" w:rsidR="00704CBD" w:rsidRDefault="00165306">
      <w:pPr>
        <w:spacing w:after="100"/>
        <w:ind w:left="1134" w:hanging="296"/>
        <w:contextualSpacing/>
        <w:rPr>
          <w:szCs w:val="20"/>
          <w:lang w:val="x-none" w:eastAsia="en-US" w:bidi="ar-SA"/>
        </w:rPr>
      </w:pPr>
      <w:r>
        <w:rPr>
          <w:szCs w:val="20"/>
          <w:shd w:val="clear" w:color="auto" w:fill="FFFFFF"/>
        </w:rPr>
        <w:t xml:space="preserve">b) </w:t>
      </w:r>
      <w:r>
        <w:rPr>
          <w:szCs w:val="20"/>
          <w:shd w:val="clear" w:color="auto" w:fill="FFFFFF"/>
          <w:lang w:val="x-none" w:eastAsia="en-US" w:bidi="ar-SA"/>
        </w:rPr>
        <w:t>bieżące informowanie osób zainteresowanych o prowadzonych pracach projektowych oraz możliwość zapoznania się z niezbędną dokumentacją sprawy;</w:t>
      </w:r>
    </w:p>
    <w:p w14:paraId="4D9DEFD2" w14:textId="77777777" w:rsidR="00704CBD" w:rsidRDefault="00165306">
      <w:pPr>
        <w:spacing w:after="100"/>
        <w:ind w:left="83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Plan miejscowy nie ma wpływu na uwzględnienie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 nim pozostałych wymagań, walorów </w:t>
      </w:r>
      <w:r>
        <w:rPr>
          <w:color w:val="000000"/>
          <w:szCs w:val="20"/>
          <w:shd w:val="clear" w:color="auto" w:fill="FFFFFF"/>
        </w:rPr>
        <w:t xml:space="preserve">             </w:t>
      </w:r>
      <w:r>
        <w:rPr>
          <w:color w:val="000000"/>
          <w:szCs w:val="20"/>
          <w:shd w:val="clear" w:color="auto" w:fill="FFFFFF"/>
          <w:lang w:val="x-none" w:eastAsia="en-US" w:bidi="ar-SA"/>
        </w:rPr>
        <w:t>i potrzeb, które uwzględnia się w planowaniu i zagospodarowaniu przestrzennym zgodnie  z art. 1 ust. 2 ww. ustawy.</w:t>
      </w:r>
    </w:p>
    <w:p w14:paraId="3F061DEF" w14:textId="77777777" w:rsidR="00704CBD" w:rsidRDefault="00165306">
      <w:pPr>
        <w:numPr>
          <w:ilvl w:val="0"/>
          <w:numId w:val="1"/>
        </w:numPr>
        <w:spacing w:before="120" w:after="120"/>
        <w:ind w:left="284" w:hanging="284"/>
        <w:contextualSpacing/>
        <w:rPr>
          <w:szCs w:val="20"/>
          <w:u w:val="single"/>
          <w:lang w:val="x-none" w:eastAsia="en-US" w:bidi="ar-SA"/>
        </w:rPr>
      </w:pPr>
      <w:r>
        <w:rPr>
          <w:szCs w:val="20"/>
          <w:u w:val="single" w:color="000000"/>
          <w:lang w:val="x-none" w:eastAsia="en-US" w:bidi="ar-SA"/>
        </w:rPr>
        <w:t>W projekcie planu nie uwzględniono</w:t>
      </w:r>
      <w:r>
        <w:rPr>
          <w:szCs w:val="20"/>
          <w:lang w:val="x-none" w:eastAsia="en-US" w:bidi="ar-SA"/>
        </w:rPr>
        <w:t>, ze względu na brak podstaw wynikających ze stanu faktycz</w:t>
      </w:r>
      <w:r>
        <w:rPr>
          <w:szCs w:val="20"/>
          <w:lang w:val="x-none" w:eastAsia="en-US" w:bidi="ar-SA"/>
        </w:rPr>
        <w:t>nego</w:t>
      </w:r>
    </w:p>
    <w:p w14:paraId="68B74113" w14:textId="77777777" w:rsidR="00704CBD" w:rsidRDefault="00165306">
      <w:pPr>
        <w:numPr>
          <w:ilvl w:val="0"/>
          <w:numId w:val="4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zasad ochrony dziedzictwa kulturowego i zabytków, w tym krajobrazów kulturowych, oraz dóbr kultury współczesnej;</w:t>
      </w:r>
    </w:p>
    <w:p w14:paraId="59485B47" w14:textId="77777777" w:rsidR="00704CBD" w:rsidRDefault="00165306">
      <w:pPr>
        <w:numPr>
          <w:ilvl w:val="0"/>
          <w:numId w:val="4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 xml:space="preserve">granic i sposobów zagospodarowania terenów górniczych, a także obszarów szczególnego zagrożenia powodzią, obszarów osuwania się mas </w:t>
      </w:r>
      <w:r>
        <w:rPr>
          <w:szCs w:val="20"/>
          <w:lang w:val="x-none" w:eastAsia="en-US" w:bidi="ar-SA"/>
        </w:rPr>
        <w:t>ziemnych, krajobrazów priorytetowych określonych w audycie krajobrazowym oraz w planach zagospodarowania przestrzennego województwa;</w:t>
      </w:r>
    </w:p>
    <w:p w14:paraId="47E2A9C7" w14:textId="77777777" w:rsidR="00704CBD" w:rsidRDefault="00165306">
      <w:pPr>
        <w:numPr>
          <w:ilvl w:val="0"/>
          <w:numId w:val="4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sposobu i terminu tymczasowego zagospodarowania, urządzania i użytkowania terenów.</w:t>
      </w:r>
    </w:p>
    <w:p w14:paraId="5D982237" w14:textId="77777777" w:rsidR="00704CBD" w:rsidRDefault="00165306">
      <w:pPr>
        <w:numPr>
          <w:ilvl w:val="0"/>
          <w:numId w:val="1"/>
        </w:numPr>
        <w:spacing w:before="120" w:after="120"/>
        <w:ind w:left="284" w:hanging="284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Wskazane na rysunku planu projektowane s</w:t>
      </w:r>
      <w:r>
        <w:rPr>
          <w:szCs w:val="20"/>
          <w:lang w:val="x-none" w:eastAsia="en-US" w:bidi="ar-SA"/>
        </w:rPr>
        <w:t>ieci infrastrukturalne wraz z ich strefami ochronnymi, kontrolowanymi oraz pasami ochronnymi całkowicie zawierają się w liniach rozgraniczających terenu drogi dojazdowej oznaczonej na rysunku planu symbolem 1KDD, a w przypadku projektowanej linii elektroen</w:t>
      </w:r>
      <w:r>
        <w:rPr>
          <w:szCs w:val="20"/>
          <w:lang w:val="x-none" w:eastAsia="en-US" w:bidi="ar-SA"/>
        </w:rPr>
        <w:t xml:space="preserve">ergetycznej kablowej średniego napięcia </w:t>
      </w:r>
      <w:r>
        <w:rPr>
          <w:szCs w:val="20"/>
        </w:rPr>
        <w:t xml:space="preserve">znajdują się </w:t>
      </w:r>
      <w:r>
        <w:rPr>
          <w:szCs w:val="20"/>
          <w:lang w:val="x-none" w:eastAsia="en-US" w:bidi="ar-SA"/>
        </w:rPr>
        <w:t>poza obszarem objętym projektem planu.</w:t>
      </w:r>
    </w:p>
    <w:p w14:paraId="3065798A" w14:textId="77777777" w:rsidR="00704CBD" w:rsidRDefault="00165306">
      <w:pPr>
        <w:numPr>
          <w:ilvl w:val="0"/>
          <w:numId w:val="1"/>
        </w:numPr>
        <w:spacing w:before="120" w:after="120"/>
        <w:ind w:left="284" w:hanging="284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 xml:space="preserve">Ustalając przeznaczenie terenu, a także określając sposób zagospodarowania i korzystania </w:t>
      </w:r>
      <w:r>
        <w:rPr>
          <w:szCs w:val="20"/>
          <w:lang w:val="x-none" w:eastAsia="en-US" w:bidi="ar-SA"/>
        </w:rPr>
        <w:br/>
        <w:t>z terenu, organ ważył interes publiczny i interesy prywatne, zmierzające d</w:t>
      </w:r>
      <w:r>
        <w:rPr>
          <w:szCs w:val="20"/>
          <w:lang w:val="x-none" w:eastAsia="en-US" w:bidi="ar-SA"/>
        </w:rPr>
        <w:t>o ochrony istniejącego stanu zagospodarowania terenu, jak i zmian w zakresie jego zagospodarowania, a także analizy ekonomiczne, środowiskowe i społeczne.</w:t>
      </w:r>
    </w:p>
    <w:p w14:paraId="3FF469A4" w14:textId="77777777" w:rsidR="00704CBD" w:rsidRDefault="00165306">
      <w:pPr>
        <w:numPr>
          <w:ilvl w:val="0"/>
          <w:numId w:val="1"/>
        </w:numPr>
        <w:spacing w:before="120" w:after="120"/>
        <w:ind w:left="284" w:hanging="284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Wyznaczając poszczególne tereny z możliwością sytuowania nowej zabudowy uwzględniono wymagania ładu p</w:t>
      </w:r>
      <w:r>
        <w:rPr>
          <w:szCs w:val="20"/>
          <w:lang w:val="x-none" w:eastAsia="en-US" w:bidi="ar-SA"/>
        </w:rPr>
        <w:t>rzestrzennego, efektywnego gospodarowania przestrzenią oraz walory ekonomiczne przestrzeni poprzez:</w:t>
      </w:r>
    </w:p>
    <w:p w14:paraId="1E858F7F" w14:textId="77777777" w:rsidR="00704CBD" w:rsidRDefault="00165306">
      <w:pPr>
        <w:numPr>
          <w:ilvl w:val="0"/>
          <w:numId w:val="5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zaprojektowanie systemu komunikacyjnego w optymalny sposób powiązanego z zewnętrznym układem komunikacyjnym;</w:t>
      </w:r>
    </w:p>
    <w:p w14:paraId="04DEC997" w14:textId="77777777" w:rsidR="00704CBD" w:rsidRDefault="00165306">
      <w:pPr>
        <w:numPr>
          <w:ilvl w:val="0"/>
          <w:numId w:val="5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zróżnicowanie struktury funkcjonalno-przestrzen</w:t>
      </w:r>
      <w:r>
        <w:rPr>
          <w:szCs w:val="20"/>
          <w:lang w:val="x-none" w:eastAsia="en-US" w:bidi="ar-SA"/>
        </w:rPr>
        <w:t>nej terenów, co prowadzi do komplementarności obszaru;</w:t>
      </w:r>
    </w:p>
    <w:p w14:paraId="71E86026" w14:textId="77777777" w:rsidR="00704CBD" w:rsidRDefault="00165306">
      <w:pPr>
        <w:numPr>
          <w:ilvl w:val="0"/>
          <w:numId w:val="5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ustalenie przeznaczenia, a także wskaźników i parametrów zabudowy i zagospodarowania terenów (w tym maksymalnej powierzchni zabudowy budynków mieszkalnych i usługowych oraz maksymalnej powierzchni użyt</w:t>
      </w:r>
      <w:r>
        <w:rPr>
          <w:szCs w:val="20"/>
          <w:lang w:val="x-none" w:eastAsia="en-US" w:bidi="ar-SA"/>
        </w:rPr>
        <w:t xml:space="preserve">kowej usług handlu ze względu na szczególnie dużą transportochłonność funkcji handlowej) w sposób dążący do optymalnego </w:t>
      </w:r>
      <w:r>
        <w:rPr>
          <w:szCs w:val="20"/>
          <w:lang w:val="x-none" w:eastAsia="en-US" w:bidi="ar-SA"/>
        </w:rPr>
        <w:lastRenderedPageBreak/>
        <w:t>wykorzystania przestrzeni poprzez uzupełnianie istniejącej zabudowy, tak aby zminimalizować transportochłonność układu przestrzennego.</w:t>
      </w:r>
    </w:p>
    <w:p w14:paraId="7ABD77C7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t>I</w:t>
      </w:r>
      <w:r>
        <w:rPr>
          <w:b/>
          <w:color w:val="000000"/>
          <w:szCs w:val="20"/>
          <w:shd w:val="clear" w:color="auto" w:fill="FFFFFF"/>
          <w:lang w:val="x-none" w:eastAsia="en-US" w:bidi="ar-SA"/>
        </w:rPr>
        <w:t>I. Zgodność z wynikami analizy dotyczącej oceny aktualności studium uwarunkowań i kierunków zagospodarowania przestrzennego oraz miejscowych planów zagospodarowania przestrzennego Łodzi.</w:t>
      </w:r>
    </w:p>
    <w:p w14:paraId="51A915BD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Ocena aktualności Studium uwarunkowań i kierunków </w:t>
      </w:r>
      <w:r>
        <w:rPr>
          <w:color w:val="000000"/>
          <w:szCs w:val="20"/>
          <w:shd w:val="clear" w:color="auto" w:fill="FFFFFF"/>
          <w:lang w:val="x-none" w:eastAsia="en-US" w:bidi="ar-SA"/>
        </w:rPr>
        <w:t>zagospodarowania przestrzennego oraz miejscowych planów zagospodarowania przestrzennego miasta Łodzi przyjęta uchwałą Nr LXXIX/2113/18 Rady Miejskiej w Łodzi z dnia 14 listopada 2018 r. w sprawie aktualności Studium uwarunkowań i kierunków zagospodarowania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przestrzennego oraz miejscowych planów zagospodarowania przestrzennego miasta Łodzi, nie przewiduje konieczności aktualizacji ustaleń Studium w odniesieniu do obszaru objętego projektem planu. W związku z powyższym projekt planu jest zgodny z wynikami ana</w:t>
      </w:r>
      <w:r>
        <w:rPr>
          <w:color w:val="000000"/>
          <w:szCs w:val="20"/>
          <w:shd w:val="clear" w:color="auto" w:fill="FFFFFF"/>
          <w:lang w:val="x-none" w:eastAsia="en-US" w:bidi="ar-SA"/>
        </w:rPr>
        <w:t>lizy dotyczącej oceny aktualności Studium. Podtrzymane zostają kierunki rozwoju ustalone w Studium.</w:t>
      </w:r>
    </w:p>
    <w:p w14:paraId="5EB3C4A8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t>III. Wpływ na finanse publiczne, w tym budżet gminy.</w:t>
      </w:r>
    </w:p>
    <w:p w14:paraId="318C486F" w14:textId="77777777" w:rsidR="00704CBD" w:rsidRDefault="00165306">
      <w:pPr>
        <w:spacing w:before="120" w:after="1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Sporządzona dla potrzeb projektu planu, zgodnie z wymogiem art. 17 pkt 5 ustawy z dnia 27 marca 2003 r.</w:t>
      </w:r>
      <w:r>
        <w:rPr>
          <w:color w:val="000000"/>
          <w:szCs w:val="20"/>
          <w:shd w:val="clear" w:color="auto" w:fill="FFFFFF"/>
        </w:rPr>
        <w:t xml:space="preserve"> o planowaniu i zagospodarowaniu przestrzennym prognoza skutków finansowych uchwalenia planu miejscowego wykazała, iż wprowadzone zmiany w strukturze funkcjonalno-przestrzennej obszaru, w stosunku do obowiązującego miejscowego planu zagospodarowania przest</w:t>
      </w:r>
      <w:r>
        <w:rPr>
          <w:color w:val="000000"/>
          <w:szCs w:val="20"/>
          <w:shd w:val="clear" w:color="auto" w:fill="FFFFFF"/>
        </w:rPr>
        <w:t>rzennego dla części obszaru miasta Łodzi położonej w rejonie ulic: Brzezińskiej, Pomorskiej, Jugosłowiańskiej, Wiączyńskiej, J. Kasprowicza, Grabińskiej i Byszewskiej - obszaru centrum osiedla Nowosolna zatwierdzonego uchwałą Nr XLIX/1508/21 Rady Miejskiej</w:t>
      </w:r>
      <w:r>
        <w:rPr>
          <w:color w:val="000000"/>
          <w:szCs w:val="20"/>
          <w:shd w:val="clear" w:color="auto" w:fill="FFFFFF"/>
        </w:rPr>
        <w:t xml:space="preserve"> w Łodzi z dnia              20 października 2021 r., będą rzutować na wpływy do budżetu gminy (poprzez m.in. zmianę opodatkowania wybranych terenów) oraz na wydatki (poprzez m.in. wykup gruntów pod budowę terenu komunikacji publicznej i jego realizację). </w:t>
      </w:r>
      <w:r>
        <w:rPr>
          <w:color w:val="000000"/>
          <w:szCs w:val="20"/>
          <w:shd w:val="clear" w:color="auto" w:fill="FFFFFF"/>
        </w:rPr>
        <w:t>Wykonane obliczenia dla potrzeb przedmiotowej prognozy skutków finansowych uchwalenia planu miejscowego wykazały ujemny wynik finansowy przedsięwzięcia na poziomie ok. – 0,499 mln zł w okresie 10 lat, przy uwzględnieniu wskaźnika NPV, co oznacza że wydatki</w:t>
      </w:r>
      <w:r>
        <w:rPr>
          <w:color w:val="000000"/>
          <w:szCs w:val="20"/>
          <w:shd w:val="clear" w:color="auto" w:fill="FFFFFF"/>
        </w:rPr>
        <w:t xml:space="preserve"> generowane przez nowe zagospodarowanie przewyższają dochody. Największe koszty wiążą się z realizacją inwestycji z zakresu infrastruktury technicznej oraz układu komunikacyjnego. </w:t>
      </w:r>
    </w:p>
    <w:p w14:paraId="6DC39746" w14:textId="77777777" w:rsidR="00704CBD" w:rsidRDefault="00704CBD">
      <w:pPr>
        <w:spacing w:line="360" w:lineRule="auto"/>
        <w:rPr>
          <w:color w:val="000000"/>
          <w:szCs w:val="20"/>
          <w:shd w:val="clear" w:color="auto" w:fill="FFFFFF"/>
        </w:rPr>
      </w:pPr>
    </w:p>
    <w:p w14:paraId="038F472D" w14:textId="77777777" w:rsidR="00704CBD" w:rsidRDefault="00704CBD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704CBD">
      <w:footerReference w:type="default" r:id="rId30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BEF26" w14:textId="77777777" w:rsidR="00000000" w:rsidRDefault="00165306">
      <w:r>
        <w:separator/>
      </w:r>
    </w:p>
  </w:endnote>
  <w:endnote w:type="continuationSeparator" w:id="0">
    <w:p w14:paraId="2445E347" w14:textId="77777777" w:rsidR="00000000" w:rsidRDefault="00165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04CBD" w14:paraId="65F491EF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EC32742" w14:textId="77777777" w:rsidR="00704CBD" w:rsidRDefault="001653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FC5E524" w14:textId="77777777" w:rsidR="00704CBD" w:rsidRDefault="001653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28F6167" w14:textId="77777777" w:rsidR="00704CBD" w:rsidRDefault="00704CBD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04CBD" w14:paraId="6B8DAFEB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5B0A923" w14:textId="77777777" w:rsidR="00704CBD" w:rsidRDefault="001653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5557C47" w14:textId="43D1BACE" w:rsidR="00704CBD" w:rsidRDefault="001653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5A2BB97" w14:textId="77777777" w:rsidR="00704CBD" w:rsidRDefault="00704CBD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04CBD" w14:paraId="2340E431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DE14707" w14:textId="77777777" w:rsidR="00704CBD" w:rsidRDefault="001653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66EC9CF" w14:textId="5FF83DEF" w:rsidR="00704CBD" w:rsidRDefault="001653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B7EE50D" w14:textId="77777777" w:rsidR="00704CBD" w:rsidRDefault="00704CBD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04CBD" w14:paraId="417EF013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B702034" w14:textId="77777777" w:rsidR="00704CBD" w:rsidRDefault="001653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7902F9B" w14:textId="516CF681" w:rsidR="00704CBD" w:rsidRDefault="001653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DCCED88" w14:textId="77777777" w:rsidR="00704CBD" w:rsidRDefault="00704CBD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04CBD" w14:paraId="450FE2D2" w14:textId="77777777">
      <w:tc>
        <w:tcPr>
          <w:tcW w:w="6577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8766A50" w14:textId="77777777" w:rsidR="00704CBD" w:rsidRDefault="001653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89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1D93696" w14:textId="5C39964B" w:rsidR="00704CBD" w:rsidRDefault="001653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D7D7353" w14:textId="77777777" w:rsidR="00704CBD" w:rsidRDefault="00704CBD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704CBD" w14:paraId="432BA010" w14:textId="77777777">
      <w:tc>
        <w:tcPr>
          <w:tcW w:w="6403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229854A" w14:textId="77777777" w:rsidR="00704CBD" w:rsidRDefault="00165306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DEB33B5" w14:textId="28479683" w:rsidR="00704CBD" w:rsidRDefault="00165306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7BA862A5" w14:textId="77777777" w:rsidR="00704CBD" w:rsidRDefault="00704CBD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AC17E" w14:textId="77777777" w:rsidR="00000000" w:rsidRDefault="00165306">
      <w:r>
        <w:separator/>
      </w:r>
    </w:p>
  </w:footnote>
  <w:footnote w:type="continuationSeparator" w:id="0">
    <w:p w14:paraId="20147052" w14:textId="77777777" w:rsidR="00000000" w:rsidRDefault="00165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A46D0"/>
    <w:multiLevelType w:val="hybridMultilevel"/>
    <w:tmpl w:val="00000000"/>
    <w:lvl w:ilvl="0" w:tplc="E736C232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A782C952">
      <w:start w:val="1"/>
      <w:numFmt w:val="lowerLetter"/>
      <w:lvlText w:val="%2."/>
      <w:lvlJc w:val="left"/>
      <w:pPr>
        <w:ind w:left="1440" w:hanging="360"/>
      </w:pPr>
      <w:rPr>
        <w:color w:val="000000"/>
      </w:rPr>
    </w:lvl>
    <w:lvl w:ilvl="2" w:tplc="F3547E76">
      <w:start w:val="1"/>
      <w:numFmt w:val="lowerRoman"/>
      <w:lvlText w:val="%3."/>
      <w:lvlJc w:val="right"/>
      <w:pPr>
        <w:ind w:left="2160" w:hanging="180"/>
      </w:pPr>
      <w:rPr>
        <w:color w:val="000000"/>
      </w:rPr>
    </w:lvl>
    <w:lvl w:ilvl="3" w:tplc="0DE46A86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061A4FBC">
      <w:start w:val="1"/>
      <w:numFmt w:val="lowerLetter"/>
      <w:lvlText w:val="%5."/>
      <w:lvlJc w:val="left"/>
      <w:pPr>
        <w:ind w:left="3600" w:hanging="360"/>
      </w:pPr>
      <w:rPr>
        <w:color w:val="000000"/>
      </w:rPr>
    </w:lvl>
    <w:lvl w:ilvl="5" w:tplc="697AD212">
      <w:start w:val="1"/>
      <w:numFmt w:val="lowerRoman"/>
      <w:lvlText w:val="%6."/>
      <w:lvlJc w:val="right"/>
      <w:pPr>
        <w:ind w:left="4320" w:hanging="180"/>
      </w:pPr>
      <w:rPr>
        <w:color w:val="000000"/>
      </w:rPr>
    </w:lvl>
    <w:lvl w:ilvl="6" w:tplc="A51242CA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9978F734">
      <w:start w:val="1"/>
      <w:numFmt w:val="lowerLetter"/>
      <w:lvlText w:val="%8."/>
      <w:lvlJc w:val="left"/>
      <w:pPr>
        <w:ind w:left="5760" w:hanging="360"/>
      </w:pPr>
      <w:rPr>
        <w:color w:val="000000"/>
      </w:rPr>
    </w:lvl>
    <w:lvl w:ilvl="8" w:tplc="18FCDD10">
      <w:start w:val="1"/>
      <w:numFmt w:val="lowerRoman"/>
      <w:lvlText w:val="%9."/>
      <w:lvlJc w:val="right"/>
      <w:pPr>
        <w:ind w:left="6480" w:hanging="180"/>
      </w:pPr>
      <w:rPr>
        <w:color w:val="000000"/>
      </w:rPr>
    </w:lvl>
  </w:abstractNum>
  <w:abstractNum w:abstractNumId="1" w15:restartNumberingAfterBreak="0">
    <w:nsid w:val="2FAA53A3"/>
    <w:multiLevelType w:val="hybridMultilevel"/>
    <w:tmpl w:val="00000000"/>
    <w:lvl w:ilvl="0" w:tplc="8468F3C8">
      <w:start w:val="1"/>
      <w:numFmt w:val="lowerLetter"/>
      <w:lvlText w:val="%1)"/>
      <w:lvlJc w:val="left"/>
      <w:pPr>
        <w:ind w:left="864" w:hanging="360"/>
      </w:pPr>
      <w:rPr>
        <w:color w:val="000000"/>
      </w:rPr>
    </w:lvl>
    <w:lvl w:ilvl="1" w:tplc="D562A0D2">
      <w:start w:val="1"/>
      <w:numFmt w:val="lowerLetter"/>
      <w:lvlText w:val="%2."/>
      <w:lvlJc w:val="left"/>
      <w:pPr>
        <w:ind w:left="1584" w:hanging="360"/>
      </w:pPr>
      <w:rPr>
        <w:color w:val="000000"/>
      </w:rPr>
    </w:lvl>
    <w:lvl w:ilvl="2" w:tplc="43A69CE6">
      <w:start w:val="1"/>
      <w:numFmt w:val="lowerRoman"/>
      <w:lvlText w:val="%3."/>
      <w:lvlJc w:val="right"/>
      <w:pPr>
        <w:ind w:left="2304" w:hanging="180"/>
      </w:pPr>
      <w:rPr>
        <w:color w:val="000000"/>
      </w:rPr>
    </w:lvl>
    <w:lvl w:ilvl="3" w:tplc="8FCCFA10">
      <w:start w:val="1"/>
      <w:numFmt w:val="decimal"/>
      <w:lvlText w:val="%4."/>
      <w:lvlJc w:val="left"/>
      <w:pPr>
        <w:ind w:left="3024" w:hanging="360"/>
      </w:pPr>
      <w:rPr>
        <w:color w:val="000000"/>
      </w:rPr>
    </w:lvl>
    <w:lvl w:ilvl="4" w:tplc="DB56F682">
      <w:start w:val="1"/>
      <w:numFmt w:val="lowerLetter"/>
      <w:lvlText w:val="%5."/>
      <w:lvlJc w:val="left"/>
      <w:pPr>
        <w:ind w:left="3744" w:hanging="360"/>
      </w:pPr>
      <w:rPr>
        <w:color w:val="000000"/>
      </w:rPr>
    </w:lvl>
    <w:lvl w:ilvl="5" w:tplc="90F21F7E">
      <w:start w:val="1"/>
      <w:numFmt w:val="lowerRoman"/>
      <w:lvlText w:val="%6."/>
      <w:lvlJc w:val="right"/>
      <w:pPr>
        <w:ind w:left="4464" w:hanging="180"/>
      </w:pPr>
      <w:rPr>
        <w:color w:val="000000"/>
      </w:rPr>
    </w:lvl>
    <w:lvl w:ilvl="6" w:tplc="6A5E2670">
      <w:start w:val="1"/>
      <w:numFmt w:val="decimal"/>
      <w:lvlText w:val="%7."/>
      <w:lvlJc w:val="left"/>
      <w:pPr>
        <w:ind w:left="5184" w:hanging="360"/>
      </w:pPr>
      <w:rPr>
        <w:color w:val="000000"/>
      </w:rPr>
    </w:lvl>
    <w:lvl w:ilvl="7" w:tplc="FB382BE4">
      <w:start w:val="1"/>
      <w:numFmt w:val="lowerLetter"/>
      <w:lvlText w:val="%8."/>
      <w:lvlJc w:val="left"/>
      <w:pPr>
        <w:ind w:left="5904" w:hanging="360"/>
      </w:pPr>
      <w:rPr>
        <w:color w:val="000000"/>
      </w:rPr>
    </w:lvl>
    <w:lvl w:ilvl="8" w:tplc="0DFA8E96">
      <w:start w:val="1"/>
      <w:numFmt w:val="lowerRoman"/>
      <w:lvlText w:val="%9."/>
      <w:lvlJc w:val="right"/>
      <w:pPr>
        <w:ind w:left="6624" w:hanging="180"/>
      </w:pPr>
      <w:rPr>
        <w:color w:val="000000"/>
      </w:rPr>
    </w:lvl>
  </w:abstractNum>
  <w:abstractNum w:abstractNumId="2" w15:restartNumberingAfterBreak="0">
    <w:nsid w:val="4AB7102B"/>
    <w:multiLevelType w:val="hybridMultilevel"/>
    <w:tmpl w:val="00000000"/>
    <w:lvl w:ilvl="0" w:tplc="A3FA206E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A07EAC14">
      <w:start w:val="1"/>
      <w:numFmt w:val="lowerLetter"/>
      <w:lvlText w:val="%2."/>
      <w:lvlJc w:val="left"/>
      <w:pPr>
        <w:ind w:left="1440" w:hanging="360"/>
      </w:pPr>
      <w:rPr>
        <w:color w:val="000000"/>
      </w:rPr>
    </w:lvl>
    <w:lvl w:ilvl="2" w:tplc="F3165D28">
      <w:start w:val="1"/>
      <w:numFmt w:val="lowerRoman"/>
      <w:lvlText w:val="%3."/>
      <w:lvlJc w:val="right"/>
      <w:pPr>
        <w:ind w:left="2160" w:hanging="180"/>
      </w:pPr>
      <w:rPr>
        <w:color w:val="000000"/>
      </w:rPr>
    </w:lvl>
    <w:lvl w:ilvl="3" w:tplc="50D43F28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56649494">
      <w:start w:val="1"/>
      <w:numFmt w:val="lowerLetter"/>
      <w:lvlText w:val="%5."/>
      <w:lvlJc w:val="left"/>
      <w:pPr>
        <w:ind w:left="3600" w:hanging="360"/>
      </w:pPr>
      <w:rPr>
        <w:color w:val="000000"/>
      </w:rPr>
    </w:lvl>
    <w:lvl w:ilvl="5" w:tplc="7E7E461E">
      <w:start w:val="1"/>
      <w:numFmt w:val="lowerRoman"/>
      <w:lvlText w:val="%6."/>
      <w:lvlJc w:val="right"/>
      <w:pPr>
        <w:ind w:left="4320" w:hanging="180"/>
      </w:pPr>
      <w:rPr>
        <w:color w:val="000000"/>
      </w:rPr>
    </w:lvl>
    <w:lvl w:ilvl="6" w:tplc="4420DEEE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E3D4BE18">
      <w:start w:val="1"/>
      <w:numFmt w:val="lowerLetter"/>
      <w:lvlText w:val="%8."/>
      <w:lvlJc w:val="left"/>
      <w:pPr>
        <w:ind w:left="5760" w:hanging="360"/>
      </w:pPr>
      <w:rPr>
        <w:color w:val="000000"/>
      </w:rPr>
    </w:lvl>
    <w:lvl w:ilvl="8" w:tplc="45BCAE5C">
      <w:start w:val="1"/>
      <w:numFmt w:val="lowerRoman"/>
      <w:lvlText w:val="%9."/>
      <w:lvlJc w:val="right"/>
      <w:pPr>
        <w:ind w:left="6480" w:hanging="180"/>
      </w:pPr>
      <w:rPr>
        <w:color w:val="000000"/>
      </w:rPr>
    </w:lvl>
  </w:abstractNum>
  <w:abstractNum w:abstractNumId="3" w15:restartNumberingAfterBreak="0">
    <w:nsid w:val="6CDA26BC"/>
    <w:multiLevelType w:val="hybridMultilevel"/>
    <w:tmpl w:val="00000000"/>
    <w:lvl w:ilvl="0" w:tplc="45B4565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85B87DE4">
      <w:start w:val="1"/>
      <w:numFmt w:val="lowerLetter"/>
      <w:lvlText w:val="%2."/>
      <w:lvlJc w:val="left"/>
      <w:pPr>
        <w:ind w:left="1440" w:hanging="360"/>
      </w:pPr>
      <w:rPr>
        <w:color w:val="000000"/>
      </w:rPr>
    </w:lvl>
    <w:lvl w:ilvl="2" w:tplc="122EC7AC">
      <w:start w:val="1"/>
      <w:numFmt w:val="lowerRoman"/>
      <w:lvlText w:val="%3."/>
      <w:lvlJc w:val="right"/>
      <w:pPr>
        <w:ind w:left="2160" w:hanging="180"/>
      </w:pPr>
      <w:rPr>
        <w:color w:val="000000"/>
      </w:rPr>
    </w:lvl>
    <w:lvl w:ilvl="3" w:tplc="99F85496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7584E880">
      <w:start w:val="1"/>
      <w:numFmt w:val="lowerLetter"/>
      <w:lvlText w:val="%5."/>
      <w:lvlJc w:val="left"/>
      <w:pPr>
        <w:ind w:left="3600" w:hanging="360"/>
      </w:pPr>
      <w:rPr>
        <w:color w:val="000000"/>
      </w:rPr>
    </w:lvl>
    <w:lvl w:ilvl="5" w:tplc="F6FCCEFE">
      <w:start w:val="1"/>
      <w:numFmt w:val="lowerRoman"/>
      <w:lvlText w:val="%6."/>
      <w:lvlJc w:val="right"/>
      <w:pPr>
        <w:ind w:left="4320" w:hanging="180"/>
      </w:pPr>
      <w:rPr>
        <w:color w:val="000000"/>
      </w:rPr>
    </w:lvl>
    <w:lvl w:ilvl="6" w:tplc="7A8011FE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87BC9A66">
      <w:start w:val="1"/>
      <w:numFmt w:val="lowerLetter"/>
      <w:lvlText w:val="%8."/>
      <w:lvlJc w:val="left"/>
      <w:pPr>
        <w:ind w:left="5760" w:hanging="360"/>
      </w:pPr>
      <w:rPr>
        <w:color w:val="000000"/>
      </w:rPr>
    </w:lvl>
    <w:lvl w:ilvl="8" w:tplc="B6B6F584">
      <w:start w:val="1"/>
      <w:numFmt w:val="lowerRoman"/>
      <w:lvlText w:val="%9."/>
      <w:lvlJc w:val="right"/>
      <w:pPr>
        <w:ind w:left="6480" w:hanging="180"/>
      </w:pPr>
      <w:rPr>
        <w:color w:val="000000"/>
      </w:rPr>
    </w:lvl>
  </w:abstractNum>
  <w:abstractNum w:abstractNumId="4" w15:restartNumberingAfterBreak="0">
    <w:nsid w:val="76492BD1"/>
    <w:multiLevelType w:val="hybridMultilevel"/>
    <w:tmpl w:val="00000000"/>
    <w:lvl w:ilvl="0" w:tplc="7564E95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4EDA8D2A">
      <w:start w:val="1"/>
      <w:numFmt w:val="lowerLetter"/>
      <w:lvlText w:val="%2."/>
      <w:lvlJc w:val="left"/>
      <w:pPr>
        <w:ind w:left="1440" w:hanging="360"/>
      </w:pPr>
      <w:rPr>
        <w:color w:val="000000"/>
      </w:rPr>
    </w:lvl>
    <w:lvl w:ilvl="2" w:tplc="161EF6D2">
      <w:start w:val="1"/>
      <w:numFmt w:val="lowerRoman"/>
      <w:lvlText w:val="%3."/>
      <w:lvlJc w:val="right"/>
      <w:pPr>
        <w:ind w:left="2160" w:hanging="180"/>
      </w:pPr>
      <w:rPr>
        <w:color w:val="000000"/>
      </w:rPr>
    </w:lvl>
    <w:lvl w:ilvl="3" w:tplc="8AC06346">
      <w:start w:val="1"/>
      <w:numFmt w:val="decimal"/>
      <w:lvlText w:val="%4."/>
      <w:lvlJc w:val="left"/>
      <w:pPr>
        <w:ind w:left="2880" w:hanging="360"/>
      </w:pPr>
      <w:rPr>
        <w:color w:val="000000"/>
      </w:rPr>
    </w:lvl>
    <w:lvl w:ilvl="4" w:tplc="F1C01430">
      <w:start w:val="1"/>
      <w:numFmt w:val="lowerLetter"/>
      <w:lvlText w:val="%5."/>
      <w:lvlJc w:val="left"/>
      <w:pPr>
        <w:ind w:left="3600" w:hanging="360"/>
      </w:pPr>
      <w:rPr>
        <w:color w:val="000000"/>
      </w:rPr>
    </w:lvl>
    <w:lvl w:ilvl="5" w:tplc="F2E27B60">
      <w:start w:val="1"/>
      <w:numFmt w:val="lowerRoman"/>
      <w:lvlText w:val="%6."/>
      <w:lvlJc w:val="right"/>
      <w:pPr>
        <w:ind w:left="4320" w:hanging="180"/>
      </w:pPr>
      <w:rPr>
        <w:color w:val="000000"/>
      </w:rPr>
    </w:lvl>
    <w:lvl w:ilvl="6" w:tplc="A87659EE">
      <w:start w:val="1"/>
      <w:numFmt w:val="decimal"/>
      <w:lvlText w:val="%7."/>
      <w:lvlJc w:val="left"/>
      <w:pPr>
        <w:ind w:left="5040" w:hanging="360"/>
      </w:pPr>
      <w:rPr>
        <w:color w:val="000000"/>
      </w:rPr>
    </w:lvl>
    <w:lvl w:ilvl="7" w:tplc="8B720BA8">
      <w:start w:val="1"/>
      <w:numFmt w:val="lowerLetter"/>
      <w:lvlText w:val="%8."/>
      <w:lvlJc w:val="left"/>
      <w:pPr>
        <w:ind w:left="5760" w:hanging="360"/>
      </w:pPr>
      <w:rPr>
        <w:color w:val="000000"/>
      </w:rPr>
    </w:lvl>
    <w:lvl w:ilvl="8" w:tplc="B1382968">
      <w:start w:val="1"/>
      <w:numFmt w:val="lowerRoman"/>
      <w:lvlText w:val="%9."/>
      <w:lvlJc w:val="right"/>
      <w:pPr>
        <w:ind w:left="6480" w:hanging="180"/>
      </w:pPr>
      <w:rPr>
        <w:color w:val="000000"/>
      </w:rPr>
    </w:lvl>
  </w:abstractNum>
  <w:num w:numId="1" w16cid:durableId="833448058">
    <w:abstractNumId w:val="3"/>
  </w:num>
  <w:num w:numId="2" w16cid:durableId="2124107225">
    <w:abstractNumId w:val="0"/>
  </w:num>
  <w:num w:numId="3" w16cid:durableId="1279291152">
    <w:abstractNumId w:val="1"/>
  </w:num>
  <w:num w:numId="4" w16cid:durableId="761533565">
    <w:abstractNumId w:val="4"/>
  </w:num>
  <w:num w:numId="5" w16cid:durableId="20963193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65306"/>
    <w:rsid w:val="00704CBD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551195"/>
  <w15:docId w15:val="{0DA8C3C4-1A30-4924-A78E-66616C7AE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styleId="Akapitzlist">
    <w:name w:val="List Paragraph"/>
    <w:basedOn w:val="Normalny"/>
    <w:pPr>
      <w:ind w:left="720"/>
      <w:contextualSpacing/>
    </w:pPr>
    <w:rPr>
      <w:szCs w:val="20"/>
      <w:lang w:val="x-none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ZalacznikE16E5124-2154-45C1-8E4F-1BF29C6F9B71.png" TargetMode="External"/><Relationship Id="rId18" Type="http://schemas.openxmlformats.org/officeDocument/2006/relationships/image" Target="media/image6.pn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Zalacznik5E88F40F-A8B0-4F78-A9E7-9B19492080CF.png" TargetMode="Externa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ZalacznikE5B74D42-58D1-44E6-BEE8-A5888D1AA449.png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sip.lex.p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ZalacznikF4002EF3-AB98-4093-B591-2027B6348688.png" TargetMode="External"/><Relationship Id="rId24" Type="http://schemas.openxmlformats.org/officeDocument/2006/relationships/footer" Target="footer2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Zalacznik24DC9145-DEDA-488D-823C-89A30BB6B212.png" TargetMode="External"/><Relationship Id="rId23" Type="http://schemas.openxmlformats.org/officeDocument/2006/relationships/image" Target="ZalacznikBC95AD52-AC03-4A45-94D9-5F2CFA11B314.png" TargetMode="External"/><Relationship Id="rId28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image" Target="Zalacznik4C3EC221-5656-43C9-91A9-68264296C27A.pn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ZalacznikF77E89B8-6608-4FE7-BF33-3EB6AEDA5DD8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Zalacznik4.gml" TargetMode="Externa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6451</Words>
  <Characters>38708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45069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uchwalenia miejscowego planu zagospodarowania przestrzennego dla części obszaru miasta Łodzi położonej w^rejonie ulic Grabińskiej i^Jana Kasprowicza.</dc:subject>
  <dc:creator>dkiedrzynski</dc:creator>
  <cp:lastModifiedBy>Dariusz Kiedrzyński</cp:lastModifiedBy>
  <cp:revision>2</cp:revision>
  <dcterms:created xsi:type="dcterms:W3CDTF">2023-03-13T09:54:00Z</dcterms:created>
  <dcterms:modified xsi:type="dcterms:W3CDTF">2023-03-13T08:55:00Z</dcterms:modified>
  <cp:category>Akt prawny</cp:category>
</cp:coreProperties>
</file>