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6"/>
      </w:tblGrid>
      <w:tr w:rsidR="00CD2895" w14:paraId="65F3A12D" w14:textId="7777777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DF985C9" w14:textId="77777777"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14:paraId="588E46C9" w14:textId="77777777"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14:paraId="653E73E5" w14:textId="1601524B" w:rsidR="00A77B3E" w:rsidRDefault="00B578FC">
            <w:pPr>
              <w:ind w:left="6236"/>
              <w:jc w:val="left"/>
            </w:pPr>
            <w:r>
              <w:t xml:space="preserve">Druk </w:t>
            </w:r>
            <w:r w:rsidR="001D71CB">
              <w:t xml:space="preserve">BRM </w:t>
            </w:r>
            <w:r>
              <w:t>Nr</w:t>
            </w:r>
            <w:r w:rsidR="001D71CB">
              <w:t xml:space="preserve"> 72/2023</w:t>
            </w:r>
          </w:p>
          <w:p w14:paraId="27F10118" w14:textId="083CF9A4" w:rsidR="00A77B3E" w:rsidRDefault="00B578FC">
            <w:pPr>
              <w:ind w:left="6236"/>
              <w:jc w:val="left"/>
            </w:pPr>
            <w:r>
              <w:t>Projekt z dnia</w:t>
            </w:r>
            <w:r w:rsidR="001D71CB">
              <w:t xml:space="preserve"> 9 maja 2023 r. </w:t>
            </w:r>
          </w:p>
          <w:p w14:paraId="63C3B495" w14:textId="77777777" w:rsidR="00A77B3E" w:rsidRDefault="00A77B3E">
            <w:pPr>
              <w:ind w:left="6236"/>
              <w:jc w:val="left"/>
            </w:pPr>
          </w:p>
        </w:tc>
      </w:tr>
    </w:tbl>
    <w:p w14:paraId="4E7B2E83" w14:textId="77777777" w:rsidR="00A77B3E" w:rsidRDefault="00A77B3E" w:rsidP="007D6476">
      <w:pPr>
        <w:jc w:val="both"/>
      </w:pPr>
    </w:p>
    <w:p w14:paraId="66B43865" w14:textId="77777777" w:rsidR="007C1AE2" w:rsidRDefault="007C1AE2"/>
    <w:p w14:paraId="2AE46E9B" w14:textId="77777777" w:rsidR="00A77B3E" w:rsidRDefault="00B578FC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14:paraId="18740A13" w14:textId="35ACAA42" w:rsidR="00A77B3E" w:rsidRDefault="00B578FC">
      <w:pPr>
        <w:spacing w:before="240" w:after="240"/>
        <w:rPr>
          <w:b/>
          <w:caps/>
        </w:rPr>
      </w:pPr>
      <w:r>
        <w:rPr>
          <w:b/>
        </w:rPr>
        <w:t>z dnia                      202</w:t>
      </w:r>
      <w:r w:rsidR="0063639D">
        <w:rPr>
          <w:b/>
        </w:rPr>
        <w:t>3</w:t>
      </w:r>
      <w:r>
        <w:rPr>
          <w:b/>
        </w:rPr>
        <w:t> r.</w:t>
      </w:r>
    </w:p>
    <w:p w14:paraId="4F8E1DAE" w14:textId="33A9EBA0" w:rsidR="0063639D" w:rsidRDefault="0063639D" w:rsidP="007D6476">
      <w:pPr>
        <w:keepLines/>
        <w:spacing w:before="120" w:after="120"/>
        <w:ind w:firstLine="567"/>
        <w:rPr>
          <w:b/>
          <w:bCs/>
        </w:rPr>
      </w:pPr>
      <w:bookmarkStart w:id="0" w:name="_GoBack"/>
      <w:r w:rsidRPr="0063639D">
        <w:rPr>
          <w:b/>
          <w:bCs/>
        </w:rPr>
        <w:t>w sprawie odstępstw</w:t>
      </w:r>
      <w:r w:rsidR="002A2980">
        <w:rPr>
          <w:b/>
          <w:bCs/>
        </w:rPr>
        <w:t>a</w:t>
      </w:r>
      <w:r w:rsidRPr="0063639D">
        <w:rPr>
          <w:b/>
          <w:bCs/>
        </w:rPr>
        <w:t xml:space="preserve"> od zakazu spożywania napojów alkoholowych w określonych miejscach publicznych na terenie </w:t>
      </w:r>
      <w:r w:rsidR="008D019D">
        <w:rPr>
          <w:b/>
          <w:bCs/>
        </w:rPr>
        <w:t xml:space="preserve">miasta </w:t>
      </w:r>
      <w:r>
        <w:rPr>
          <w:b/>
          <w:bCs/>
        </w:rPr>
        <w:t>Łodzi</w:t>
      </w:r>
    </w:p>
    <w:bookmarkEnd w:id="0"/>
    <w:p w14:paraId="3EF3A0E5" w14:textId="77777777" w:rsidR="007D6476" w:rsidRPr="0063639D" w:rsidRDefault="007D6476" w:rsidP="007D6476">
      <w:pPr>
        <w:keepLines/>
        <w:spacing w:before="120" w:after="120"/>
        <w:ind w:firstLine="567"/>
        <w:rPr>
          <w:b/>
          <w:bCs/>
        </w:rPr>
      </w:pPr>
    </w:p>
    <w:p w14:paraId="168228D2" w14:textId="237D204A" w:rsidR="007C1AE2" w:rsidRDefault="0063639D" w:rsidP="007D6476">
      <w:pPr>
        <w:keepLines/>
        <w:spacing w:before="120" w:after="120"/>
        <w:ind w:firstLine="567"/>
        <w:jc w:val="both"/>
      </w:pPr>
      <w:r w:rsidRPr="0063639D">
        <w:t xml:space="preserve">Na podstawie </w:t>
      </w:r>
      <w:hyperlink r:id="rId7" w:anchor="/document/16793509?unitId=art(18)ust(2)pkt(15)&amp;cm=DOCUMENT" w:tgtFrame="_blank" w:history="1">
        <w:r w:rsidRPr="0063639D">
          <w:rPr>
            <w:rStyle w:val="Hipercze"/>
            <w:color w:val="000000" w:themeColor="text1"/>
            <w:u w:val="none"/>
          </w:rPr>
          <w:t>art. 18 ust. 2 pkt 15</w:t>
        </w:r>
      </w:hyperlink>
      <w:r w:rsidRPr="0063639D">
        <w:t xml:space="preserve"> ustawy z dnia 8 marca 1990 r. o samorządzie gminnym (Dz. U. z 20</w:t>
      </w:r>
      <w:r w:rsidR="00A41B83">
        <w:t>23</w:t>
      </w:r>
      <w:r w:rsidRPr="0063639D">
        <w:t xml:space="preserve"> r. poz. 4</w:t>
      </w:r>
      <w:r w:rsidR="00A41B83">
        <w:t>0</w:t>
      </w:r>
      <w:r w:rsidRPr="0063639D">
        <w:t xml:space="preserve"> i </w:t>
      </w:r>
      <w:r w:rsidR="00A41B83">
        <w:t>572</w:t>
      </w:r>
      <w:r w:rsidRPr="0063639D">
        <w:t xml:space="preserve">) w związku z </w:t>
      </w:r>
      <w:hyperlink r:id="rId8" w:anchor="/document/16791032?unitId=art(14)ust(2(b))&amp;cm=DOCUMENT" w:tgtFrame="_blank" w:history="1">
        <w:r w:rsidRPr="0063639D">
          <w:rPr>
            <w:rStyle w:val="Hipercze"/>
            <w:color w:val="000000" w:themeColor="text1"/>
            <w:u w:val="none"/>
          </w:rPr>
          <w:t>art. 14 ust. 2b</w:t>
        </w:r>
      </w:hyperlink>
      <w:r w:rsidRPr="0063639D">
        <w:rPr>
          <w:color w:val="000000" w:themeColor="text1"/>
        </w:rPr>
        <w:t xml:space="preserve"> </w:t>
      </w:r>
      <w:r w:rsidRPr="0063639D">
        <w:t>ustawy z dnia 26 października 1982 r. o wychowaniu w trzeźwości i przeciwdziałaniu alkoholizmowi (Dz. U. z 20</w:t>
      </w:r>
      <w:r w:rsidR="00A41B83">
        <w:t>23</w:t>
      </w:r>
      <w:r w:rsidRPr="0063639D">
        <w:t xml:space="preserve"> r. poz. </w:t>
      </w:r>
      <w:r w:rsidR="00A41B83">
        <w:t>165</w:t>
      </w:r>
      <w:r w:rsidRPr="0063639D">
        <w:t xml:space="preserve">, </w:t>
      </w:r>
      <w:r w:rsidR="00A41B83">
        <w:t xml:space="preserve">240 </w:t>
      </w:r>
      <w:r w:rsidR="00A41B83" w:rsidRPr="007D6476">
        <w:t>i</w:t>
      </w:r>
      <w:r w:rsidR="007D6476">
        <w:t> </w:t>
      </w:r>
      <w:r w:rsidR="00A41B83" w:rsidRPr="007D6476">
        <w:t>535</w:t>
      </w:r>
      <w:r w:rsidRPr="0063639D">
        <w:t xml:space="preserve">), Rada Miejska </w:t>
      </w:r>
      <w:r>
        <w:t>w Łodzi</w:t>
      </w:r>
    </w:p>
    <w:p w14:paraId="28450A5B" w14:textId="77777777" w:rsidR="00A77B3E" w:rsidRDefault="00B578FC">
      <w:pPr>
        <w:spacing w:before="120" w:after="120"/>
        <w:rPr>
          <w:b/>
        </w:rPr>
      </w:pPr>
      <w:r>
        <w:rPr>
          <w:b/>
        </w:rPr>
        <w:t>uchwala, co następuje:</w:t>
      </w:r>
    </w:p>
    <w:p w14:paraId="57C7DEC9" w14:textId="6E6C42BD" w:rsidR="0063639D" w:rsidRDefault="007C1AE2" w:rsidP="007C1AE2">
      <w:pPr>
        <w:keepLines/>
        <w:spacing w:before="240" w:after="120"/>
        <w:ind w:firstLine="567"/>
        <w:jc w:val="both"/>
      </w:pPr>
      <w:r>
        <w:t>§ 1.</w:t>
      </w:r>
      <w:r w:rsidR="0063639D" w:rsidRPr="0063639D">
        <w:rPr>
          <w:rFonts w:ascii="Open Sans" w:hAnsi="Open Sans" w:cs="Open Sans"/>
          <w:color w:val="333333"/>
          <w:shd w:val="clear" w:color="auto" w:fill="FFFFFF"/>
        </w:rPr>
        <w:t xml:space="preserve"> </w:t>
      </w:r>
      <w:r w:rsidR="007D6476">
        <w:t>Wprowadza</w:t>
      </w:r>
      <w:r w:rsidR="0063639D" w:rsidRPr="0063639D">
        <w:t xml:space="preserve"> się odstępstw</w:t>
      </w:r>
      <w:r w:rsidR="002A2980">
        <w:t>o</w:t>
      </w:r>
      <w:r w:rsidR="0063639D" w:rsidRPr="0063639D">
        <w:t xml:space="preserve"> od zakazu spożywania napojów alkoholowych </w:t>
      </w:r>
      <w:r w:rsidR="0063639D">
        <w:t>w okresie od</w:t>
      </w:r>
      <w:r w:rsidR="001B25EB">
        <w:t xml:space="preserve"> 24.06.2023</w:t>
      </w:r>
      <w:r w:rsidR="0063639D">
        <w:t xml:space="preserve"> do</w:t>
      </w:r>
      <w:r w:rsidR="001B25EB">
        <w:t xml:space="preserve"> 25.06.2023</w:t>
      </w:r>
      <w:r w:rsidR="0063639D">
        <w:t xml:space="preserve"> </w:t>
      </w:r>
      <w:r w:rsidR="0063639D" w:rsidRPr="0063639D">
        <w:t>w</w:t>
      </w:r>
      <w:r w:rsidR="0063639D">
        <w:t xml:space="preserve"> następując</w:t>
      </w:r>
      <w:r w:rsidR="002A2980">
        <w:t>ym</w:t>
      </w:r>
      <w:r w:rsidR="0063639D">
        <w:t xml:space="preserve"> miejsc</w:t>
      </w:r>
      <w:r w:rsidR="002A2980">
        <w:t>u</w:t>
      </w:r>
      <w:r w:rsidR="0063639D">
        <w:t xml:space="preserve"> publiczny</w:t>
      </w:r>
      <w:r w:rsidR="002A2980">
        <w:t>m</w:t>
      </w:r>
      <w:r w:rsidR="0063639D" w:rsidRPr="0063639D">
        <w:t xml:space="preserve"> na terenie</w:t>
      </w:r>
      <w:r w:rsidR="0063639D">
        <w:t xml:space="preserve"> miasta Łodzi</w:t>
      </w:r>
      <w:r w:rsidR="0063639D" w:rsidRPr="0063639D">
        <w:t>:</w:t>
      </w:r>
    </w:p>
    <w:p w14:paraId="6718C760" w14:textId="61C8278D" w:rsidR="008D019D" w:rsidRDefault="008D019D" w:rsidP="008D019D">
      <w:pPr>
        <w:pStyle w:val="Akapitzlist"/>
        <w:keepLines/>
        <w:numPr>
          <w:ilvl w:val="0"/>
          <w:numId w:val="3"/>
        </w:numPr>
        <w:spacing w:before="240" w:after="120"/>
        <w:jc w:val="both"/>
      </w:pPr>
      <w:r>
        <w:t xml:space="preserve">w Parku im. Józefa Piłsudskiego w </w:t>
      </w:r>
      <w:r w:rsidRPr="008D019D">
        <w:t>miejscu, którego lokalizację określa załącznik</w:t>
      </w:r>
      <w:r>
        <w:t xml:space="preserve"> nr 1 do uchwały</w:t>
      </w:r>
      <w:r w:rsidR="001B25EB">
        <w:t>.</w:t>
      </w:r>
    </w:p>
    <w:p w14:paraId="406E5086" w14:textId="78F8C040" w:rsidR="007C1AE2" w:rsidRDefault="007C1AE2" w:rsidP="007C1AE2">
      <w:pPr>
        <w:keepLines/>
        <w:spacing w:before="240" w:after="120"/>
        <w:ind w:firstLine="567"/>
        <w:jc w:val="both"/>
      </w:pPr>
      <w:r>
        <w:t xml:space="preserve">§ </w:t>
      </w:r>
      <w:r w:rsidR="007D6476">
        <w:t>2</w:t>
      </w:r>
      <w:r>
        <w:t>. Wykonanie uchwały powierza się Prezydentowi Miasta Łodzi</w:t>
      </w:r>
      <w:r w:rsidR="007D6476">
        <w:t>.</w:t>
      </w:r>
    </w:p>
    <w:p w14:paraId="63140CC1" w14:textId="29F4BB1E" w:rsidR="00CD2895" w:rsidRDefault="007C1AE2" w:rsidP="007C1AE2">
      <w:pPr>
        <w:keepLines/>
        <w:spacing w:before="240" w:after="120"/>
        <w:ind w:firstLine="567"/>
        <w:jc w:val="both"/>
      </w:pPr>
      <w:r>
        <w:t xml:space="preserve">§ </w:t>
      </w:r>
      <w:r w:rsidR="007D6476">
        <w:t>3</w:t>
      </w:r>
      <w:r>
        <w:t xml:space="preserve">. Uchwała wchodzi w życie </w:t>
      </w:r>
      <w:r w:rsidR="00A41B83">
        <w:t>po upływie 14 dni od dnia jej ogłoszenia w Dzienniku Urzędowym województwa Łódzkiego.</w:t>
      </w:r>
    </w:p>
    <w:p w14:paraId="56DF7573" w14:textId="55A9ADEB" w:rsidR="006D68B1" w:rsidRDefault="006D68B1" w:rsidP="007C1AE2">
      <w:pPr>
        <w:keepLines/>
        <w:spacing w:before="240" w:after="120"/>
        <w:ind w:firstLine="567"/>
        <w:jc w:val="both"/>
      </w:pPr>
    </w:p>
    <w:p w14:paraId="7BCD48FC" w14:textId="77777777" w:rsidR="006D68B1" w:rsidRDefault="006D68B1" w:rsidP="006D68B1">
      <w:pPr>
        <w:pStyle w:val="Tre"/>
        <w:tabs>
          <w:tab w:val="center" w:pos="6120"/>
        </w:tabs>
        <w:spacing w:after="0" w:line="240" w:lineRule="auto"/>
        <w:ind w:left="5103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Przewodniczący</w:t>
      </w:r>
    </w:p>
    <w:p w14:paraId="0D75D6D9" w14:textId="77777777" w:rsidR="006D68B1" w:rsidRDefault="006D68B1" w:rsidP="006D68B1">
      <w:pPr>
        <w:pStyle w:val="Tre"/>
        <w:tabs>
          <w:tab w:val="center" w:pos="6120"/>
        </w:tabs>
        <w:spacing w:after="0" w:line="240" w:lineRule="auto"/>
        <w:ind w:left="5103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Miejskiej w Łodzi</w:t>
      </w:r>
    </w:p>
    <w:p w14:paraId="7CBFFA80" w14:textId="77777777" w:rsidR="006D68B1" w:rsidRDefault="006D68B1" w:rsidP="006D68B1">
      <w:pPr>
        <w:pStyle w:val="Tre"/>
        <w:tabs>
          <w:tab w:val="center" w:pos="6120"/>
        </w:tabs>
        <w:spacing w:after="0"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BF9FF20" w14:textId="77777777" w:rsidR="006D68B1" w:rsidRDefault="006D68B1" w:rsidP="006D68B1">
      <w:pPr>
        <w:pStyle w:val="Tre"/>
        <w:tabs>
          <w:tab w:val="center" w:pos="6120"/>
        </w:tabs>
        <w:spacing w:after="0"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BD6DED" w14:textId="77777777" w:rsidR="006D68B1" w:rsidRDefault="006D68B1" w:rsidP="006D68B1">
      <w:pPr>
        <w:pStyle w:val="Tre"/>
        <w:tabs>
          <w:tab w:val="center" w:pos="6120"/>
        </w:tabs>
        <w:spacing w:after="0" w:line="240" w:lineRule="auto"/>
        <w:ind w:left="5103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Marcin GOŁASZEWSKI</w:t>
      </w:r>
    </w:p>
    <w:p w14:paraId="2E2F0E51" w14:textId="77777777" w:rsidR="006D68B1" w:rsidRDefault="006D68B1" w:rsidP="006D68B1">
      <w:pPr>
        <w:pStyle w:val="Tre"/>
        <w:tabs>
          <w:tab w:val="center" w:pos="6120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17E78D12" w14:textId="05FBD3C6" w:rsidR="006D68B1" w:rsidRPr="001D71CB" w:rsidRDefault="001D71CB" w:rsidP="006D68B1">
      <w:pPr>
        <w:pStyle w:val="Tre"/>
        <w:tabs>
          <w:tab w:val="center" w:pos="6120"/>
        </w:tabs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D71CB">
        <w:rPr>
          <w:rFonts w:ascii="Times New Roman" w:hAnsi="Times New Roman"/>
          <w:bCs/>
          <w:sz w:val="24"/>
          <w:szCs w:val="24"/>
        </w:rPr>
        <w:t>Projektodawcą uchwały jest:</w:t>
      </w:r>
    </w:p>
    <w:p w14:paraId="7C322F44" w14:textId="77777777" w:rsidR="007D6476" w:rsidRDefault="007D6476" w:rsidP="006D68B1">
      <w:pPr>
        <w:pStyle w:val="Tre"/>
        <w:tabs>
          <w:tab w:val="center" w:pos="6120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047FB0E9" w14:textId="77777777" w:rsidR="007D6476" w:rsidRDefault="007D6476" w:rsidP="006D68B1">
      <w:pPr>
        <w:pStyle w:val="Tre"/>
        <w:tabs>
          <w:tab w:val="center" w:pos="6120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291BB771" w14:textId="77777777" w:rsidR="006D68B1" w:rsidRDefault="006D68B1" w:rsidP="006D68B1">
      <w:pPr>
        <w:pStyle w:val="Tre"/>
        <w:tabs>
          <w:tab w:val="center" w:pos="6120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15263F0E" w14:textId="77777777" w:rsidR="007D6476" w:rsidRDefault="007D6476" w:rsidP="007D6476">
      <w:pPr>
        <w:keepLines/>
        <w:spacing w:before="240" w:after="120"/>
      </w:pPr>
    </w:p>
    <w:p w14:paraId="26E5636A" w14:textId="01CB259B" w:rsidR="009F15A7" w:rsidRDefault="009F15A7" w:rsidP="009F15A7">
      <w:pPr>
        <w:keepLines/>
        <w:spacing w:before="240" w:after="120"/>
        <w:rPr>
          <w:b/>
          <w:bCs/>
        </w:rPr>
      </w:pPr>
      <w:r w:rsidRPr="009F15A7">
        <w:rPr>
          <w:b/>
          <w:bCs/>
        </w:rPr>
        <w:lastRenderedPageBreak/>
        <w:t>UZASADNIENIE</w:t>
      </w:r>
    </w:p>
    <w:p w14:paraId="0976B5EC" w14:textId="77777777" w:rsidR="00B25598" w:rsidRPr="009F15A7" w:rsidRDefault="00B25598" w:rsidP="009F15A7">
      <w:pPr>
        <w:keepLines/>
        <w:spacing w:before="240" w:after="120"/>
        <w:rPr>
          <w:b/>
          <w:bCs/>
        </w:rPr>
      </w:pPr>
    </w:p>
    <w:p w14:paraId="19EAF576" w14:textId="3456347C" w:rsidR="00380905" w:rsidRDefault="00380905" w:rsidP="007D6476">
      <w:pPr>
        <w:keepLines/>
        <w:spacing w:before="240" w:after="120"/>
        <w:jc w:val="both"/>
      </w:pPr>
      <w:r>
        <w:t>Aktualizacja Ustawy o wychowaniu w trzeźwości i przeciwdziałaniu alkoholizmowi z 2018 roku zmieniła dotychczasową praktykę prawną zakazującą spożywania napojów alkoholowych na ulicach, placach i parkach, rozciągając zakaz na wszystkie tereny z wyjątkiem tych do tego przeznaczonych.</w:t>
      </w:r>
    </w:p>
    <w:p w14:paraId="091E5848" w14:textId="77777777" w:rsidR="006E4AF4" w:rsidRDefault="00380905" w:rsidP="006E4AF4">
      <w:pPr>
        <w:keepLines/>
        <w:spacing w:before="240" w:after="120"/>
        <w:jc w:val="both"/>
      </w:pPr>
      <w:r>
        <w:t>Tym samym samorządy zyskały narzędzia prawne</w:t>
      </w:r>
      <w:r w:rsidR="00182A1B">
        <w:t>,</w:t>
      </w:r>
      <w:r>
        <w:t xml:space="preserve"> nie tylko jak dotychczas wydawania pozwoleń na spożycie alkoholu w miejscu jego sprzedaży, ale także idąc za </w:t>
      </w:r>
      <w:r w:rsidRPr="00380905">
        <w:t>art. 14 ust. 2b</w:t>
      </w:r>
      <w:r>
        <w:t>, prawo do</w:t>
      </w:r>
      <w:r w:rsidR="006E4AF4">
        <w:t> </w:t>
      </w:r>
      <w:r>
        <w:t xml:space="preserve">wyznaczania obszarów </w:t>
      </w:r>
      <w:r w:rsidR="00182A1B">
        <w:t xml:space="preserve">na których będzie obowiązywało odstępstwo od zakazu, </w:t>
      </w:r>
      <w:r w:rsidR="006E4AF4">
        <w:t>jeśli</w:t>
      </w:r>
      <w:r w:rsidR="00182A1B">
        <w:t xml:space="preserve"> nie będzie to miało negatywnego wpływu na kształtowanie polityki w zakresie przeciwdziałania alkoholizmowi. </w:t>
      </w:r>
    </w:p>
    <w:p w14:paraId="2DADE465" w14:textId="77777777" w:rsidR="006E4AF4" w:rsidRDefault="006E4AF4" w:rsidP="006E4AF4">
      <w:pPr>
        <w:keepLines/>
        <w:spacing w:before="240" w:after="120"/>
        <w:jc w:val="both"/>
      </w:pPr>
      <w:r>
        <w:t>Od czasu wprowadzenia aktualizacji przepisów na wyznaczenie stref zdecydowało się wiele samorządów w Polsce, choćby Wrocław, Warszawa i Poznań. W każdym z nich wybrano do tego celu przestrzenie lekko na uboczu od centrum, o charakterze rekreacyjnym, w których de facto dochodziło i tak do spożywania alkoholu.</w:t>
      </w:r>
    </w:p>
    <w:p w14:paraId="35674545" w14:textId="2F07BF0F" w:rsidR="006E4AF4" w:rsidRDefault="006E4AF4" w:rsidP="006E4AF4">
      <w:pPr>
        <w:keepLines/>
        <w:spacing w:before="240" w:after="120"/>
        <w:jc w:val="both"/>
      </w:pPr>
      <w:r>
        <w:t xml:space="preserve">Aspekt zalegalizowania stanu faktycznego był jednym z argumentów w dyskusji, ale także fakt, że kumulując spożycie alkoholu w takich obszarach dużo łatwiej zapanować jest nad porządkiem i ładem, niż jak zjawisko jest rozproszone na terenie całego miasta. Dotychczasowe doświadczenia wydają się tezy te potwierdzać. W efekcie na ogół zmiany te nie były negatywnie odbierane społecznie, a wspominane ośrodki miejskie nie planują się z nich wycofywać. </w:t>
      </w:r>
    </w:p>
    <w:p w14:paraId="4AF799FA" w14:textId="27383DDC" w:rsidR="009F15A7" w:rsidRDefault="003F6488" w:rsidP="006E4AF4">
      <w:pPr>
        <w:keepLines/>
        <w:spacing w:before="240" w:after="120"/>
        <w:jc w:val="both"/>
      </w:pPr>
      <w:r>
        <w:t xml:space="preserve">Na terenie Parku Piłsudskiego w dniach 24-25 czerwca 2023 odbywać się będzie impreza miejska w ramach cyklu obchodów </w:t>
      </w:r>
      <w:bookmarkStart w:id="1" w:name="_Hlk134530727"/>
      <w:r>
        <w:t>600-lecia Łodzi</w:t>
      </w:r>
      <w:bookmarkEnd w:id="1"/>
      <w:r>
        <w:t xml:space="preserve">. </w:t>
      </w:r>
      <w:r w:rsidR="00E3558E">
        <w:t xml:space="preserve">W jej programie zaplanowano aktywizacje poszczególnych obszarów Zdrowia, aby zachęcić mieszkańców do gremialnego świętowania narodzin naszego miasta. Jednym z obszarów funkcjonalnych Zdrowia jest tamtejsza strefa </w:t>
      </w:r>
      <w:r w:rsidR="00E3558E" w:rsidRPr="009D4149">
        <w:t>do</w:t>
      </w:r>
      <w:r w:rsidR="009D4149">
        <w:t> </w:t>
      </w:r>
      <w:r w:rsidR="00E3558E" w:rsidRPr="009D4149">
        <w:t>grillowania</w:t>
      </w:r>
      <w:r w:rsidR="00E3558E">
        <w:t xml:space="preserve">. Nie da się nie zauważyć, </w:t>
      </w:r>
      <w:r w:rsidR="002A2980">
        <w:t xml:space="preserve">że </w:t>
      </w:r>
      <w:r w:rsidR="00E3558E">
        <w:t>spożywanie lekkiego alkoholu jest stałym elementem rytuału tego typu biesiad w naszym społeczeństwie. Wprowadzając odstępstwo na ten czas, możemy z jednej strony przetestować powyżej omawiane przepisy na łódzkim gruncie, a z drugiej zachęcić łodzian do wspólnego</w:t>
      </w:r>
      <w:r w:rsidR="00454389">
        <w:t xml:space="preserve"> kulturalnego</w:t>
      </w:r>
      <w:r w:rsidR="00E3558E">
        <w:t xml:space="preserve"> spędzenia czasu w przestrzeni publicznej</w:t>
      </w:r>
      <w:r w:rsidR="00454389">
        <w:t xml:space="preserve"> w ramach obchodów</w:t>
      </w:r>
      <w:r w:rsidR="002A2980">
        <w:t xml:space="preserve"> </w:t>
      </w:r>
      <w:r w:rsidR="002A2980" w:rsidRPr="002A2980">
        <w:t>600-lecia Łodzi</w:t>
      </w:r>
      <w:r w:rsidR="002A2980">
        <w:t>.</w:t>
      </w:r>
    </w:p>
    <w:p w14:paraId="2EC21924" w14:textId="77777777" w:rsidR="00E3558E" w:rsidRDefault="00E3558E" w:rsidP="006E4AF4">
      <w:pPr>
        <w:keepLines/>
        <w:spacing w:before="240" w:after="120"/>
        <w:jc w:val="both"/>
      </w:pPr>
    </w:p>
    <w:p w14:paraId="4CF6B18A" w14:textId="77777777" w:rsidR="00E3558E" w:rsidRDefault="00E3558E" w:rsidP="006E4AF4">
      <w:pPr>
        <w:keepLines/>
        <w:spacing w:before="240" w:after="120"/>
        <w:jc w:val="both"/>
      </w:pPr>
    </w:p>
    <w:p w14:paraId="0CB152AD" w14:textId="5D8A545D" w:rsidR="00B25598" w:rsidRDefault="00B25598" w:rsidP="006E4AF4">
      <w:pPr>
        <w:keepLines/>
        <w:spacing w:before="240" w:after="120"/>
        <w:jc w:val="both"/>
      </w:pPr>
    </w:p>
    <w:p w14:paraId="1ED364A1" w14:textId="77777777" w:rsidR="00B25598" w:rsidRDefault="00B25598">
      <w:pPr>
        <w:jc w:val="left"/>
      </w:pPr>
      <w:r>
        <w:br w:type="page"/>
      </w:r>
    </w:p>
    <w:p w14:paraId="56E58E24" w14:textId="7A140E24" w:rsidR="00267257" w:rsidRDefault="009F15A7" w:rsidP="007C1AE2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Załącznik Nr 1</w:t>
      </w:r>
    </w:p>
    <w:p w14:paraId="0E9FDCBD" w14:textId="28F7FEB1" w:rsidR="003818AB" w:rsidRDefault="003818AB" w:rsidP="007C1AE2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Miejsce</w:t>
      </w:r>
      <w:r w:rsidR="001D71CB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w których nie obwiązuje zakaz spożywania alkoholu.</w:t>
      </w:r>
    </w:p>
    <w:p w14:paraId="4515D3B2" w14:textId="0DA5FE25" w:rsidR="009F15A7" w:rsidRPr="007C1AE2" w:rsidRDefault="0094680A" w:rsidP="007C1AE2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object w:dxaOrig="11009" w:dyaOrig="11022" w14:anchorId="7079D9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471pt" o:ole="">
            <v:imagedata r:id="rId9" o:title=""/>
          </v:shape>
          <o:OLEObject Type="Embed" ProgID="Unknown" ShapeID="_x0000_i1025" DrawAspect="Content" ObjectID="_1745153465" r:id="rId10"/>
        </w:object>
      </w:r>
    </w:p>
    <w:sectPr w:rsidR="009F15A7" w:rsidRPr="007C1AE2" w:rsidSect="00B578FC">
      <w:footerReference w:type="defaul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0C8DA" w14:textId="77777777" w:rsidR="00D7686D" w:rsidRDefault="00D7686D" w:rsidP="00CD2895">
      <w:r>
        <w:separator/>
      </w:r>
    </w:p>
  </w:endnote>
  <w:endnote w:type="continuationSeparator" w:id="0">
    <w:p w14:paraId="1A19AA65" w14:textId="77777777" w:rsidR="00D7686D" w:rsidRDefault="00D7686D" w:rsidP="00CD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71"/>
      <w:gridCol w:w="3135"/>
    </w:tblGrid>
    <w:tr w:rsidR="00CD2895" w14:paraId="5E8C6FBE" w14:textId="77777777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B995604" w14:textId="77777777" w:rsidR="00CD2895" w:rsidRDefault="00B578F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485DD6D" w14:textId="77777777" w:rsidR="00CD2895" w:rsidRDefault="00B578F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D289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D2895">
            <w:rPr>
              <w:sz w:val="18"/>
            </w:rPr>
            <w:fldChar w:fldCharType="separate"/>
          </w:r>
          <w:r w:rsidR="00B003D4">
            <w:rPr>
              <w:noProof/>
              <w:sz w:val="18"/>
            </w:rPr>
            <w:t>1</w:t>
          </w:r>
          <w:r w:rsidR="00CD2895">
            <w:rPr>
              <w:sz w:val="18"/>
            </w:rPr>
            <w:fldChar w:fldCharType="end"/>
          </w:r>
        </w:p>
      </w:tc>
    </w:tr>
  </w:tbl>
  <w:p w14:paraId="4CA7C15C" w14:textId="77777777" w:rsidR="00CD2895" w:rsidRDefault="00CD289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DCD5D" w14:textId="77777777" w:rsidR="00D7686D" w:rsidRDefault="00D7686D" w:rsidP="00CD2895">
      <w:r>
        <w:separator/>
      </w:r>
    </w:p>
  </w:footnote>
  <w:footnote w:type="continuationSeparator" w:id="0">
    <w:p w14:paraId="316A5E48" w14:textId="77777777" w:rsidR="00D7686D" w:rsidRDefault="00D7686D" w:rsidP="00CD2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C4394"/>
    <w:multiLevelType w:val="hybridMultilevel"/>
    <w:tmpl w:val="68388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C25C2"/>
    <w:multiLevelType w:val="hybridMultilevel"/>
    <w:tmpl w:val="9B74455E"/>
    <w:lvl w:ilvl="0" w:tplc="517433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67C79E8"/>
    <w:multiLevelType w:val="hybridMultilevel"/>
    <w:tmpl w:val="2CE47A52"/>
    <w:lvl w:ilvl="0" w:tplc="BE7C35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D5CB2"/>
    <w:rsid w:val="001647FB"/>
    <w:rsid w:val="00182A1B"/>
    <w:rsid w:val="001B25EB"/>
    <w:rsid w:val="001D71CB"/>
    <w:rsid w:val="00267257"/>
    <w:rsid w:val="00282509"/>
    <w:rsid w:val="002A2980"/>
    <w:rsid w:val="002C264A"/>
    <w:rsid w:val="00323861"/>
    <w:rsid w:val="00380905"/>
    <w:rsid w:val="003818AB"/>
    <w:rsid w:val="003F6488"/>
    <w:rsid w:val="00454389"/>
    <w:rsid w:val="004C1A6B"/>
    <w:rsid w:val="005011B0"/>
    <w:rsid w:val="00542AA9"/>
    <w:rsid w:val="005A30DC"/>
    <w:rsid w:val="005E4603"/>
    <w:rsid w:val="0063639D"/>
    <w:rsid w:val="006763FF"/>
    <w:rsid w:val="006D68B1"/>
    <w:rsid w:val="006E4AF4"/>
    <w:rsid w:val="006F07EB"/>
    <w:rsid w:val="007C1AE2"/>
    <w:rsid w:val="007D6476"/>
    <w:rsid w:val="00854342"/>
    <w:rsid w:val="008D019D"/>
    <w:rsid w:val="008E2810"/>
    <w:rsid w:val="0094680A"/>
    <w:rsid w:val="009D4149"/>
    <w:rsid w:val="009F15A7"/>
    <w:rsid w:val="00A41B83"/>
    <w:rsid w:val="00A459A1"/>
    <w:rsid w:val="00A77B3E"/>
    <w:rsid w:val="00AF3EBF"/>
    <w:rsid w:val="00B003D4"/>
    <w:rsid w:val="00B25598"/>
    <w:rsid w:val="00B578FC"/>
    <w:rsid w:val="00B76AD3"/>
    <w:rsid w:val="00BA6648"/>
    <w:rsid w:val="00BC53DF"/>
    <w:rsid w:val="00C73C97"/>
    <w:rsid w:val="00CA2A55"/>
    <w:rsid w:val="00CD2895"/>
    <w:rsid w:val="00D7686D"/>
    <w:rsid w:val="00DF1C52"/>
    <w:rsid w:val="00E3558E"/>
    <w:rsid w:val="00EA7DE1"/>
    <w:rsid w:val="00EC1679"/>
    <w:rsid w:val="00EE305B"/>
    <w:rsid w:val="00FA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363A0"/>
  <w15:docId w15:val="{ECC3E22A-5100-416A-808A-DBB37602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99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D2895"/>
    <w:pPr>
      <w:jc w:val="center"/>
    </w:pPr>
    <w:rPr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e">
    <w:name w:val="Domy?ne"/>
    <w:basedOn w:val="Normalny"/>
    <w:uiPriority w:val="99"/>
    <w:rsid w:val="00CD2895"/>
    <w:pPr>
      <w:jc w:val="left"/>
    </w:pPr>
    <w:rPr>
      <w:color w:val="000000"/>
      <w:sz w:val="22"/>
      <w:szCs w:val="20"/>
      <w:lang w:val="zh-TW" w:eastAsia="zh-TW" w:bidi="zh-TW"/>
    </w:rPr>
  </w:style>
  <w:style w:type="paragraph" w:styleId="Tekstdymka">
    <w:name w:val="Balloon Text"/>
    <w:basedOn w:val="Normalny"/>
    <w:link w:val="TekstdymkaZnak"/>
    <w:rsid w:val="00BC53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C53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543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4342"/>
    <w:rPr>
      <w:sz w:val="24"/>
      <w:szCs w:val="24"/>
    </w:rPr>
  </w:style>
  <w:style w:type="paragraph" w:styleId="Stopka">
    <w:name w:val="footer"/>
    <w:basedOn w:val="Normalny"/>
    <w:link w:val="StopkaZnak"/>
    <w:rsid w:val="008543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54342"/>
    <w:rPr>
      <w:sz w:val="24"/>
      <w:szCs w:val="24"/>
    </w:rPr>
  </w:style>
  <w:style w:type="character" w:customStyle="1" w:styleId="Numerwiersza1">
    <w:name w:val="Numer wiersza1"/>
    <w:basedOn w:val="Domylnaczcionkaakapitu"/>
    <w:uiPriority w:val="99"/>
    <w:rsid w:val="00854342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rsid w:val="00854342"/>
    <w:rPr>
      <w:rFonts w:ascii="Times New Roman" w:hAnsi="Times New Roman" w:cs="Times New Roman"/>
      <w:color w:val="0000FF"/>
      <w:u w:val="single"/>
    </w:rPr>
  </w:style>
  <w:style w:type="paragraph" w:customStyle="1" w:styleId="Tre">
    <w:name w:val="Treść"/>
    <w:uiPriority w:val="99"/>
    <w:rsid w:val="006D68B1"/>
    <w:pPr>
      <w:spacing w:after="200" w:line="276" w:lineRule="auto"/>
    </w:pPr>
    <w:rPr>
      <w:rFonts w:ascii="Calibri" w:hAnsi="Calibri"/>
      <w:noProof/>
      <w:color w:val="000000"/>
      <w:sz w:val="22"/>
      <w:szCs w:val="22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639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D0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7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228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500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322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ustalenia lokalizacji inwestycji mieszkaniowej i^inwestycji towarzyszących przy^ulicy Mielczarskiego 11^w^Łodzi.</dc:subject>
  <dc:creator>mmucha</dc:creator>
  <cp:lastModifiedBy>Małgorzata Wójcik</cp:lastModifiedBy>
  <cp:revision>2</cp:revision>
  <dcterms:created xsi:type="dcterms:W3CDTF">2023-05-09T14:05:00Z</dcterms:created>
  <dcterms:modified xsi:type="dcterms:W3CDTF">2023-05-09T14:05:00Z</dcterms:modified>
  <cp:category>Akt prawny</cp:category>
</cp:coreProperties>
</file>