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80" w:rsidRDefault="00392180" w:rsidP="0039218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bookmarkStart w:id="0" w:name="_Hlk134693857"/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73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392180" w:rsidRDefault="00392180" w:rsidP="0039218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16 maja 2023 r.</w:t>
      </w:r>
    </w:p>
    <w:p w:rsidR="00392180" w:rsidRDefault="00392180" w:rsidP="00392180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92180" w:rsidRDefault="00392180" w:rsidP="0039218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92180" w:rsidRDefault="00392180" w:rsidP="00392180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392180" w:rsidRDefault="00392180" w:rsidP="0039218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392180" w:rsidRDefault="00392180" w:rsidP="0039218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392180" w:rsidRDefault="00392180" w:rsidP="00392180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392180" w:rsidRDefault="00392180" w:rsidP="00392180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1" w:name="_GoBack"/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p. …na działania </w:t>
      </w:r>
    </w:p>
    <w:p w:rsidR="00392180" w:rsidRDefault="00392180" w:rsidP="003921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Pierwszego Wiceprezydenta Miasta Łodzi</w:t>
      </w:r>
      <w:bookmarkEnd w:id="1"/>
      <w:r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392180" w:rsidRDefault="00392180" w:rsidP="00392180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92180" w:rsidRDefault="00392180" w:rsidP="00392180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r. poz. 40 i 572) oraz art. 229 pkt 3, art. 237 § 3 oraz art. 238 § 1 ustawy z dnia 14 czerwca 1960 r. - Kodeks postępowania administracyjnego (Dz. U. z 2023 r. poz. 775), Rada Miejska w Łodzi</w:t>
      </w:r>
    </w:p>
    <w:p w:rsidR="00392180" w:rsidRDefault="00392180" w:rsidP="0039218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392180" w:rsidRDefault="00392180" w:rsidP="00392180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180" w:rsidRDefault="00392180" w:rsidP="0039218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>p……</w:t>
      </w:r>
      <w:r>
        <w:rPr>
          <w:rFonts w:ascii="Times New Roman" w:hAnsi="Times New Roman"/>
          <w:bCs/>
          <w:sz w:val="24"/>
          <w:szCs w:val="24"/>
        </w:rPr>
        <w:t xml:space="preserve"> działania Pierwszego Wiceprezydenta Miasta Łodzi p. Adama Pustelnika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392180" w:rsidRDefault="00392180" w:rsidP="00392180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392180" w:rsidRDefault="00392180" w:rsidP="00392180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Skarżącemu niniejszej uchwały wraz z uzasadnieniem.</w:t>
      </w:r>
    </w:p>
    <w:p w:rsidR="00392180" w:rsidRDefault="00392180" w:rsidP="00392180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392180" w:rsidRDefault="00392180" w:rsidP="0039218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2180" w:rsidRDefault="00392180" w:rsidP="00392180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2180" w:rsidRDefault="00392180" w:rsidP="003921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2180" w:rsidRDefault="00392180" w:rsidP="00392180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392180" w:rsidRDefault="00392180" w:rsidP="0039218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2180" w:rsidRDefault="00392180" w:rsidP="0039218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2180" w:rsidRDefault="00392180" w:rsidP="00392180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92180" w:rsidRDefault="00392180" w:rsidP="00392180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392180" w:rsidRDefault="00392180" w:rsidP="00392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392180" w:rsidRDefault="00392180" w:rsidP="00392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392180" w:rsidRDefault="00392180" w:rsidP="003921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392180" w:rsidRDefault="00392180" w:rsidP="00392180"/>
    <w:p w:rsidR="00392180" w:rsidRDefault="00392180" w:rsidP="00392180"/>
    <w:p w:rsidR="00392180" w:rsidRDefault="00392180" w:rsidP="00392180"/>
    <w:p w:rsidR="00392180" w:rsidRDefault="00392180" w:rsidP="00392180"/>
    <w:p w:rsidR="00392180" w:rsidRPr="0021538A" w:rsidRDefault="00392180" w:rsidP="00392180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392180" w:rsidRPr="0021538A" w:rsidRDefault="00392180" w:rsidP="00392180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392180" w:rsidRPr="0021538A" w:rsidRDefault="00392180" w:rsidP="00392180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392180" w:rsidRPr="0021538A" w:rsidRDefault="00392180" w:rsidP="00392180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392180" w:rsidRPr="0021538A" w:rsidRDefault="00392180" w:rsidP="00392180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392180" w:rsidRPr="0021538A" w:rsidRDefault="00392180" w:rsidP="00392180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392180" w:rsidRPr="0021538A" w:rsidRDefault="00392180" w:rsidP="00392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bookmarkEnd w:id="0"/>
    <w:p w:rsidR="00392180" w:rsidRPr="0067320D" w:rsidRDefault="00392180" w:rsidP="0039218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W dniu 29 marca 2023 r. do Rady Miejskiej w Łodzi została złożona skarga dotycząca braku nadzoru nad działalnością Powiatowego Inspektora Nadzoru Budowlanego.</w:t>
      </w:r>
    </w:p>
    <w:p w:rsidR="00392180" w:rsidRPr="0067320D" w:rsidRDefault="00392180" w:rsidP="0039218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92180" w:rsidRPr="0067320D" w:rsidRDefault="00392180" w:rsidP="003921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392180" w:rsidRPr="0067320D" w:rsidRDefault="00392180" w:rsidP="003921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92180" w:rsidRPr="0067320D" w:rsidRDefault="00392180" w:rsidP="003921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W wyniku przeprowadzonej kwerendy ustalono, że zgodnie z art. 80 ust. 2.</w:t>
      </w:r>
      <w:r w:rsidRPr="006732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Ustawy Prawo Budowlane</w:t>
      </w:r>
      <w:r w:rsidRPr="0067320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zadania nadzoru budowlanego wykonują następujące organy: 1) powiatowy inspektor nadzoru budowlanego; 2) wojewoda przy pomocy wojewódzkiego inspektora nadzoru budowlanego jako kierownika wojewódzkiego nadzoru budowlanego, wchodzącego w skład zespolonej administracji wojewódzkiej;</w:t>
      </w:r>
    </w:p>
    <w:p w:rsidR="00392180" w:rsidRPr="0067320D" w:rsidRDefault="00392180" w:rsidP="003921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Warto zaznaczyć, że choć Powiatowy inspektor nadzoru budowlanego jest powoływany przez starostę i starosta również odwołuje powiatowego inspektora nadzoru budowlanego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uzgodnieniu z wojewódzkim inspektorem nadzoru budowlanego albo na wniosek wojewódzkiego inspektora nadzoru budowlanego, to jednak organem wyższego stopnia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 xml:space="preserve">stosunku do powiatowego inspektora nadzoru budowlanego jest wojewódzki inspektor nadzoru budowlanego. </w:t>
      </w:r>
    </w:p>
    <w:p w:rsidR="00392180" w:rsidRPr="0067320D" w:rsidRDefault="00392180" w:rsidP="003921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Pomimo użytych przez ustawodawcę zwrotów sugerujących głębszy związek ustrojowy pomiędzy Powiatowym Inspektorem Nadzoru Budowlanego a starostą, lub wykonującym uprawnienia starosty prezydentem miasta na prawach powiatu, związek ten jest dość iluzoryczny. Co więcej zgodnie z § 3 pkt 3 Zarządzenia nr 755/2023 Prezydenta Miasta Łodzi z dnia 6 kwietnia 2023 r. w sprawie ustalenia zakresu spraw prowadzonych przez Prezydenta Miasta Łodzi oraz powierzonych wiceprezydentom Miasta Łodzi, Sekretarzowi Miasta Łodzi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Skarbnikowi Miasta Łodzi, Pierwszy Wiceprezydent Miasta Łodzi wyłącznie współpracuje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Powiatowym Inspektorem Nadzoru Budowlanego.</w:t>
      </w:r>
    </w:p>
    <w:p w:rsidR="00392180" w:rsidRPr="0067320D" w:rsidRDefault="00392180" w:rsidP="003921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 </w:t>
      </w:r>
    </w:p>
    <w:p w:rsidR="00392180" w:rsidRPr="0067320D" w:rsidRDefault="00392180" w:rsidP="0039218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Biorąc powyższe pod uwagę, należy uznać skargę za bezzasadną. Jednocześnie zgodzić należy się ze Skarżącym, iż ustawowe uregulowanie relacji organów nadzoru budowlanego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organami samorządu są zbyt ogólne i luźne. Zdaniem Rady Miejskiej w Łodzi kwestia 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 xml:space="preserve">powinna być przedmiotem pogłębionej analizy przez organy posiadające inicjatywę ustawodawczą w tym zakresie. </w:t>
      </w:r>
    </w:p>
    <w:p w:rsidR="00392180" w:rsidRPr="0067320D" w:rsidRDefault="00392180" w:rsidP="0039218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92180" w:rsidRPr="0067320D" w:rsidRDefault="00392180" w:rsidP="0039218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392180" w:rsidRPr="0067320D" w:rsidRDefault="00392180" w:rsidP="0039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392180" w:rsidRPr="0067320D" w:rsidRDefault="00392180" w:rsidP="0039218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20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673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W przypadku, gdy skarga, w wyniku jej rozpatrzenia, została uznana za bezzasadną i jej bezzasadność wykazano w odpowiedzi na skargę, a skarżący ponowił skargę bez wskazania nowych okoliczności – organ właściwy do jej rozpatrzenia może podtrzymać </w:t>
      </w:r>
      <w:r w:rsidRPr="0067320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lastRenderedPageBreak/>
        <w:t>swoje poprzednie stanowisko z odpowiednią adnotacją w aktach sprawy – bez zawiadamiania skarżącego”.</w:t>
      </w:r>
    </w:p>
    <w:p w:rsidR="00B13424" w:rsidRDefault="00E038BB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80"/>
    <w:rsid w:val="001A7B09"/>
    <w:rsid w:val="00392180"/>
    <w:rsid w:val="00776C89"/>
    <w:rsid w:val="00E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A031-7772-4218-BD7F-FD58D78F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2023-05-29T11:55:00Z</dcterms:created>
  <dcterms:modified xsi:type="dcterms:W3CDTF">2023-05-29T11:55:00Z</dcterms:modified>
</cp:coreProperties>
</file>