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F1" w:rsidRPr="00CC6AF1" w:rsidRDefault="00CC6AF1" w:rsidP="00CC6AF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Druk Nr 151/2023</w:t>
      </w:r>
    </w:p>
    <w:p w:rsidR="00CC6AF1" w:rsidRPr="00CC6AF1" w:rsidRDefault="00CC6AF1" w:rsidP="00CC6AF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Projekt z dnia 30 czerwca 2023 r.</w:t>
      </w: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CC6A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CC6AF1" w:rsidRPr="00CC6AF1" w:rsidRDefault="00CC6AF1" w:rsidP="00CC6AF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gramStart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              lipca</w:t>
      </w:r>
      <w:proofErr w:type="gramEnd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</w:p>
    <w:p w:rsidR="00CC6AF1" w:rsidRPr="00CC6AF1" w:rsidRDefault="00CC6AF1" w:rsidP="00CC6AF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emisji obligacji komunalnych miasta Łodzi.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9 lit. b i art. 58 ust. 1 ustawy z dnia 8 marca 1990 r.</w:t>
      </w: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 samorządzie gminnym (Dz. U. 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poz. 40 i 572) w związku z art. 91 i art. 92 ust. 1 pkt 1 ustawy z dnia 5 czerwca 1998 r. o samorządzie powiatowym (Dz. U. 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2022 r. poz. 1526 oraz z 2023 r. poz. 572) oraz art. 89 ust. 1 pkt 2 ustawy z dnia 27 sierpnia 2009 r. o finansach publicznych (Dz. U. 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poz. 1634, 1692, 1725, 1747, 1768, 1964 i 2414 oraz z 2023 r. poz. 412, 497, 658, 803 i 1059), art. 2 pkt 5, art. 32 i art. 33 pkt 2 ustawy z dnia 15 stycznia 2015 r. o obligacjach (Dz. U. 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 2022 r. poz. 2244 oraz z 2023 r. poz. 825), Rada Miejska w Łodzi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</w:t>
      </w:r>
      <w:proofErr w:type="gramEnd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1. 1. Miasto Łódź w 2023 r. wyemituje 100.000 (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: sto tysięcy) obligacji komunalnych o wartości nominalnej 1.000 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jeden tysiąc złotych) każda, na łączną kwotę 100.000.000 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sto milionów złotych).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Emitowane obligacje komunalne miasta Łodzi, zwane dalej obligacjami, nie będą zabezpieczone.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Emisja obligacji nastąpi poprzez propozycję nabycia skierowaną do jednego adresata.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Emitowane obligacje będą obligacjami na okaziciela.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Środki z emisji obligacji przeznacza się na sfinansowanie planowanego deficytu budżetu miasta Łodzi w 2023 roku.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1.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Obligacje zostaną wyemitowane w 2023 r. w następujących seriach: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LODZ112331 o wartości 20.000.000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(słownie: dwadzieścia milionów złotych) nie później niż w dniu 29 grudnia 2023 r.;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LODZ122332 o wartości 20.000.000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(słownie: dwadzieścia milionów złotych) nie później niż w dniu 29 grudnia 2023 r.;  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LODZ132333 o wartości 20.000.000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(słownie: dwadzieścia milionów złotych) nie później niż w dniu 29 grudnia 2023 r.;  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LODZ142334 o wartości 20.000.000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(słownie: dwadzieścia milionów złotych) nie później niż w dniu 29 grudnia 2023 r.;  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LODZ152335 o wartości 20.000.000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(słownie: dwadzieścia milionów złotych) nie później niż w dniu 29 grudnia 2023 r.  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Cena emisyjna obligacji będzie równa wartości nominalnej.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4. 1.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Wykup obligacji będzie następował począwszy od 2031 r. do 2035 r. 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w terminach rocznych: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2031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 ̶  wykup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obligacji serii LODZ112331;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  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2032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 ̶  wykup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obligacji serii LODZ122332;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2033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 ̶  wykup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obligacji serii LODZ132333;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4) 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2034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 ̶  wykup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obligacji serii LODZ142334;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 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2035 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 ̶  wykup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obligacji serii LODZ152335.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Obligacje zostaną wykupione według ich wartości nominalnej.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Miasto Łódź ma prawo wykupu obligacji przed terminem wykupu, w celu umorzenia.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5. 1.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Oprocentowanie obligacji będzie naliczane od wartości nominalnej, począwszy od daty emisji </w:t>
      </w:r>
      <w:proofErr w:type="gramStart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obligacji  i</w:t>
      </w:r>
      <w:proofErr w:type="gramEnd"/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wypłacane w okresach półrocznych, z zastrzeżeniem, że pierwszy okres odsetkowy może trwać maksymalnie dwanaście miesięcy.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Oprocentowanie obligacji będzie zmienne, oparte na stawce WIBOR 6M, powiększone o stałą marżę banku.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Oprocentowanie wypłacane będzie w następnym dniu po upływie okresu odsetkowego.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Jeżeli termin wypłaty oprocentowania określony w ust. 3 przypadnie na sobotę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lub na dzień ustawowo wolny od pracy, wypłata oprocentowania nastąpi w pierwszym dniu roboczym, następującym po tym dniu.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6. 1.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Wykup obligacji zostanie sfinansowany z dochodów własnych miasta Łodzi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i przychodów budżetu miasta Łodzi.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Wydatki związane z organizacją i przeprowadzeniem emisji obligacji oraz wypłatą oprocentowania zostaną pokryte z dochodów własnych miasta Łodzi.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7.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§ 8. </w:t>
      </w:r>
      <w:r w:rsidRPr="00CC6AF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 życie z dniem podjęcia i podlega ogłoszeniu.</w:t>
      </w: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C6AF1" w:rsidRPr="00CC6AF1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F1" w:rsidRPr="00CC6AF1" w:rsidRDefault="00CC6AF1" w:rsidP="00CC6AF1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F1" w:rsidRPr="00CC6AF1" w:rsidRDefault="00CC6AF1" w:rsidP="00CC6AF1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CC6AF1">
              <w:rPr>
                <w:color w:val="000000"/>
                <w:sz w:val="24"/>
                <w:szCs w:val="24"/>
                <w:u w:color="000000"/>
              </w:rPr>
              <w:instrText>SIGNATURE_0_1_FUNCTION</w:instrTex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proofErr w:type="spellStart"/>
            <w:r w:rsidRPr="00CC6AF1">
              <w:rPr>
                <w:color w:val="000000"/>
                <w:sz w:val="24"/>
                <w:szCs w:val="24"/>
                <w:u w:color="000000"/>
              </w:rPr>
              <w:t>Przewodniczący|Rady</w:t>
            </w:r>
            <w:proofErr w:type="spellEnd"/>
            <w:r w:rsidRPr="00CC6AF1">
              <w:rPr>
                <w:color w:val="000000"/>
                <w:sz w:val="24"/>
                <w:szCs w:val="24"/>
                <w:u w:color="000000"/>
              </w:rPr>
              <w:t xml:space="preserve"> Miejskiej w Łodzi</w: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  <w:p w:rsidR="00CC6AF1" w:rsidRPr="00CC6AF1" w:rsidRDefault="00CC6AF1" w:rsidP="00CC6AF1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C6AF1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CC6AF1" w:rsidRPr="00CC6AF1" w:rsidRDefault="00CC6AF1" w:rsidP="00CC6AF1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CC6AF1">
              <w:rPr>
                <w:color w:val="000000"/>
                <w:sz w:val="24"/>
                <w:szCs w:val="24"/>
                <w:u w:color="000000"/>
              </w:rPr>
              <w:instrText>SIGNATURE_0_1_FIRSTNAME</w:instrTex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CC6AF1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Marcin </w: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end"/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CC6AF1">
              <w:rPr>
                <w:color w:val="000000"/>
                <w:sz w:val="24"/>
                <w:szCs w:val="24"/>
                <w:u w:color="000000"/>
              </w:rPr>
              <w:instrText>SIGNATURE_0_1_LASTNAME</w:instrTex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CC6AF1">
              <w:rPr>
                <w:b/>
                <w:bCs/>
                <w:color w:val="000000"/>
                <w:sz w:val="24"/>
                <w:szCs w:val="24"/>
                <w:u w:color="000000"/>
              </w:rPr>
              <w:t>GOŁASZEWSKI</w:t>
            </w:r>
            <w:r w:rsidRPr="00CC6AF1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</w:tc>
      </w:tr>
    </w:tbl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Projektodawcą jest</w:t>
      </w: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Łodzi</w:t>
      </w: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proofErr w:type="gramEnd"/>
      <w:r w:rsidRPr="00CC6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uchwały w sprawie emisji obligacji komunalnych miasta Łodzi.</w:t>
      </w: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finansach publicznych nie zawiera podstaw prawnych do umieszczania</w:t>
      </w: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treści uchwały budżetowej postanowień w sprawie zaciągnięcia długoterminowych kredytów i pożyczek oraz emisji papierów wartościowych na sfinansowanie planowanego deficytu oraz wcześniej zaciągniętych zobowiązań z tytułu kredytów i pożyczek.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postanowienia dotyczące emisji obligacji są przedłożone</w:t>
      </w: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odrębnym projekcie uchwały – uchwały w sprawie emisji obligacji.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dokona wyboru instytucji finansowej, która przedłoży najkorzystniejszą ofertę na przeprowadzenie i obsługę emisji obligacji komunalnych. 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wyboru instytucji finansowej nie ma zastosowania ustawa Prawo zamówień publicznych z dnia 11 września 2019 r. wraz ze zm. (art. 11 ust. 1 pkt 7).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Emisja obligacji komunalnych w wysokości 100.000.000 </w:t>
      </w:r>
      <w:proofErr w:type="gramStart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CC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konieczna ze względu na dodatkowe zapotrzebowanie na środki pieniężne co wynika z aktualnego stanu realizacji budżetu będącego skutkiem obecnej sytuacji gospodarczej (m.in. wysokiej inflacji, konieczności waloryzacji wynagrodzeń pracowników i umów wykonawczych, szczególnie na realizację zadań inwestycyjnych) oraz niezadowalających dochodów (w szczególności z tytułu braku adekwatnej rekompensaty z tytułu ubytków w PIT).</w:t>
      </w:r>
    </w:p>
    <w:p w:rsidR="00CC6AF1" w:rsidRPr="00CC6AF1" w:rsidRDefault="00CC6AF1" w:rsidP="00CC6AF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F1" w:rsidRPr="00CC6AF1" w:rsidRDefault="00CC6AF1" w:rsidP="00CC6A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742A" w:rsidRDefault="00B9742A"/>
    <w:sectPr w:rsidR="00B9742A" w:rsidSect="00B858DA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1"/>
    <w:rsid w:val="00B9742A"/>
    <w:rsid w:val="00C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F034"/>
  <w15:chartTrackingRefBased/>
  <w15:docId w15:val="{266D4B98-B2F8-4953-9B06-F8218E5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CC6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Jaroszczak</dc:creator>
  <cp:keywords/>
  <dc:description/>
  <cp:lastModifiedBy>Anna Jaroszczak</cp:lastModifiedBy>
  <cp:revision>1</cp:revision>
  <dcterms:created xsi:type="dcterms:W3CDTF">2023-06-30T12:55:00Z</dcterms:created>
  <dcterms:modified xsi:type="dcterms:W3CDTF">2023-06-30T13:00:00Z</dcterms:modified>
</cp:coreProperties>
</file>