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3E4576" w:rsidP="00D15039">
      <w:pPr>
        <w:ind w:left="6096"/>
        <w:jc w:val="left"/>
      </w:pPr>
      <w:r>
        <w:t>Druk Nr</w:t>
      </w:r>
      <w:r w:rsidR="00D15039">
        <w:t xml:space="preserve"> 163/2023</w:t>
      </w:r>
    </w:p>
    <w:p w:rsidR="00A77B3E" w:rsidRDefault="003E4576" w:rsidP="00D15039">
      <w:pPr>
        <w:ind w:left="6096"/>
        <w:jc w:val="left"/>
      </w:pPr>
      <w:r>
        <w:t>Projekt z dnia</w:t>
      </w:r>
      <w:r w:rsidR="00D15039">
        <w:t xml:space="preserve"> </w:t>
      </w:r>
      <w:r w:rsidR="00D15039" w:rsidRPr="00D15039">
        <w:t>21 lipca 2023 r.</w:t>
      </w:r>
    </w:p>
    <w:p w:rsidR="00A77B3E" w:rsidRDefault="00A77B3E">
      <w:pPr>
        <w:ind w:left="6236"/>
        <w:jc w:val="left"/>
      </w:pPr>
    </w:p>
    <w:p w:rsidR="00A77B3E" w:rsidRDefault="003E4576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E4576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3E4576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3E4576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 i 572), w związku z art. 35 pkt 15 ustawy z dnia 19 listopada 2009 r. o grach hazardowych (Dz. U. z 2023 r. poz. 227), Rada Miejska w Łodzi</w:t>
      </w:r>
    </w:p>
    <w:p w:rsidR="00A77B3E" w:rsidRDefault="003E4576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3E4576">
      <w:pPr>
        <w:keepLines/>
        <w:spacing w:before="120" w:after="120"/>
        <w:ind w:firstLine="567"/>
        <w:jc w:val="both"/>
      </w:pPr>
      <w:r>
        <w:t>§ 1. Po rozpatrzeniu wniosku FORGAME ENERGY Sp. z o.o. z siedzibą w Poznaniu</w:t>
      </w:r>
      <w:r>
        <w:br/>
        <w:t>przy ul. Drużynowej 12, zarejestrowanej w Krajowym Rejestrze Sądowym pod numerem  0000556717, opiniuje się negatywnie lokalizację kasyna gry w budynku przy</w:t>
      </w:r>
      <w:r>
        <w:br/>
        <w:t>ul. Piotrkowskiej 280a w Łodzi.</w:t>
      </w:r>
    </w:p>
    <w:p w:rsidR="00A77B3E" w:rsidRDefault="003E4576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9351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51A" w:rsidRDefault="0039351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51A" w:rsidRDefault="003E4576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3E4576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3E4576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39351A" w:rsidRDefault="0039351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9351A" w:rsidRDefault="003E4576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39351A" w:rsidRDefault="003E4576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hazardowych (Dz. U. z 2023 r. poz. 227), </w:t>
      </w:r>
      <w:r>
        <w:rPr>
          <w:color w:val="000000"/>
          <w:szCs w:val="20"/>
          <w:shd w:val="clear" w:color="auto" w:fill="FFFFFF"/>
        </w:rPr>
        <w:t>FORGAME ENERGY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Sp. z o.o.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siedzibą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</w:t>
      </w:r>
      <w:r>
        <w:rPr>
          <w:color w:val="000000"/>
          <w:szCs w:val="20"/>
          <w:shd w:val="clear" w:color="auto" w:fill="FFFFFF"/>
        </w:rPr>
        <w:t>Poznaniu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wystąpiła z wnioskiem o wydanie przez Radę Miejską w Łodzi pozytywnej opinii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lokalizacji kasyna gry w budynku przy ul. </w:t>
      </w:r>
      <w:r>
        <w:rPr>
          <w:color w:val="000000"/>
          <w:szCs w:val="20"/>
          <w:shd w:val="clear" w:color="auto" w:fill="FFFFFF"/>
        </w:rPr>
        <w:t>Piotrkowskiej 280a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39351A" w:rsidRDefault="003E4576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39351A" w:rsidRDefault="003E4576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Ustosunkowując się do wniosku Spółki, zastrzeże</w:t>
      </w:r>
      <w:r>
        <w:rPr>
          <w:color w:val="000000"/>
          <w:szCs w:val="20"/>
          <w:shd w:val="clear" w:color="auto" w:fill="FFFFFF"/>
        </w:rPr>
        <w:t>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gry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wniosła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Straż Miejska w Łodzi oraz Komenda Miejska Policji w Łodzi.</w:t>
      </w:r>
      <w:r>
        <w:rPr>
          <w:color w:val="000000"/>
          <w:szCs w:val="20"/>
          <w:shd w:val="clear" w:color="auto" w:fill="FFFFFF"/>
        </w:rPr>
        <w:t xml:space="preserve"> Planowana lokalizacja kasyna gry może bowiem powodować zagrożenia godzące w porządek publiczny </w:t>
      </w:r>
      <w:r>
        <w:rPr>
          <w:color w:val="000000"/>
          <w:szCs w:val="20"/>
          <w:shd w:val="clear" w:color="auto" w:fill="FFFFFF"/>
        </w:rPr>
        <w:br/>
        <w:t xml:space="preserve">w odniesieniu do charakteru działalności innych podmiotów funkcjonujących w pobliżu omawianej nieruchomości. W jej sąsiedztwie znajdują się placówki oświatowe i wychowawcze: Szkoła Podstawowa nr 10 przy ul. Stanisława Przybyszewskiego 15, Społeczna Szkoła Podstawowa nr 1 przy ul. Czerwonej 8, Ogólnokształcąca Szkoła Muzyczna I </w:t>
      </w:r>
      <w:proofErr w:type="spellStart"/>
      <w:r>
        <w:rPr>
          <w:color w:val="000000"/>
          <w:szCs w:val="20"/>
          <w:shd w:val="clear" w:color="auto" w:fill="FFFFFF"/>
        </w:rPr>
        <w:t>i</w:t>
      </w:r>
      <w:proofErr w:type="spellEnd"/>
      <w:r>
        <w:rPr>
          <w:color w:val="000000"/>
          <w:szCs w:val="20"/>
          <w:shd w:val="clear" w:color="auto" w:fill="FFFFFF"/>
        </w:rPr>
        <w:t xml:space="preserve"> II stopnia przy ul. Sosnowej 9 oraz Przedszkole Miejskie nr 207 przy ul. Piotrkowskiej 272. Ponadto, </w:t>
      </w:r>
      <w:r>
        <w:rPr>
          <w:color w:val="000000"/>
          <w:szCs w:val="20"/>
          <w:shd w:val="clear" w:color="auto" w:fill="FFFFFF"/>
        </w:rPr>
        <w:br/>
        <w:t>w pobliżu mieści się również Centralne Muzeum Włókiennictwa w Łodzi i Łódzki Park Kultury Miejskiej przy ul. Piotrkowskiej 282, Park im. Władysława Reymonta z placem zabaw dla dzieci oraz obiekty sakralne - Kościół Ewangelicki św. Mateusza w Łodzi i Bazylika Archikatedralna św. Stanisława Kostki w Łodzi.</w:t>
      </w:r>
    </w:p>
    <w:p w:rsidR="0039351A" w:rsidRDefault="003E4576">
      <w:pPr>
        <w:ind w:left="284"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Opinii co do lokalizacji kasyna gry nie wyraziła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właściwa miejscowo jednostka pomocnicza Miasta – Osiedle </w:t>
      </w:r>
      <w:r>
        <w:rPr>
          <w:color w:val="000000"/>
          <w:szCs w:val="20"/>
          <w:shd w:val="clear" w:color="auto" w:fill="FFFFFF"/>
        </w:rPr>
        <w:t>Górniak.</w:t>
      </w:r>
    </w:p>
    <w:p w:rsidR="0039351A" w:rsidRDefault="003E4576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Tym samym, negatywnie opiniuje się proponowaną lokalizację kasyna gry w budynku przy ul. Piotrkowskiej 280a, z uwagi na bezpośrednie sąsiedztwo ww. obiektów użyteczności publicznej.</w:t>
      </w:r>
    </w:p>
    <w:p w:rsidR="0039351A" w:rsidRDefault="0039351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9351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0BF" w:rsidRDefault="00E700BF">
      <w:r>
        <w:separator/>
      </w:r>
    </w:p>
  </w:endnote>
  <w:endnote w:type="continuationSeparator" w:id="0">
    <w:p w:rsidR="00E700BF" w:rsidRDefault="00E7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9351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9351A" w:rsidRDefault="003E4576">
          <w:pPr>
            <w:jc w:val="left"/>
            <w:rPr>
              <w:sz w:val="18"/>
            </w:rPr>
          </w:pPr>
          <w:r>
            <w:rPr>
              <w:sz w:val="18"/>
            </w:rPr>
            <w:t>Id: 64B5A4E3-4C78-4A3A-AF38-F437AF1364CD.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9351A" w:rsidRDefault="003E45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1503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9351A" w:rsidRDefault="0039351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9351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9351A" w:rsidRDefault="003E4576">
          <w:pPr>
            <w:jc w:val="left"/>
            <w:rPr>
              <w:sz w:val="18"/>
            </w:rPr>
          </w:pPr>
          <w:r>
            <w:rPr>
              <w:sz w:val="18"/>
            </w:rPr>
            <w:t>Id: 64B5A4E3-4C78-4A3A-AF38-F437AF1364CD.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9351A" w:rsidRDefault="003E45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1503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9351A" w:rsidRDefault="0039351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0BF" w:rsidRDefault="00E700BF">
      <w:r>
        <w:separator/>
      </w:r>
    </w:p>
  </w:footnote>
  <w:footnote w:type="continuationSeparator" w:id="0">
    <w:p w:rsidR="00E700BF" w:rsidRDefault="00E7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9351A"/>
    <w:rsid w:val="003E4576"/>
    <w:rsid w:val="00A77B3E"/>
    <w:rsid w:val="00CA2A55"/>
    <w:rsid w:val="00D15039"/>
    <w:rsid w:val="00E700BF"/>
    <w:rsid w:val="00F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C80518-3061-47A1-A280-0155D630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Małgorzata Wójcik</cp:lastModifiedBy>
  <cp:revision>2</cp:revision>
  <dcterms:created xsi:type="dcterms:W3CDTF">2023-08-01T08:16:00Z</dcterms:created>
  <dcterms:modified xsi:type="dcterms:W3CDTF">2023-08-01T08:16:00Z</dcterms:modified>
  <cp:category>Akt prawny</cp:category>
</cp:coreProperties>
</file>