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B3E" w:rsidRDefault="00A77B3E">
      <w:pPr>
        <w:ind w:left="6236"/>
        <w:jc w:val="left"/>
        <w:rPr>
          <w:b/>
          <w:i/>
          <w:u w:val="thick"/>
        </w:rPr>
      </w:pPr>
    </w:p>
    <w:p w:rsidR="00A77B3E" w:rsidRDefault="00A77B3E">
      <w:pPr>
        <w:ind w:left="6236"/>
        <w:jc w:val="left"/>
        <w:rPr>
          <w:b/>
          <w:i/>
          <w:u w:val="thick"/>
        </w:rPr>
      </w:pPr>
    </w:p>
    <w:p w:rsidR="00A77B3E" w:rsidRDefault="0059080D">
      <w:pPr>
        <w:ind w:left="6236"/>
        <w:jc w:val="left"/>
      </w:pPr>
      <w:r>
        <w:t>Druk Nr</w:t>
      </w:r>
      <w:r w:rsidR="008A5639">
        <w:t xml:space="preserve"> 189/2023</w:t>
      </w:r>
    </w:p>
    <w:p w:rsidR="00A77B3E" w:rsidRDefault="0059080D">
      <w:pPr>
        <w:ind w:left="6236"/>
        <w:jc w:val="left"/>
      </w:pPr>
      <w:r>
        <w:t>Projekt z dnia</w:t>
      </w:r>
      <w:r w:rsidR="008A5639">
        <w:t xml:space="preserve"> 25.08.2023 r.</w:t>
      </w:r>
    </w:p>
    <w:p w:rsidR="00A77B3E" w:rsidRDefault="00A77B3E">
      <w:pPr>
        <w:ind w:left="6236"/>
        <w:jc w:val="left"/>
      </w:pPr>
    </w:p>
    <w:p w:rsidR="00A77B3E" w:rsidRDefault="0059080D">
      <w:pPr>
        <w:rPr>
          <w:b/>
          <w:caps/>
        </w:rPr>
      </w:pPr>
      <w:r>
        <w:rPr>
          <w:b/>
          <w:caps/>
        </w:rPr>
        <w:t>Uchwała Nr                     </w:t>
      </w:r>
      <w:r>
        <w:rPr>
          <w:b/>
          <w:caps/>
        </w:rPr>
        <w:br/>
        <w:t>Rady Miejskiej w Łodzi</w:t>
      </w:r>
    </w:p>
    <w:p w:rsidR="00A77B3E" w:rsidRDefault="0059080D">
      <w:pPr>
        <w:spacing w:before="240" w:after="240"/>
        <w:rPr>
          <w:b/>
          <w:caps/>
        </w:rPr>
      </w:pPr>
      <w:r>
        <w:rPr>
          <w:b/>
        </w:rPr>
        <w:t>z dnia                      2023 r.</w:t>
      </w:r>
    </w:p>
    <w:p w:rsidR="00A77B3E" w:rsidRDefault="0059080D">
      <w:pPr>
        <w:keepNext/>
        <w:spacing w:after="480"/>
      </w:pPr>
      <w:r>
        <w:rPr>
          <w:b/>
        </w:rPr>
        <w:t xml:space="preserve">w sprawie odmowy ustalenia lokalizacji inwestycji mieszkaniowej i inwestycji towarzyszących przy ulicach: Składowej 14, 16/18, 20/24, </w:t>
      </w:r>
      <w:r>
        <w:rPr>
          <w:b/>
        </w:rPr>
        <w:t>26/28 i Składowej bez numeru oraz Polskiej Organizacji Wojskowej 42 i Polskiej Organizacji Wojskowej bez numeru w Łodzi.</w:t>
      </w:r>
    </w:p>
    <w:p w:rsidR="00A77B3E" w:rsidRDefault="0059080D">
      <w:pPr>
        <w:keepLines/>
        <w:spacing w:before="120" w:after="120"/>
        <w:ind w:firstLine="567"/>
        <w:jc w:val="both"/>
      </w:pPr>
      <w:r>
        <w:t>Na podstawie art. 18 ust. 2 pkt 15 ustawy z dnia 8 marca 1990 r. o samorządzie gminnym (Dz. U. z 2023 r. poz. 40, 572 i 1463) oraz art.</w:t>
      </w:r>
      <w:r>
        <w:t> 7 ust. 4 ustawy z dnia 5 lipca 2018 r. o ułatwieniach w przygotowaniu i realizacji inwestycji mieszkaniowych oraz inwestycji towarzyszących (Dz. U. z 2021 r. poz. 1538 oraz z 2023 r. poz. 553 i 803), Rada Miejska w Łodzi</w:t>
      </w:r>
    </w:p>
    <w:p w:rsidR="00A77B3E" w:rsidRDefault="0059080D">
      <w:pPr>
        <w:spacing w:before="120" w:after="120"/>
        <w:rPr>
          <w:b/>
        </w:rPr>
      </w:pPr>
      <w:r>
        <w:rPr>
          <w:b/>
        </w:rPr>
        <w:t>uchwala, co następuje:</w:t>
      </w:r>
    </w:p>
    <w:p w:rsidR="00A77B3E" w:rsidRDefault="0059080D">
      <w:pPr>
        <w:keepLines/>
        <w:spacing w:before="240" w:after="120"/>
        <w:ind w:firstLine="567"/>
        <w:jc w:val="both"/>
      </w:pPr>
      <w:r>
        <w:t>§ 1. </w:t>
      </w:r>
      <w:r>
        <w:t>Odmawi</w:t>
      </w:r>
      <w:r>
        <w:t>a się wnioskodawcy POW HOCAN ESTATE Sp. z o.o. Sp.k. z siedzibą w Łodzi ustalenia lokalizacji inwestycji mieszkaniowej polegającej na budowie budynku mieszkalnego wielorodzinnego z usługami i garażem w parterze i garażem podziemnym oraz inwestycji towarzys</w:t>
      </w:r>
      <w:r>
        <w:t>zących polegających na budowie zjazdu z ulicy Polskiej Organizacji Wojskowej, zjazdu na dziedziniec z ulicy Składowej oraz przyłączy i sieci, przy ulicach: Składowej 14, 16/18, 20/24, 26/28 i Składowej bez numeru oraz Polskiej Organizacji Wojskowej 42 i Po</w:t>
      </w:r>
      <w:r>
        <w:t>lskiej Organizacji Wojskowej bez numeru w Łodzi, na działkach lub częściach działek nr: 272, 273/1, 363, 259/6, 281/8 w obrębie S-2.</w:t>
      </w:r>
    </w:p>
    <w:p w:rsidR="00A77B3E" w:rsidRDefault="0059080D">
      <w:pPr>
        <w:keepLines/>
        <w:spacing w:before="240" w:after="120"/>
        <w:ind w:firstLine="567"/>
        <w:jc w:val="both"/>
      </w:pPr>
      <w:r>
        <w:t>§ 2. </w:t>
      </w:r>
      <w:r>
        <w:t>Zgodnie z art. 15 ustawy z dnia 5 lipca 2018 r. o ułatwieniach w przygotowaniu              i realizacji inwestycji mi</w:t>
      </w:r>
      <w:r>
        <w:t>eszkaniowych oraz inwestycji towarzyszących, skarga na uchwałę          w trybie art. 101 ustawy z dnia 8 marca 1990 r. o samorządzie gminnym, może być wniesiona w terminie 30 dni od dnia doręczenia tej uchwały inwestorowi.</w:t>
      </w:r>
    </w:p>
    <w:p w:rsidR="00A77B3E" w:rsidRDefault="0059080D">
      <w:pPr>
        <w:keepLines/>
        <w:spacing w:before="240" w:after="120"/>
        <w:ind w:firstLine="567"/>
        <w:jc w:val="both"/>
      </w:pPr>
      <w:r>
        <w:t>§ 3. </w:t>
      </w:r>
      <w:r>
        <w:t xml:space="preserve">Wykonanie uchwały powierza </w:t>
      </w:r>
      <w:r>
        <w:t>się Prezydentowi Miasta Łodzi.</w:t>
      </w:r>
    </w:p>
    <w:p w:rsidR="00A77B3E" w:rsidRDefault="0059080D">
      <w:pPr>
        <w:keepLines/>
        <w:spacing w:before="240" w:after="120"/>
        <w:ind w:firstLine="567"/>
        <w:jc w:val="both"/>
      </w:pPr>
      <w:r>
        <w:t>§ 4. </w:t>
      </w:r>
      <w:r>
        <w:t>Uchwała wchodzi w życie z dniem podjęcia.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59"/>
        <w:gridCol w:w="4629"/>
      </w:tblGrid>
      <w:tr w:rsidR="007C3DE7">
        <w:tc>
          <w:tcPr>
            <w:tcW w:w="4650" w:type="dxa"/>
            <w:tcBorders>
              <w:top w:val="nil"/>
              <w:left w:val="nil"/>
              <w:bottom w:val="nil"/>
              <w:right w:val="nil"/>
            </w:tcBorders>
            <w:noWrap/>
            <w:tcMar>
              <w:top w:w="100" w:type="dxa"/>
            </w:tcMar>
          </w:tcPr>
          <w:p w:rsidR="00A77B3E" w:rsidRDefault="00A77B3E">
            <w:pPr>
              <w:jc w:val="left"/>
            </w:pPr>
          </w:p>
        </w:tc>
        <w:tc>
          <w:tcPr>
            <w:tcW w:w="4620" w:type="dxa"/>
            <w:tcBorders>
              <w:top w:val="nil"/>
              <w:left w:val="nil"/>
              <w:bottom w:val="nil"/>
              <w:right w:val="nil"/>
            </w:tcBorders>
            <w:noWrap/>
            <w:tcMar>
              <w:top w:w="100" w:type="dxa"/>
            </w:tcMar>
          </w:tcPr>
          <w:p w:rsidR="00A77B3E" w:rsidRDefault="0059080D">
            <w:pPr>
              <w:spacing w:before="240" w:after="240"/>
              <w:rPr>
                <w:color w:val="000000"/>
                <w:u w:color="000000"/>
              </w:rPr>
            </w:pPr>
            <w:r>
              <w:rPr>
                <w:b/>
              </w:rPr>
              <w:t>Przewodniczący</w:t>
            </w:r>
            <w:r>
              <w:rPr>
                <w:b/>
              </w:rPr>
              <w:br/>
              <w:t>Rady Miejskiej w Łodzi</w:t>
            </w:r>
            <w:r>
              <w:rPr>
                <w:color w:val="000000"/>
                <w:u w:color="000000"/>
              </w:rPr>
              <w:br/>
            </w:r>
            <w:r>
              <w:rPr>
                <w:color w:val="000000"/>
                <w:u w:color="000000"/>
              </w:rPr>
              <w:br/>
            </w:r>
            <w:r>
              <w:rPr>
                <w:color w:val="000000"/>
                <w:u w:color="000000"/>
              </w:rPr>
              <w:br/>
            </w:r>
            <w:r>
              <w:rPr>
                <w:b/>
                <w:color w:val="000000"/>
                <w:u w:color="000000"/>
              </w:rPr>
              <w:t>Marcin GOŁASZEWSKI</w:t>
            </w:r>
          </w:p>
        </w:tc>
      </w:tr>
    </w:tbl>
    <w:p w:rsidR="00A77B3E" w:rsidRDefault="0059080D">
      <w:pPr>
        <w:ind w:left="283" w:firstLine="227"/>
        <w:jc w:val="both"/>
      </w:pPr>
      <w:r>
        <w:t>Projektodawcą jest</w:t>
      </w:r>
    </w:p>
    <w:p w:rsidR="00A77B3E" w:rsidRDefault="0059080D">
      <w:pPr>
        <w:ind w:left="283" w:firstLine="227"/>
        <w:jc w:val="both"/>
        <w:sectPr w:rsidR="00A77B3E">
          <w:footerReference w:type="default" r:id="rId6"/>
          <w:endnotePr>
            <w:numFmt w:val="decimal"/>
          </w:endnotePr>
          <w:pgSz w:w="11906" w:h="16838"/>
          <w:pgMar w:top="850" w:right="1417" w:bottom="1417" w:left="1417" w:header="708" w:footer="708" w:gutter="0"/>
          <w:cols w:space="708"/>
          <w:docGrid w:linePitch="360"/>
        </w:sectPr>
      </w:pPr>
      <w:r>
        <w:t>Prezydent Miasta Łodzi</w:t>
      </w:r>
    </w:p>
    <w:p w:rsidR="007C3DE7" w:rsidRDefault="0059080D">
      <w:pPr>
        <w:spacing w:before="120" w:after="120"/>
        <w:rPr>
          <w:szCs w:val="20"/>
        </w:rPr>
      </w:pPr>
      <w:r>
        <w:rPr>
          <w:b/>
          <w:szCs w:val="20"/>
        </w:rPr>
        <w:lastRenderedPageBreak/>
        <w:t>Uzasadnienie</w:t>
      </w:r>
    </w:p>
    <w:p w:rsidR="007C3DE7" w:rsidRDefault="0059080D">
      <w:pPr>
        <w:spacing w:after="90"/>
        <w:ind w:firstLine="255"/>
        <w:jc w:val="both"/>
        <w:rPr>
          <w:szCs w:val="20"/>
        </w:rPr>
      </w:pPr>
      <w:r>
        <w:rPr>
          <w:szCs w:val="20"/>
          <w:shd w:val="clear" w:color="auto" w:fill="FFFFFF"/>
        </w:rPr>
        <w:t>Inwestor POW HOCAN ESTATE Sp. z o.o. Sp.k. pismem z dnia 29 maja 2023 r. zmodyfikował wniosek złożony dnia 16 marca 2023 r. do Rady Miejskiej w Łodzi, za pośrednictwem Prezydenta Miasta Łodzi - Biura Architek</w:t>
      </w:r>
      <w:r>
        <w:rPr>
          <w:szCs w:val="20"/>
          <w:shd w:val="clear" w:color="auto" w:fill="FFFFFF"/>
        </w:rPr>
        <w:t>ta Miasta w Departamencie Planowania i Rozwoju Gospodarczego Urzędu Miasta Łodzi, o ustalenie lokalizacji inwestycji mieszkaniowej polegającej na budowie budynku mieszkalnego wielorodzinnego z usługami i garażem w parterze i garażem podziemnym oraz inwesty</w:t>
      </w:r>
      <w:r>
        <w:rPr>
          <w:szCs w:val="20"/>
          <w:shd w:val="clear" w:color="auto" w:fill="FFFFFF"/>
        </w:rPr>
        <w:t xml:space="preserve">cji towarzyszących polegających na budowie zjazdu z ulicy Polskiej Organizacji Wojskowej, </w:t>
      </w:r>
      <w:r>
        <w:rPr>
          <w:szCs w:val="20"/>
        </w:rPr>
        <w:t>zjazdu</w:t>
      </w:r>
      <w:r>
        <w:rPr>
          <w:szCs w:val="20"/>
          <w:shd w:val="clear" w:color="auto" w:fill="FFFFFF"/>
        </w:rPr>
        <w:t xml:space="preserve"> na dziedziniec z ulicy Składowej oraz przyłączy i sieci,</w:t>
      </w:r>
      <w:r>
        <w:rPr>
          <w:szCs w:val="20"/>
        </w:rPr>
        <w:t xml:space="preserve"> przy ulicach: Składowej 14, 16/18, 20/24, 26/28 i Składowej bez numeru oraz Polskiej Organizacji Wojsk</w:t>
      </w:r>
      <w:r>
        <w:rPr>
          <w:szCs w:val="20"/>
        </w:rPr>
        <w:t>owej 42 i Polskiej Organizacji Wojskowej bez numeru w Łodzi,</w:t>
      </w:r>
      <w:r>
        <w:rPr>
          <w:szCs w:val="20"/>
          <w:shd w:val="clear" w:color="auto" w:fill="FFFFFF"/>
        </w:rPr>
        <w:t xml:space="preserve"> na działkach lub częściach działek nr: 272, 273/1, 363, 259/6, 281/8 w obrębie S-2, na podstawie art. 7 ust. 1 i 6 ustawy z dnia 5 lipca 2018 r. o ułatwieniach w przygotowaniu i realizacji inwest</w:t>
      </w:r>
      <w:r>
        <w:rPr>
          <w:szCs w:val="20"/>
          <w:shd w:val="clear" w:color="auto" w:fill="FFFFFF"/>
        </w:rPr>
        <w:t>ycji mieszkaniowych i inwestycji towarzyszących (Dz. U. z 2021 r. poz.1538 oraz z 2023 r. poz. 553 i 803), zwanej dalej specustawą.</w:t>
      </w:r>
    </w:p>
    <w:p w:rsidR="007C3DE7" w:rsidRDefault="0059080D">
      <w:pPr>
        <w:spacing w:after="90"/>
        <w:ind w:firstLine="255"/>
        <w:jc w:val="both"/>
        <w:rPr>
          <w:szCs w:val="20"/>
        </w:rPr>
      </w:pPr>
      <w:r>
        <w:rPr>
          <w:szCs w:val="20"/>
          <w:shd w:val="clear" w:color="auto" w:fill="FFFFFF"/>
        </w:rPr>
        <w:t>W sprawie zastosowanie mają przepisy specustawy oraz uchwały w sprawie lokalnych standardów urbanistycznych dla Miasta Łodzi</w:t>
      </w:r>
      <w:r>
        <w:rPr>
          <w:szCs w:val="20"/>
          <w:shd w:val="clear" w:color="auto" w:fill="FFFFFF"/>
        </w:rPr>
        <w:t xml:space="preserve"> w brzmieniu na dzień 16 marca 2023 r., w związku z art. 23 ust. 1 ustawy z dnia 26 stycznia 2023 r. o zmianie ustaw w celu likwidowania zbędnych barier administracyjnych i prawnych (Dz. U. poz. 803) z </w:t>
      </w:r>
      <w:r>
        <w:rPr>
          <w:szCs w:val="20"/>
        </w:rPr>
        <w:t>uwzględnieniem</w:t>
      </w:r>
      <w:r>
        <w:rPr>
          <w:szCs w:val="20"/>
          <w:shd w:val="clear" w:color="auto" w:fill="FFFFFF"/>
        </w:rPr>
        <w:t xml:space="preserve"> art. 5 ust. 3a specustawy dodanego usta</w:t>
      </w:r>
      <w:r>
        <w:rPr>
          <w:szCs w:val="20"/>
          <w:shd w:val="clear" w:color="auto" w:fill="FFFFFF"/>
        </w:rPr>
        <w:t>wą z dnia 9 marca 2023 r. o zmianie ustawy o inwestycjach w zakresie elektrowni wiatrowych oraz niektórych innych ustaw (Dz. U. poz. 553) oraz art. 8 ust. 3 specustawy w brzmieniu nadanym ustawą z dnia 26 stycznia 2023 r. o zmianie ustaw w celu likwidowani</w:t>
      </w:r>
      <w:r>
        <w:rPr>
          <w:szCs w:val="20"/>
          <w:shd w:val="clear" w:color="auto" w:fill="FFFFFF"/>
        </w:rPr>
        <w:t xml:space="preserve">a </w:t>
      </w:r>
      <w:r>
        <w:rPr>
          <w:szCs w:val="20"/>
        </w:rPr>
        <w:t>zbędnych</w:t>
      </w:r>
      <w:r>
        <w:rPr>
          <w:szCs w:val="20"/>
          <w:shd w:val="clear" w:color="auto" w:fill="FFFFFF"/>
        </w:rPr>
        <w:t xml:space="preserve"> barier administracyjnych i prawnych</w:t>
      </w:r>
      <w:r>
        <w:rPr>
          <w:szCs w:val="20"/>
        </w:rPr>
        <w:t>.</w:t>
      </w:r>
    </w:p>
    <w:p w:rsidR="007C3DE7" w:rsidRDefault="0059080D">
      <w:pPr>
        <w:spacing w:after="90"/>
        <w:jc w:val="both"/>
        <w:rPr>
          <w:szCs w:val="20"/>
        </w:rPr>
      </w:pPr>
      <w:r>
        <w:rPr>
          <w:szCs w:val="20"/>
          <w:shd w:val="clear" w:color="auto" w:fill="FFFFFF"/>
        </w:rPr>
        <w:t>    Po weryfikacji wniosku stwierdzono, że po uzupełnieniu na skutek wezwania z dnia 2 czerwca 2023 r., spełnia on wymogi dotyczące kompletności wniosku określone w art. 7 ust. 7 specustawy. We wniosku określ</w:t>
      </w:r>
      <w:r>
        <w:rPr>
          <w:szCs w:val="20"/>
          <w:shd w:val="clear" w:color="auto" w:fill="FFFFFF"/>
        </w:rPr>
        <w:t>ono granice terenu objętego wnioskiem, przedstawiając je na kopii mapy zasadniczej w skali 1:500. Określono planowaną minimalną i maksymalną powierzchnię użytkową mieszkań wynoszącą od 2 700 m</w:t>
      </w:r>
      <w:r>
        <w:rPr>
          <w:szCs w:val="20"/>
          <w:shd w:val="clear" w:color="auto" w:fill="FFFFFF"/>
          <w:vertAlign w:val="superscript"/>
        </w:rPr>
        <w:t>2</w:t>
      </w:r>
      <w:r>
        <w:rPr>
          <w:szCs w:val="20"/>
          <w:shd w:val="clear" w:color="auto" w:fill="FFFFFF"/>
        </w:rPr>
        <w:t xml:space="preserve"> do 3 200 m</w:t>
      </w:r>
      <w:r>
        <w:rPr>
          <w:szCs w:val="20"/>
          <w:shd w:val="clear" w:color="auto" w:fill="FFFFFF"/>
          <w:vertAlign w:val="superscript"/>
        </w:rPr>
        <w:t>2</w:t>
      </w:r>
      <w:r>
        <w:rPr>
          <w:szCs w:val="20"/>
          <w:shd w:val="clear" w:color="auto" w:fill="FFFFFF"/>
        </w:rPr>
        <w:t xml:space="preserve"> oraz planowaną minimalną i maksymalną liczbę mieszkań wynoszącą odpowiednio 60 i 85.  Planowana powierzchnia użytkowa przeznaczona na działalność handlowo-usługową, realizowana w wyodrębnionej części budynku mieszkaniowego, wyniesie minimalnie 400 m</w:t>
      </w:r>
      <w:r>
        <w:rPr>
          <w:szCs w:val="20"/>
          <w:shd w:val="clear" w:color="auto" w:fill="FFFFFF"/>
          <w:vertAlign w:val="superscript"/>
        </w:rPr>
        <w:t>2</w:t>
      </w:r>
      <w:r>
        <w:rPr>
          <w:szCs w:val="20"/>
          <w:shd w:val="clear" w:color="auto" w:fill="FFFFFF"/>
        </w:rPr>
        <w:t xml:space="preserve"> a ma</w:t>
      </w:r>
      <w:r>
        <w:rPr>
          <w:szCs w:val="20"/>
          <w:shd w:val="clear" w:color="auto" w:fill="FFFFFF"/>
        </w:rPr>
        <w:t>ksymalnie 490 m</w:t>
      </w:r>
      <w:r>
        <w:rPr>
          <w:szCs w:val="20"/>
          <w:shd w:val="clear" w:color="auto" w:fill="FFFFFF"/>
          <w:vertAlign w:val="superscript"/>
        </w:rPr>
        <w:t>2</w:t>
      </w:r>
      <w:r>
        <w:rPr>
          <w:szCs w:val="20"/>
          <w:shd w:val="clear" w:color="auto" w:fill="FFFFFF"/>
        </w:rPr>
        <w:t xml:space="preserve">, co nie przekroczy dopuszczonych 20% powierzchni użytkowej mieszkań. Wniosek obejmuje analizę powiązania inwestycji mieszkaniowej z uzbrojeniem terenu, oraz charakterystykę inwestycji mieszkaniowej. Planowane zagospodarowanie terenu </w:t>
      </w:r>
      <w:r>
        <w:rPr>
          <w:szCs w:val="20"/>
        </w:rPr>
        <w:t xml:space="preserve">w tym </w:t>
      </w:r>
      <w:r>
        <w:rPr>
          <w:szCs w:val="20"/>
        </w:rPr>
        <w:t>zmiany w dotychczasowym zagospodarowaniu terenu</w:t>
      </w:r>
      <w:r>
        <w:rPr>
          <w:szCs w:val="20"/>
          <w:shd w:val="clear" w:color="auto" w:fill="FFFFFF"/>
        </w:rPr>
        <w:t xml:space="preserve"> przedstawiono na załączniku graficznym. Wnioskodawca wskazał nieruchomości lub ich części, według katastru nieruchomości oraz księgi wieczystej, na których mają być zlokalizowane obiekty objęte inwestycją mie</w:t>
      </w:r>
      <w:r>
        <w:rPr>
          <w:szCs w:val="20"/>
          <w:shd w:val="clear" w:color="auto" w:fill="FFFFFF"/>
        </w:rPr>
        <w:t>szkaniową oraz inwestycją towarzyszącą oraz części nieruchomości, o których mowa w art. 35 ust. 1 i art. 38 ust. 1 specustawy. Wskazano również, w jakim zakresie planowana inwestycja nie jest sprzeczna ze studium uwarunkowań i kierunków zagospodarowania pr</w:t>
      </w:r>
      <w:r>
        <w:rPr>
          <w:szCs w:val="20"/>
          <w:shd w:val="clear" w:color="auto" w:fill="FFFFFF"/>
        </w:rPr>
        <w:t xml:space="preserve">zestrzennego miasta Łodzi oraz że nie jest sprzeczna z uchwałą o utworzeniu parku kulturowego, która nie obejmuje terenu objętego wnioskiem. </w:t>
      </w:r>
      <w:r>
        <w:rPr>
          <w:szCs w:val="20"/>
        </w:rPr>
        <w:t>Wniosek zawiera wskazanie w jakim zakresie nie uwzględnia ustaleń miejscowego planu zagospodarowania przestrzennego</w:t>
      </w:r>
      <w:r>
        <w:rPr>
          <w:szCs w:val="20"/>
        </w:rPr>
        <w:t>.</w:t>
      </w:r>
      <w:r>
        <w:rPr>
          <w:szCs w:val="20"/>
          <w:shd w:val="clear" w:color="auto" w:fill="FFFFFF"/>
        </w:rPr>
        <w:t xml:space="preserve"> Wykazano, że inwestycja mieszkaniowa odpowiada standardom, o których mowa w rozdziale 3 specustawy oraz lokalnym standardom urbanistycznym. Do wniosku załączono koncepcję urbanistyczno-architektoniczną, sporządzoną przez osobę wpisaną na listę izby samor</w:t>
      </w:r>
      <w:r>
        <w:rPr>
          <w:szCs w:val="20"/>
          <w:shd w:val="clear" w:color="auto" w:fill="FFFFFF"/>
        </w:rPr>
        <w:t xml:space="preserve">ządu zawodowego architektów </w:t>
      </w:r>
      <w:r>
        <w:rPr>
          <w:szCs w:val="20"/>
          <w:shd w:val="clear" w:color="auto" w:fill="FFFFFF"/>
        </w:rPr>
        <w:lastRenderedPageBreak/>
        <w:t>posiadającą uprawnienia budowlane do projektowania bez ograniczeń w specjalności architektonicznej oraz inne wymagane oświadczenia i zaświadczenia.</w:t>
      </w:r>
    </w:p>
    <w:p w:rsidR="007C3DE7" w:rsidRDefault="0059080D">
      <w:pPr>
        <w:spacing w:after="90"/>
        <w:ind w:firstLine="255"/>
        <w:jc w:val="both"/>
        <w:rPr>
          <w:szCs w:val="20"/>
        </w:rPr>
      </w:pPr>
      <w:r>
        <w:rPr>
          <w:szCs w:val="20"/>
          <w:shd w:val="clear" w:color="auto" w:fill="FFFFFF"/>
        </w:rPr>
        <w:t>W dniu 26 czerwca 2023 r. wniosek został udostępniony na</w:t>
      </w:r>
      <w:r>
        <w:rPr>
          <w:szCs w:val="20"/>
        </w:rPr>
        <w:t xml:space="preserve"> stronie podmiotowej Biu</w:t>
      </w:r>
      <w:r>
        <w:rPr>
          <w:szCs w:val="20"/>
        </w:rPr>
        <w:t>letynu Informacji Publicznej wraz z informacją o formie, miejscu i terminie składania uwag. Ponadto, w dniu 30 czerwca 2023 r. w lokalnej prasie "</w:t>
      </w:r>
      <w:hyperlink r:id="rId7" w:tgtFrame="_blank" w:history="1">
        <w:r>
          <w:rPr>
            <w:szCs w:val="20"/>
          </w:rPr>
          <w:t>Łódź.pl</w:t>
        </w:r>
      </w:hyperlink>
      <w:r>
        <w:rPr>
          <w:szCs w:val="20"/>
        </w:rPr>
        <w:t>" pojawiła się informacja o wpływie przedmiotowego wn</w:t>
      </w:r>
      <w:r>
        <w:rPr>
          <w:szCs w:val="20"/>
        </w:rPr>
        <w:t>iosku wraz z informacją o formie, miejscu i terminie składania uwag. Do dnia sporządzenia niniejszego uzasadnienia projektu uchwały, żadne wnioski i uwagi nie wpłynęły do Biura Architekta Miasta.</w:t>
      </w:r>
    </w:p>
    <w:p w:rsidR="007C3DE7" w:rsidRDefault="0059080D">
      <w:pPr>
        <w:spacing w:after="90"/>
        <w:ind w:firstLine="255"/>
        <w:jc w:val="both"/>
        <w:rPr>
          <w:szCs w:val="20"/>
        </w:rPr>
      </w:pPr>
      <w:r>
        <w:rPr>
          <w:szCs w:val="20"/>
        </w:rPr>
        <w:t> Pismami z dnia 27 czerwca 2023 r. powiadomiono organy opini</w:t>
      </w:r>
      <w:r>
        <w:rPr>
          <w:szCs w:val="20"/>
        </w:rPr>
        <w:t>ujące i uzgadniające, o których mowa w art. 7 ust. 12 i 14 specustawy, o możliwości przedstawienia stanowiska w sprawie w ciągu 21 dni od daty doręczenia wystąpienia.</w:t>
      </w:r>
    </w:p>
    <w:p w:rsidR="007C3DE7" w:rsidRDefault="0059080D">
      <w:pPr>
        <w:spacing w:after="90"/>
        <w:ind w:firstLine="285"/>
        <w:jc w:val="both"/>
        <w:rPr>
          <w:szCs w:val="20"/>
        </w:rPr>
      </w:pPr>
      <w:r>
        <w:rPr>
          <w:szCs w:val="20"/>
        </w:rPr>
        <w:t>Następujące organy opiniujące udzieliły odpowiedzi:</w:t>
      </w:r>
    </w:p>
    <w:p w:rsidR="007C3DE7" w:rsidRDefault="0059080D">
      <w:pPr>
        <w:spacing w:after="90"/>
        <w:ind w:firstLine="382"/>
        <w:jc w:val="both"/>
        <w:rPr>
          <w:szCs w:val="20"/>
        </w:rPr>
      </w:pPr>
      <w:r>
        <w:rPr>
          <w:szCs w:val="20"/>
        </w:rPr>
        <w:t>― Prezydent Miasta Łodzi, w którego i</w:t>
      </w:r>
      <w:r>
        <w:rPr>
          <w:szCs w:val="20"/>
        </w:rPr>
        <w:t>mieniu działa Zastępca Dyrektora Łódzkiego Ośrodka Geodezji - opinia z dnia 29 czerwca 2023 r., znak OKS.071.37.2023.2.AG, informująca o braku zastrzeżeń w zakresie ochrony gruntów rolnych oraz koordynacji usytuowania projektowanych sieci uzbrojenia terenu</w:t>
      </w:r>
      <w:r>
        <w:rPr>
          <w:szCs w:val="20"/>
        </w:rPr>
        <w:t>;</w:t>
      </w:r>
    </w:p>
    <w:p w:rsidR="007C3DE7" w:rsidRDefault="0059080D">
      <w:pPr>
        <w:spacing w:after="90"/>
        <w:ind w:firstLine="382"/>
        <w:jc w:val="both"/>
        <w:rPr>
          <w:szCs w:val="20"/>
        </w:rPr>
      </w:pPr>
      <w:r>
        <w:rPr>
          <w:szCs w:val="20"/>
        </w:rPr>
        <w:t>― Zarząd Województwa Łódzkiego, w imieniu którego działa Dyrektor Biura Planowania Przestrzennego Województwa Łódzkiego w Łodzi - pismo z lipca 2023 r., znak BPPWŁ.ZP.405.7.2023, informujące o braku możliwości przeprowadzenia oceny przedłożonego projektu</w:t>
      </w:r>
      <w:r>
        <w:rPr>
          <w:szCs w:val="20"/>
        </w:rPr>
        <w:t xml:space="preserve"> i zaopiniowania go z uwagi na fakt, że Województwo Łódzkie nie posiada audytu krajobrazowego;</w:t>
      </w:r>
    </w:p>
    <w:p w:rsidR="007C3DE7" w:rsidRDefault="0059080D">
      <w:pPr>
        <w:spacing w:after="90"/>
        <w:ind w:firstLine="382"/>
        <w:jc w:val="both"/>
        <w:rPr>
          <w:szCs w:val="20"/>
        </w:rPr>
      </w:pPr>
      <w:r>
        <w:rPr>
          <w:szCs w:val="20"/>
        </w:rPr>
        <w:t>― Szef Centralnego Wojskowego Centrum Rekrutacji - pismo z dnia 30 czerwca 2023 r., znak: CWCR_OZ_Łódź-WWiZ.0732.134.2023, informujące o braku uwag i wniosków do</w:t>
      </w:r>
      <w:r>
        <w:rPr>
          <w:szCs w:val="20"/>
        </w:rPr>
        <w:t> sprawy;</w:t>
      </w:r>
    </w:p>
    <w:p w:rsidR="007C3DE7" w:rsidRDefault="0059080D">
      <w:pPr>
        <w:spacing w:after="90"/>
        <w:ind w:firstLine="382"/>
        <w:jc w:val="both"/>
        <w:rPr>
          <w:szCs w:val="20"/>
        </w:rPr>
      </w:pPr>
      <w:r>
        <w:rPr>
          <w:szCs w:val="20"/>
        </w:rPr>
        <w:t>― Miejska Komisja Urbanistyczno-Architektoniczna - pozytywna opinia wyrażona w uchwale nr 47/XIV/2023 z dnia 5 lipca 2023 r.;</w:t>
      </w:r>
    </w:p>
    <w:p w:rsidR="007C3DE7" w:rsidRDefault="0059080D">
      <w:pPr>
        <w:spacing w:after="90"/>
        <w:ind w:firstLine="382"/>
        <w:jc w:val="both"/>
        <w:rPr>
          <w:szCs w:val="20"/>
        </w:rPr>
      </w:pPr>
      <w:r>
        <w:rPr>
          <w:szCs w:val="20"/>
        </w:rPr>
        <w:t>― Łódzki Państwowy Wojewódzki Inspektor Sanitarny w Łodzi - pozytywna opinia z dnia 18 lipca 2023 r., znak: ŁPWIS.NSOZNS.</w:t>
      </w:r>
      <w:r>
        <w:rPr>
          <w:szCs w:val="20"/>
        </w:rPr>
        <w:t>9022.206.2023.DWŁ.PD;</w:t>
      </w:r>
    </w:p>
    <w:p w:rsidR="007C3DE7" w:rsidRDefault="0059080D">
      <w:pPr>
        <w:spacing w:after="90"/>
        <w:ind w:firstLine="382"/>
        <w:jc w:val="both"/>
        <w:rPr>
          <w:szCs w:val="20"/>
        </w:rPr>
      </w:pPr>
      <w:r>
        <w:rPr>
          <w:szCs w:val="20"/>
        </w:rPr>
        <w:t>W ustawowym terminie nie wpłynęły ponadto opinie, właściwe według specustawy dla terenu inwestycji:</w:t>
      </w:r>
    </w:p>
    <w:p w:rsidR="007C3DE7" w:rsidRDefault="0059080D">
      <w:pPr>
        <w:spacing w:after="90"/>
        <w:ind w:firstLine="382"/>
        <w:jc w:val="both"/>
        <w:rPr>
          <w:szCs w:val="20"/>
        </w:rPr>
      </w:pPr>
      <w:r>
        <w:rPr>
          <w:szCs w:val="20"/>
        </w:rPr>
        <w:t>―</w:t>
      </w:r>
      <w:r>
        <w:rPr>
          <w:szCs w:val="20"/>
        </w:rPr>
        <w:tab/>
        <w:t>Komendanta Wojewódzkiej Państwowej Straży Pożarnej w Łodzi;</w:t>
      </w:r>
    </w:p>
    <w:p w:rsidR="007C3DE7" w:rsidRDefault="0059080D">
      <w:pPr>
        <w:spacing w:after="90"/>
        <w:ind w:firstLine="382"/>
        <w:jc w:val="both"/>
        <w:rPr>
          <w:szCs w:val="20"/>
        </w:rPr>
      </w:pPr>
      <w:r>
        <w:rPr>
          <w:szCs w:val="20"/>
        </w:rPr>
        <w:t>―</w:t>
      </w:r>
      <w:r>
        <w:rPr>
          <w:szCs w:val="20"/>
        </w:rPr>
        <w:tab/>
        <w:t>Agencji Bezpieczeństwa Wewnętrznego / Dyrektora Delegatury w Katowicac</w:t>
      </w:r>
      <w:r>
        <w:rPr>
          <w:szCs w:val="20"/>
        </w:rPr>
        <w:t>h;</w:t>
      </w:r>
    </w:p>
    <w:p w:rsidR="007C3DE7" w:rsidRDefault="0059080D">
      <w:pPr>
        <w:spacing w:after="90"/>
        <w:ind w:firstLine="382"/>
        <w:jc w:val="both"/>
        <w:rPr>
          <w:szCs w:val="20"/>
        </w:rPr>
      </w:pPr>
      <w:r>
        <w:rPr>
          <w:szCs w:val="20"/>
        </w:rPr>
        <w:t>―</w:t>
      </w:r>
      <w:r>
        <w:rPr>
          <w:szCs w:val="20"/>
        </w:rPr>
        <w:tab/>
        <w:t>Komendanta Wojewódzkiego Policji w Łodzi;</w:t>
      </w:r>
    </w:p>
    <w:p w:rsidR="007C3DE7" w:rsidRDefault="0059080D">
      <w:pPr>
        <w:spacing w:after="90"/>
        <w:ind w:left="382"/>
        <w:jc w:val="both"/>
        <w:rPr>
          <w:szCs w:val="20"/>
        </w:rPr>
      </w:pPr>
      <w:r>
        <w:rPr>
          <w:szCs w:val="20"/>
        </w:rPr>
        <w:t>―</w:t>
      </w:r>
      <w:r>
        <w:rPr>
          <w:szCs w:val="20"/>
        </w:rPr>
        <w:tab/>
        <w:t>Komendanta Nadwiślańskiego Oddziału Straży Granicznej im. Powstania Warszawskiego,</w:t>
      </w:r>
    </w:p>
    <w:p w:rsidR="007C3DE7" w:rsidRDefault="0059080D">
      <w:pPr>
        <w:spacing w:after="90"/>
        <w:ind w:firstLine="382"/>
        <w:jc w:val="both"/>
        <w:rPr>
          <w:szCs w:val="20"/>
        </w:rPr>
      </w:pPr>
      <w:r>
        <w:rPr>
          <w:szCs w:val="20"/>
        </w:rPr>
        <w:t>―</w:t>
      </w:r>
      <w:r>
        <w:rPr>
          <w:szCs w:val="20"/>
        </w:rPr>
        <w:tab/>
        <w:t>Prezesa Urzędu Lotnictwa Cywilnego,</w:t>
      </w:r>
    </w:p>
    <w:p w:rsidR="007C3DE7" w:rsidRDefault="0059080D">
      <w:pPr>
        <w:spacing w:after="90"/>
        <w:ind w:firstLine="382"/>
        <w:jc w:val="both"/>
        <w:rPr>
          <w:szCs w:val="20"/>
        </w:rPr>
      </w:pPr>
      <w:r>
        <w:rPr>
          <w:szCs w:val="20"/>
        </w:rPr>
        <w:t>co do których zgodnie z art. 7 ust. 13 specustawy nieprzekazanie opinii w terminie 21 </w:t>
      </w:r>
      <w:r>
        <w:rPr>
          <w:szCs w:val="20"/>
        </w:rPr>
        <w:t>dni od dnia otrzymania powiadomienia uznaje się za brak zastrzeżeń.</w:t>
      </w:r>
    </w:p>
    <w:p w:rsidR="007C3DE7" w:rsidRDefault="0059080D">
      <w:pPr>
        <w:spacing w:after="90"/>
        <w:ind w:firstLine="382"/>
        <w:jc w:val="both"/>
        <w:rPr>
          <w:szCs w:val="20"/>
        </w:rPr>
      </w:pPr>
      <w:r>
        <w:rPr>
          <w:szCs w:val="20"/>
        </w:rPr>
        <w:t xml:space="preserve">Łódzki Wojewódzki Konserwator Zabytków postanowieniem z dnia 6 lipca 2023 r. znak: WUOZ-PP.5151.662.2023.KST uzgodnił przedmiotowy wniosek w zakresie zgodności z zapisami ustawy z dnia 23 </w:t>
      </w:r>
      <w:r>
        <w:rPr>
          <w:szCs w:val="20"/>
        </w:rPr>
        <w:t>lipca 2003 r. o ochronie zabytków i opiece nad zabytkami (Dz. U. z 2022 r. poz. 840).</w:t>
      </w:r>
    </w:p>
    <w:p w:rsidR="007C3DE7" w:rsidRDefault="0059080D">
      <w:pPr>
        <w:spacing w:after="90"/>
        <w:ind w:firstLine="382"/>
        <w:jc w:val="both"/>
        <w:rPr>
          <w:szCs w:val="20"/>
        </w:rPr>
      </w:pPr>
      <w:r>
        <w:rPr>
          <w:szCs w:val="20"/>
        </w:rPr>
        <w:t>Zarząd Dróg i Transportu, z upoważnienia Prezydenta Miasta Łodzi wykonujący zadania zarządcy dróg publicznych, nie wypowiedział się w terminie 21 dni od dnia otrzymania w</w:t>
      </w:r>
      <w:r>
        <w:rPr>
          <w:szCs w:val="20"/>
        </w:rPr>
        <w:t>niosku, co zgodnie z art. 7 pkt 15 specustawy uznaje się za uzgodnienie wniosku.</w:t>
      </w:r>
    </w:p>
    <w:p w:rsidR="007C3DE7" w:rsidRDefault="0059080D">
      <w:pPr>
        <w:spacing w:after="90"/>
        <w:ind w:firstLine="382"/>
        <w:jc w:val="both"/>
        <w:rPr>
          <w:szCs w:val="20"/>
        </w:rPr>
      </w:pPr>
      <w:r>
        <w:rPr>
          <w:szCs w:val="20"/>
        </w:rPr>
        <w:lastRenderedPageBreak/>
        <w:t>Wydane w sprawie opinie i uzgodnienia zostały wysłane do Wnioskodawcy.</w:t>
      </w:r>
    </w:p>
    <w:p w:rsidR="007C3DE7" w:rsidRDefault="0059080D">
      <w:pPr>
        <w:spacing w:after="90"/>
        <w:ind w:firstLine="382"/>
        <w:jc w:val="both"/>
        <w:rPr>
          <w:szCs w:val="20"/>
        </w:rPr>
      </w:pPr>
      <w:r>
        <w:rPr>
          <w:szCs w:val="20"/>
        </w:rPr>
        <w:t>Do projektu uchwały, zgodnie z art. 7 ust. 17 specustawy, dołączone zostały uzyskane opinie i uzgodnieni</w:t>
      </w:r>
      <w:r>
        <w:rPr>
          <w:szCs w:val="20"/>
        </w:rPr>
        <w:t>a. Z ich treści wynika, że podmioty opiniujące lub uzgadniające nie wniosły sprzeciwu wobec planowanej inwestycji.</w:t>
      </w:r>
    </w:p>
    <w:p w:rsidR="007C3DE7" w:rsidRDefault="0059080D">
      <w:pPr>
        <w:spacing w:after="90"/>
        <w:ind w:firstLine="382"/>
        <w:jc w:val="both"/>
        <w:rPr>
          <w:szCs w:val="20"/>
        </w:rPr>
      </w:pPr>
      <w:r>
        <w:rPr>
          <w:szCs w:val="20"/>
        </w:rPr>
        <w:t xml:space="preserve">Planowany sposób zagospodarowania terenu obejmuje budowę </w:t>
      </w:r>
      <w:r>
        <w:rPr>
          <w:szCs w:val="20"/>
          <w:shd w:val="clear" w:color="auto" w:fill="FFFFFF"/>
        </w:rPr>
        <w:t>budynku mieszkalnego wielorodzinnego o wysokości od 1 do 6 kondygnacji, z usługami i</w:t>
      </w:r>
      <w:r>
        <w:rPr>
          <w:szCs w:val="20"/>
          <w:shd w:val="clear" w:color="auto" w:fill="FFFFFF"/>
        </w:rPr>
        <w:t xml:space="preserve"> garażem w parterze i garażem podziemnym oraz zjazdu z ulicy Polskiej Organizacji Wojskowej, </w:t>
      </w:r>
      <w:r>
        <w:rPr>
          <w:szCs w:val="20"/>
        </w:rPr>
        <w:t>zjazdu</w:t>
      </w:r>
      <w:r>
        <w:rPr>
          <w:szCs w:val="20"/>
          <w:shd w:val="clear" w:color="auto" w:fill="FFFFFF"/>
        </w:rPr>
        <w:t xml:space="preserve"> na dziedziniec z ulicy Składowej oraz przyłączy i sieci,</w:t>
      </w:r>
      <w:r>
        <w:rPr>
          <w:szCs w:val="20"/>
        </w:rPr>
        <w:t xml:space="preserve"> przy ulicach: Składowej 14, 16/18, 20/24, 26/28 i Składowej bez numeru oraz Polskiej Organizacji Wo</w:t>
      </w:r>
      <w:r>
        <w:rPr>
          <w:szCs w:val="20"/>
        </w:rPr>
        <w:t>jskowej 42 i Polskiej Organizacji Wojskowej bez numeru w Łodzi</w:t>
      </w:r>
      <w:r>
        <w:rPr>
          <w:szCs w:val="20"/>
          <w:shd w:val="clear" w:color="auto" w:fill="FFFFFF"/>
        </w:rPr>
        <w:t>.</w:t>
      </w:r>
      <w:r>
        <w:rPr>
          <w:szCs w:val="20"/>
        </w:rPr>
        <w:t xml:space="preserve"> Projektowana zabudowa mieszkaniowa, zgodnie z koncepcją urbanistyczno-architektoniczną, została zaplanowana w pierzei ulic Składowej i Polskiej Organizacji Wojskowej, na terenie działek nr 273</w:t>
      </w:r>
      <w:r>
        <w:rPr>
          <w:szCs w:val="20"/>
        </w:rPr>
        <w:t>/1 i 272 obręb S-2. Powierzchnia zabudowy wyniesie nie więcej niż 1200 m</w:t>
      </w:r>
      <w:r>
        <w:rPr>
          <w:szCs w:val="20"/>
          <w:vertAlign w:val="superscript"/>
        </w:rPr>
        <w:t>2</w:t>
      </w:r>
      <w:r>
        <w:rPr>
          <w:szCs w:val="20"/>
        </w:rPr>
        <w:t xml:space="preserve">, co stanowi około 90% terenu. Powierzchnia biologicznie czynna stanowić będzie minimum 5% terenu. Projektowany budynek o wysokości elewacji frontowej maksimum 22,1 m i minimum 18 m, </w:t>
      </w:r>
      <w:r>
        <w:rPr>
          <w:szCs w:val="20"/>
        </w:rPr>
        <w:t>uwzględnia historyczną prezencję już nieistniejącego narożnego budynku na działce nr 272, częściowo odtwarzając detal architektoniczny, proporcje i kompozycje okien oraz charakterystyczny mansardowy dach, a także, zgodnie z zaleceniami Łódzkiego Wojewódzki</w:t>
      </w:r>
      <w:r>
        <w:rPr>
          <w:szCs w:val="20"/>
        </w:rPr>
        <w:t>ego Konserwatora Zabytków, zachowuje w możliwie największym stopniu elewację frontową kamienicy na działce nr 273/1, wpisanej do gminnej ewidencji zabytków.</w:t>
      </w:r>
    </w:p>
    <w:p w:rsidR="007C3DE7" w:rsidRDefault="0059080D">
      <w:pPr>
        <w:spacing w:after="90"/>
        <w:ind w:firstLine="382"/>
        <w:jc w:val="both"/>
        <w:rPr>
          <w:szCs w:val="20"/>
        </w:rPr>
      </w:pPr>
      <w:r>
        <w:rPr>
          <w:szCs w:val="20"/>
        </w:rPr>
        <w:t>Wnioskodawca złożył oświadczenie, o którym mowa w art. 7 ust. 8 pkt 2 specustawy, że nie zachodzi k</w:t>
      </w:r>
      <w:r>
        <w:rPr>
          <w:szCs w:val="20"/>
        </w:rPr>
        <w:t>olizja lokalizacji inwestycji mieszkaniowej z inwestycjami, o których mowa w art. 4 pkt 1-13 specustawy i które mają ustawowe pierwszeństwo przed inwestycjami mieszkaniowymi.</w:t>
      </w:r>
    </w:p>
    <w:p w:rsidR="007C3DE7" w:rsidRDefault="0059080D">
      <w:pPr>
        <w:spacing w:after="90"/>
        <w:ind w:firstLine="382"/>
        <w:jc w:val="both"/>
        <w:rPr>
          <w:szCs w:val="20"/>
        </w:rPr>
      </w:pPr>
      <w:r>
        <w:rPr>
          <w:szCs w:val="20"/>
        </w:rPr>
        <w:t xml:space="preserve">Na obszarze obejmującym teren wniosku obowiązuje miejscowy plan zagospodarowania </w:t>
      </w:r>
      <w:r>
        <w:rPr>
          <w:szCs w:val="20"/>
        </w:rPr>
        <w:t xml:space="preserve">przestrzennego przyjęty uchwałą Nr III/41/14 Rady Miejskiej w Łodzi z dnia 29 grudnia 2014 r. w sprawie uchwalenia miejscowego planu zagospodarowania przestrzennego dla części obszaru miasta Łodzi położonej w rejonie ulic: Prezydenta Gabriela Narutowicza, </w:t>
      </w:r>
      <w:r>
        <w:rPr>
          <w:szCs w:val="20"/>
        </w:rPr>
        <w:t>Williama Lindleya, Wodnej, Juliana Tuwima i Henryka Sienkiewicza, zmieniony uchwałami Nr XXXIII/1088/20 Rady Miejskiej w Łodzi z dnia 2 grudnia 2020 r. oraz Nr LVII/1722/22 z dnia 16 marca 2022 r. Zaprojektowany budynek spełnia wymogi planu miejscowego w z</w:t>
      </w:r>
      <w:r>
        <w:rPr>
          <w:szCs w:val="20"/>
        </w:rPr>
        <w:t xml:space="preserve">akresie: przeznaczenia terenu (teren oznaczony w planie miejscowym 7.2.MW/U - o przeznaczeniu podstawowym zabudowy mieszkaniowej wielorodzinnej i usługowej), nakazu kształtowania nowej zabudowy o formie i gabarytach wpisujących się w historyczną strukturę </w:t>
      </w:r>
      <w:r>
        <w:rPr>
          <w:szCs w:val="20"/>
        </w:rPr>
        <w:t>przestrzenną o artykulacji, materiałach wykończeniowych, kolorystyce i detalu architektonicznym elewacji, harmonizujących z zabytkami, w szczególności poprzez stosowanie zasady wyodrębnienia  kondygnacji parteru i zwieńczenia elewacji, historycznego podzia</w:t>
      </w:r>
      <w:r>
        <w:rPr>
          <w:szCs w:val="20"/>
        </w:rPr>
        <w:t>łu działek. Zapewniono w odpowiedniej ilości miejsca do parkowania dla samochodów osobowych i rowerów. Spełnione są również wskaźniki zagospodarowania terenu jak powierzchnia zabudowy działek (miejscowy plan dopuszcza do 100%; zgodnie z koncepcją - 87,51%)</w:t>
      </w:r>
      <w:r>
        <w:rPr>
          <w:szCs w:val="20"/>
        </w:rPr>
        <w:t>, intensywność zabudowy (miejscowy plan dopuszcza do 4,95; zgodnie z koncepcją - 4,63), powierzchnia biologicznie czynna (miejscowy plan dopuszcza minimum 5%; zgodnie z koncepcją - 10,37%), wysokość parteru (miejscowy plan dopuszcza minimalną wysokość part</w:t>
      </w:r>
      <w:r>
        <w:rPr>
          <w:szCs w:val="20"/>
        </w:rPr>
        <w:t>eru od strony przestrzeni publicznych 3,5 m; zgodnie z koncepcją - 4 m). Brak zgodności z ustaleniami planu miejscowego dotyczy wysokości zabudowy od strony przestrzeni publicznych (miejscowy plan dopuszcza do 21 m i do 6 kondygnacji nadziemnych; zgodnie z</w:t>
      </w:r>
      <w:r>
        <w:rPr>
          <w:szCs w:val="20"/>
        </w:rPr>
        <w:t xml:space="preserve"> koncepcją - projektowany budynek w najwyższym punkcie od strony przestrzeni publicznych osiągnie 22,1 m (zgodnie z koncepcją urbanistyczno-architektoniczną - 21,8 m)  i 6 kondygnacji nadziemnych) oraz wysokości pozostałej zabudowy (miejscowy plan </w:t>
      </w:r>
      <w:r>
        <w:rPr>
          <w:szCs w:val="20"/>
        </w:rPr>
        <w:lastRenderedPageBreak/>
        <w:t>dopuszcz</w:t>
      </w:r>
      <w:r>
        <w:rPr>
          <w:szCs w:val="20"/>
        </w:rPr>
        <w:t>a wysokość dla pozostałej zabudowy maksimum 15 m i do 4 kondygnacji nadziemnych,  zgodnie z koncepcją - zabudowa w głębi działki mierzy 18 m i obejmuje 5 kondygnacji nadziemnych).</w:t>
      </w:r>
    </w:p>
    <w:p w:rsidR="007C3DE7" w:rsidRDefault="0059080D">
      <w:pPr>
        <w:spacing w:after="90"/>
        <w:ind w:firstLine="382"/>
        <w:jc w:val="both"/>
        <w:rPr>
          <w:szCs w:val="20"/>
        </w:rPr>
      </w:pPr>
      <w:r>
        <w:rPr>
          <w:szCs w:val="20"/>
        </w:rPr>
        <w:t xml:space="preserve">Teren inwestycji obejmuje budynek ujęty w gminnej ewidencji zabytków miasta </w:t>
      </w:r>
      <w:r>
        <w:rPr>
          <w:szCs w:val="20"/>
        </w:rPr>
        <w:t>Łodzi jako Kamienica czynszowa Jochema i Małki Dessau (budynek frontowy). Plan miejscowy zakazuje rozbiórki, a w przypadku, gdy zabytek uległ zniszczeniu na skutek katastrofy budowlanej, samowoli budowlanej lub w wyniku realizacji decyzji nakazującej rozbi</w:t>
      </w:r>
      <w:r>
        <w:rPr>
          <w:szCs w:val="20"/>
        </w:rPr>
        <w:t>órkę – zakaz prowadzenia robót budowlanych na działce innych niż jednoetapowa odbudowa zabytku. Wniosek w sprawie lokalizacji inwestycji mieszkaniowej zakłada rozbiórkę ww. kamienicy, wykonaną na podstawie wydanych decyzji Prezydenta Miasta Łodzi Nr DRPG-U</w:t>
      </w:r>
      <w:r>
        <w:rPr>
          <w:szCs w:val="20"/>
        </w:rPr>
        <w:t>A-I.167.2023 oraz Łódzkiego Wojewódzkiego Konserwatora Zabytków nr WUOZ-ZN.5181.110.2022.TK, pod warunkiem zabezpieczenia elewacji frontowej i zachowania jej w możliwie największym stopniu (nie mniej niż do 3 kondygnacji). W toku niniejszej procedury wnios</w:t>
      </w:r>
      <w:r>
        <w:rPr>
          <w:szCs w:val="20"/>
        </w:rPr>
        <w:t>ek o ustalenie lokalizacji inwestycji mieszkaniowej uzyskał pozytywne uzgodnienie Łódzkiego Wojewódzkiego Konserwatora Zabytków w zakresie zgodności z przepisami ustawy z dnia 23 lipca 2003 r. o ochronie zabytków i opiece nad zabytkami (Dz. U. z 2022 r. po</w:t>
      </w:r>
      <w:r>
        <w:rPr>
          <w:szCs w:val="20"/>
        </w:rPr>
        <w:t>z. 840), który akceptuje przedstawioną koncepcję projektową z zastrzeżeniem ustalenia ostatecznego wyglądu elewacji na etapie projektu budowlanego.</w:t>
      </w:r>
    </w:p>
    <w:p w:rsidR="007C3DE7" w:rsidRDefault="0059080D">
      <w:pPr>
        <w:spacing w:after="90"/>
        <w:ind w:firstLine="382"/>
        <w:jc w:val="both"/>
        <w:rPr>
          <w:szCs w:val="20"/>
        </w:rPr>
      </w:pPr>
      <w:r>
        <w:rPr>
          <w:szCs w:val="20"/>
        </w:rPr>
        <w:t>Zgodnie z art. 5 ust. 3 specustawy inwestycję mieszkaniową lub inwestycję towarzyszącą realizuje się nie</w:t>
      </w:r>
      <w:r>
        <w:rPr>
          <w:szCs w:val="20"/>
        </w:rPr>
        <w:t xml:space="preserve">zależnie od istnienia lub ustaleń miejscowego planu zagospodarowania przestrzennego pod warunkiem, że nie jest sprzeczna ze studium uwarunkowań kierunków zagospodarowania przestrzennego gminy oraz uchwałą o utworzeniu parku kulturowego. Z ustaleń Studium </w:t>
      </w:r>
      <w:r>
        <w:rPr>
          <w:szCs w:val="20"/>
        </w:rPr>
        <w:t>uwarunkowań i kierunków zagospodarowania przestrzennego, przyjętego uchwałą Nr LXIX/1753/18 Rady Miejskiej w Łodzi z dnia 28 marca 2018 r., zmienioną uchwałą Nr VI/215/19 Rady Miejskiej w Łodzi z dnia 6 marca 2019 r. oraz uchwałą Nr LII/1605/21 z dnia 22 g</w:t>
      </w:r>
      <w:r>
        <w:rPr>
          <w:szCs w:val="20"/>
        </w:rPr>
        <w:t>rudnia 2021 r., zwanym dalej Studium, wynika, że lokalizacja wnioskowanej inwestycji mieszkaniowej znajduje się w jednostce W2a - strefa wielkomiejska, jednostka funkcjonalno-przestrzenna: wielofunkcyjne kwartały śródmiejskie II - teren zabudowy mieszkanio</w:t>
      </w:r>
      <w:r>
        <w:rPr>
          <w:szCs w:val="20"/>
        </w:rPr>
        <w:t>wej wielorodzinnej, usługowej. Planowany sposób zagospodarowania inwestycji mieszkaniowej wpisuje się w ustalone dla terenu W2a kierunki zmian w ramach struktury przestrzennej, uzupełniając istniejące pierzeje ulic Składowej i Polskiej Organizacji Wojskowe</w:t>
      </w:r>
      <w:r>
        <w:rPr>
          <w:szCs w:val="20"/>
        </w:rPr>
        <w:t xml:space="preserve">j. Lokalizacja inwestycji jest również zgodna z wymogiem dotyczącym kształtowania zieleni i zapewnienia minimalnej dla terenów zabudowy mieszkaniowej odległości w linii prostej 400 m od parku o powierzchni nie mniejszej niż 1 ha. W odległości około </w:t>
      </w:r>
      <w:r>
        <w:rPr>
          <w:color w:val="0070C0"/>
          <w:szCs w:val="20"/>
        </w:rPr>
        <w:t>80</w:t>
      </w:r>
      <w:r>
        <w:rPr>
          <w:szCs w:val="20"/>
        </w:rPr>
        <w:t xml:space="preserve"> m, m</w:t>
      </w:r>
      <w:r>
        <w:rPr>
          <w:szCs w:val="20"/>
        </w:rPr>
        <w:t>ierzonej w sposób wskazany w Studium, znajduje się park im. St. Moniuszki o powierzchni 1,8 ha. Zgodnie z planowanym sposobem zagospodarowania terenu inwestycji spełniony zostanie wskaźnik powierzchni biologicznie czynnej tj. minimum 5%. W Studium wskazano</w:t>
      </w:r>
      <w:r>
        <w:rPr>
          <w:szCs w:val="20"/>
        </w:rPr>
        <w:t xml:space="preserve"> maksymalną intensywność zabudowy 3, liczoną dla całego terenu W2a. Inwestor wskazuje we wniosku, że planowana intensywność zabudowy wyniesie 4,63 dla terenu inwestycji, natomiast średnia intensywność dla terenu W2a wynosi około 2,0. W Studium określono ma</w:t>
      </w:r>
      <w:r>
        <w:rPr>
          <w:szCs w:val="20"/>
        </w:rPr>
        <w:t>ksymalną wysokość zabudowy w pierzejach ulic i placów oraz wewnątrz kwartałów - 21 m, z dopuszczeniem przewyższeń: w narożnikach ulic lub ze względów kompozycyjnie uzasadnionych - nie wyżej niż 25 m. Wniosek obejmuje zabudowę o maksymalnej wysokości  w nar</w:t>
      </w:r>
      <w:r>
        <w:rPr>
          <w:szCs w:val="20"/>
        </w:rPr>
        <w:t>ożniku ulic Składowej i Polskiej Organizacji Wojskowej - 22,1 m oraz w głębi działki maksymalnie 18 m. Zarówno przeznaczenie projektowanego budynku, wysokość budynku, intensywność zabudowy, jak i zagospodarowanie terenu inwestycji, nie są sprzeczne ze Stud</w:t>
      </w:r>
      <w:r>
        <w:rPr>
          <w:szCs w:val="20"/>
        </w:rPr>
        <w:t>ium.</w:t>
      </w:r>
    </w:p>
    <w:p w:rsidR="007C3DE7" w:rsidRDefault="0059080D">
      <w:pPr>
        <w:spacing w:after="90"/>
        <w:ind w:firstLine="382"/>
        <w:jc w:val="both"/>
        <w:rPr>
          <w:szCs w:val="20"/>
        </w:rPr>
      </w:pPr>
      <w:r>
        <w:rPr>
          <w:szCs w:val="20"/>
        </w:rPr>
        <w:t>Inwestycja została zlokalizowana poza obszarem parku kulturowego.</w:t>
      </w:r>
    </w:p>
    <w:p w:rsidR="007C3DE7" w:rsidRDefault="0059080D">
      <w:pPr>
        <w:spacing w:after="90"/>
        <w:ind w:firstLine="382"/>
        <w:jc w:val="both"/>
        <w:rPr>
          <w:szCs w:val="20"/>
        </w:rPr>
      </w:pPr>
      <w:r>
        <w:rPr>
          <w:szCs w:val="20"/>
        </w:rPr>
        <w:lastRenderedPageBreak/>
        <w:t>Wniosek inwestora spełnia standardy lokalizacji i realizacji inwestycji mieszkaniowych określonych w rozdziale 3 specustawy w następujący sposób:</w:t>
      </w:r>
    </w:p>
    <w:p w:rsidR="007C3DE7" w:rsidRDefault="0059080D">
      <w:pPr>
        <w:spacing w:after="90"/>
        <w:ind w:firstLine="382"/>
        <w:jc w:val="both"/>
        <w:rPr>
          <w:szCs w:val="20"/>
        </w:rPr>
      </w:pPr>
      <w:r>
        <w:rPr>
          <w:szCs w:val="20"/>
        </w:rPr>
        <w:t>1) zgodnie z art. 17 ust. 1 specustawy:</w:t>
      </w:r>
    </w:p>
    <w:p w:rsidR="007C3DE7" w:rsidRDefault="0059080D">
      <w:pPr>
        <w:spacing w:after="90"/>
        <w:ind w:firstLine="382"/>
        <w:jc w:val="both"/>
        <w:rPr>
          <w:szCs w:val="20"/>
        </w:rPr>
      </w:pPr>
      <w:r>
        <w:rPr>
          <w:szCs w:val="20"/>
        </w:rPr>
        <w:t>a) inwestycja ma zapewniony dostęp do dróg publicznych - ulic Składowej i Polskiej Organizacji Wojskowej poprzez projektowane zjazdy,</w:t>
      </w:r>
    </w:p>
    <w:p w:rsidR="007C3DE7" w:rsidRDefault="0059080D">
      <w:pPr>
        <w:spacing w:after="90"/>
        <w:ind w:firstLine="382"/>
        <w:jc w:val="both"/>
        <w:rPr>
          <w:szCs w:val="20"/>
        </w:rPr>
      </w:pPr>
      <w:r>
        <w:rPr>
          <w:szCs w:val="20"/>
        </w:rPr>
        <w:t>b) inwestycja ma zapewniony dostęp do sieci wodociągowej i kanalizacyjnej – zgodnie z warunkami przyłączenia Zakładu Wodo</w:t>
      </w:r>
      <w:r>
        <w:rPr>
          <w:szCs w:val="20"/>
        </w:rPr>
        <w:t>ciągów i Kanalizacji Sp. z o.o., znak: IT.424.60.2023/W/BM z dnia 3 stycznia 2023 r.;</w:t>
      </w:r>
    </w:p>
    <w:p w:rsidR="007C3DE7" w:rsidRDefault="0059080D">
      <w:pPr>
        <w:spacing w:after="90"/>
        <w:ind w:firstLine="382"/>
        <w:jc w:val="both"/>
        <w:rPr>
          <w:szCs w:val="20"/>
        </w:rPr>
      </w:pPr>
      <w:r>
        <w:rPr>
          <w:szCs w:val="20"/>
        </w:rPr>
        <w:t>c) inwestycja ma zapewniony dostęp do sieci elektroenergetycznej – zgodnie z warunkami przyłączenia nr 22-D7/WP/06168 z dnia 9 stycznia 2023 r. PGE Dystrybucja S.A. w Łod</w:t>
      </w:r>
      <w:r>
        <w:rPr>
          <w:szCs w:val="20"/>
        </w:rPr>
        <w:t>zi;</w:t>
      </w:r>
    </w:p>
    <w:p w:rsidR="007C3DE7" w:rsidRDefault="0059080D">
      <w:pPr>
        <w:spacing w:after="90"/>
        <w:ind w:firstLine="382"/>
        <w:jc w:val="both"/>
        <w:rPr>
          <w:szCs w:val="20"/>
        </w:rPr>
      </w:pPr>
      <w:r>
        <w:rPr>
          <w:szCs w:val="20"/>
        </w:rPr>
        <w:t>2) zgodnie z art. 17 ust. 2 w związku z art. 19 specustawy i uchwałą Nr LXXVI/2076/18 Rady Miejskiej w Łodzi z dnia 10 października 2018 r. w sprawie lokalnych standardów urbanistycznych dla Miasta Łodzi (Dz. Urz. Woj. Łódzkiego poz. 5644), zmienioną</w:t>
      </w:r>
      <w:r>
        <w:rPr>
          <w:color w:val="0070C0"/>
          <w:szCs w:val="20"/>
        </w:rPr>
        <w:t> </w:t>
      </w:r>
      <w:r>
        <w:rPr>
          <w:szCs w:val="20"/>
        </w:rPr>
        <w:t>u</w:t>
      </w:r>
      <w:r>
        <w:rPr>
          <w:szCs w:val="20"/>
        </w:rPr>
        <w:t>chwałami Rady Miejskiej w Łodzi: Nr III/59/18 z dnia 27 grudnia 2018 r. (Dz. Urz. Woj. Łódzkiego z 2019 r. poz. 348), Nr XXXIII/1093/20 z dnia 2 grudnia 2020 r. (Dz. Urz. Woj. Łódzkiego poz. 7200), Nr LX/1810/22 z dnia 1 czerwca 2022 r. (Dz. Urz. Woj. Łódz</w:t>
      </w:r>
      <w:r>
        <w:rPr>
          <w:szCs w:val="20"/>
        </w:rPr>
        <w:t>kiego poz. 3675) i Nr LXXIII/2191/23</w:t>
      </w:r>
      <w:r>
        <w:rPr>
          <w:szCs w:val="20"/>
          <w:lang w:val="de-DE" w:eastAsia="de-DE" w:bidi="de-DE"/>
        </w:rPr>
        <w:t xml:space="preserve"> z</w:t>
      </w:r>
      <w:r>
        <w:rPr>
          <w:szCs w:val="20"/>
        </w:rPr>
        <w:t> dnia 15 marca 2023 r. (Dz. Urz. Woj. Łódzkiego poz. 4066), zwaną dalej lokalnymi standardami urbanistycznymi:</w:t>
      </w:r>
    </w:p>
    <w:p w:rsidR="007C3DE7" w:rsidRDefault="0059080D">
      <w:pPr>
        <w:spacing w:after="90"/>
        <w:ind w:firstLine="382"/>
        <w:jc w:val="both"/>
        <w:rPr>
          <w:szCs w:val="20"/>
        </w:rPr>
      </w:pPr>
      <w:r>
        <w:rPr>
          <w:szCs w:val="20"/>
        </w:rPr>
        <w:t xml:space="preserve">a) odległość (dojście) inwestycji mieszkaniowej od istniejącego przystanku publicznego transportu </w:t>
      </w:r>
      <w:r>
        <w:rPr>
          <w:szCs w:val="20"/>
        </w:rPr>
        <w:t>zbiorowego - przystanków autobusowego i tramwajowego przy al. Rodziny Poznańskich wynosi nie więcej niż 250 m (około 135 m),</w:t>
      </w:r>
    </w:p>
    <w:p w:rsidR="007C3DE7" w:rsidRDefault="0059080D">
      <w:pPr>
        <w:spacing w:after="90"/>
        <w:ind w:firstLine="382"/>
        <w:jc w:val="both"/>
        <w:rPr>
          <w:szCs w:val="20"/>
        </w:rPr>
      </w:pPr>
      <w:r>
        <w:rPr>
          <w:szCs w:val="20"/>
        </w:rPr>
        <w:t>b)  odległość (dojście) do Szkoły Podstawowej nr 111, zlokalizowanej przy ulicy Stefana Jaracza 44/46, mogącej przyjąć nowych uczni</w:t>
      </w:r>
      <w:r>
        <w:rPr>
          <w:szCs w:val="20"/>
        </w:rPr>
        <w:t>ów w liczbie dzieci stanowiącej</w:t>
      </w:r>
      <w:r>
        <w:rPr>
          <w:color w:val="0070C0"/>
          <w:szCs w:val="20"/>
        </w:rPr>
        <w:t xml:space="preserve"> </w:t>
      </w:r>
      <w:r>
        <w:rPr>
          <w:szCs w:val="20"/>
        </w:rPr>
        <w:t>nie mniej niż 7% planowanych mieszkańców inwestycji, wynosi nie więcej niż 750 m (około 500 m), co potwierdza zaświadczenie z dnia 29 listopada 2022 r. nr DEP-ED-XII.0124.6.2022 Prezydenta Miasta Łodzi,</w:t>
      </w:r>
    </w:p>
    <w:p w:rsidR="007C3DE7" w:rsidRDefault="0059080D">
      <w:pPr>
        <w:spacing w:after="90"/>
        <w:ind w:firstLine="382"/>
        <w:jc w:val="both"/>
        <w:rPr>
          <w:szCs w:val="20"/>
        </w:rPr>
      </w:pPr>
      <w:r>
        <w:rPr>
          <w:szCs w:val="20"/>
        </w:rPr>
        <w:t>3)  zgodnie z art. 17</w:t>
      </w:r>
      <w:r>
        <w:rPr>
          <w:szCs w:val="20"/>
        </w:rPr>
        <w:t> ust. 3 specustawy spełnienie wymogu określonego w ustawie art.17 ust.2 pkt 2 potwierdził Prezydent Miasta Łodzi, zaświadczeniem 29 listopada 2022 r. nr DEP-ED-I.0124.6.2022;</w:t>
      </w:r>
    </w:p>
    <w:p w:rsidR="007C3DE7" w:rsidRDefault="0059080D">
      <w:pPr>
        <w:spacing w:after="90"/>
        <w:ind w:firstLine="382"/>
        <w:jc w:val="both"/>
        <w:rPr>
          <w:szCs w:val="20"/>
        </w:rPr>
      </w:pPr>
      <w:r>
        <w:rPr>
          <w:szCs w:val="20"/>
        </w:rPr>
        <w:t>4) zgodnie z art. 17 ust. 4 w związku z art. 19 specustawy i lokalnymi standardam</w:t>
      </w:r>
      <w:r>
        <w:rPr>
          <w:szCs w:val="20"/>
        </w:rPr>
        <w:t>i urbanistycznymi, inwestycja jest zlokalizowana w odległości około 80 m od Parku im. St.Moniuszki o powierzchni 1,8 ha, czyli w odległości mniejszej niż 750 m od urządzonych terenów wypoczynku oraz rekreacji lub sportu, o powierzchni stanowiącej co najmni</w:t>
      </w:r>
      <w:r>
        <w:rPr>
          <w:szCs w:val="20"/>
        </w:rPr>
        <w:t>ej iloczyn planowanej liczby mieszkańców (maksymalnie 108 mieszkańców) oraz wskaźnika wynoszącego 4 m</w:t>
      </w:r>
      <w:r>
        <w:rPr>
          <w:szCs w:val="20"/>
          <w:vertAlign w:val="superscript"/>
        </w:rPr>
        <w:t>2</w:t>
      </w:r>
      <w:r>
        <w:rPr>
          <w:szCs w:val="20"/>
        </w:rPr>
        <w:t>, czyli 432 m</w:t>
      </w:r>
      <w:r>
        <w:rPr>
          <w:szCs w:val="20"/>
          <w:vertAlign w:val="superscript"/>
        </w:rPr>
        <w:t>2</w:t>
      </w:r>
      <w:r>
        <w:rPr>
          <w:szCs w:val="20"/>
        </w:rPr>
        <w:t>;</w:t>
      </w:r>
    </w:p>
    <w:p w:rsidR="007C3DE7" w:rsidRDefault="0059080D">
      <w:pPr>
        <w:spacing w:after="90"/>
        <w:ind w:firstLine="382"/>
        <w:jc w:val="both"/>
        <w:rPr>
          <w:szCs w:val="20"/>
        </w:rPr>
      </w:pPr>
      <w:r>
        <w:rPr>
          <w:szCs w:val="20"/>
        </w:rPr>
        <w:t>5) zgodnie z art. 17 ust. 6 w związku z art. 19 specustawy i lokalnymi standardami urbanistycznymi, projektowany budynek będzie miał nie w</w:t>
      </w:r>
      <w:r>
        <w:rPr>
          <w:szCs w:val="20"/>
        </w:rPr>
        <w:t>ięcej niż VI kondygnacji;</w:t>
      </w:r>
    </w:p>
    <w:p w:rsidR="007C3DE7" w:rsidRDefault="0059080D">
      <w:pPr>
        <w:spacing w:after="90"/>
        <w:ind w:firstLine="382"/>
        <w:jc w:val="both"/>
        <w:rPr>
          <w:szCs w:val="20"/>
        </w:rPr>
      </w:pPr>
      <w:r>
        <w:rPr>
          <w:szCs w:val="20"/>
        </w:rPr>
        <w:t>6) zgodnie z art. 19 ust. 3 specustawy i lokalnymi standardami urbanistycznymi:</w:t>
      </w:r>
    </w:p>
    <w:p w:rsidR="007C3DE7" w:rsidRDefault="0059080D">
      <w:pPr>
        <w:spacing w:after="90"/>
        <w:ind w:firstLine="382"/>
        <w:jc w:val="both"/>
        <w:rPr>
          <w:szCs w:val="20"/>
        </w:rPr>
      </w:pPr>
      <w:r>
        <w:rPr>
          <w:szCs w:val="20"/>
        </w:rPr>
        <w:t>a) inwestycja ma zapewniony dostęp sieci ciepłowniczej zgodnie z warunkami przyłączenia do sieci ciepłowniczej VEOLIA ENERGIA ŁÓDŹ S.A., nr 439/2022 z</w:t>
      </w:r>
      <w:r>
        <w:rPr>
          <w:szCs w:val="20"/>
        </w:rPr>
        <w:t> dnia 15 grudnia 2022 r.;</w:t>
      </w:r>
    </w:p>
    <w:p w:rsidR="007C3DE7" w:rsidRDefault="0059080D">
      <w:pPr>
        <w:spacing w:after="90"/>
        <w:ind w:firstLine="382"/>
        <w:jc w:val="both"/>
        <w:rPr>
          <w:szCs w:val="20"/>
        </w:rPr>
      </w:pPr>
      <w:r>
        <w:rPr>
          <w:szCs w:val="20"/>
        </w:rPr>
        <w:t>b) zapewniono niezbędną minimalną liczbę miejsc parkingowych dla obsługi inwestycji mieszkaniowej, większą niż suma minimalnego wskaźnika 0,7 m.p. na lokal mieszkalny i 1,5 m.p. na każde rozpoczęte 100 m</w:t>
      </w:r>
      <w:r>
        <w:rPr>
          <w:szCs w:val="20"/>
          <w:vertAlign w:val="superscript"/>
        </w:rPr>
        <w:t xml:space="preserve">2 </w:t>
      </w:r>
      <w:r>
        <w:rPr>
          <w:szCs w:val="20"/>
        </w:rPr>
        <w:t>powierzchni użytkowej czę</w:t>
      </w:r>
      <w:r>
        <w:rPr>
          <w:szCs w:val="20"/>
        </w:rPr>
        <w:t xml:space="preserve">ści budynku stanowiącego inwestycję mieszkaniową przeznaczoną na działalność handlową lub usługową, określonych </w:t>
      </w:r>
      <w:r>
        <w:rPr>
          <w:szCs w:val="20"/>
        </w:rPr>
        <w:lastRenderedPageBreak/>
        <w:t>dla tzw. pozostałej części Strefy Wielkomiejskiej, tj. przy maksymalnej liczbie mieszkań wynoszącej 85 i maksymalnej powierzchni użytkowej częśc</w:t>
      </w:r>
      <w:r>
        <w:rPr>
          <w:szCs w:val="20"/>
        </w:rPr>
        <w:t>i budynku stanowiącego inwestycję mieszkaniową przeznaczoną na działalność handlową lub usługową równej 490 m</w:t>
      </w:r>
      <w:r>
        <w:rPr>
          <w:szCs w:val="20"/>
          <w:vertAlign w:val="superscript"/>
        </w:rPr>
        <w:t>2</w:t>
      </w:r>
      <w:r>
        <w:rPr>
          <w:szCs w:val="20"/>
        </w:rPr>
        <w:t>, minimalna liczba miejsc postojowych wynosi 68.</w:t>
      </w:r>
    </w:p>
    <w:p w:rsidR="007C3DE7" w:rsidRDefault="0059080D">
      <w:pPr>
        <w:spacing w:after="90"/>
        <w:ind w:firstLine="382"/>
        <w:jc w:val="both"/>
        <w:rPr>
          <w:szCs w:val="20"/>
        </w:rPr>
      </w:pPr>
      <w:r>
        <w:rPr>
          <w:szCs w:val="20"/>
        </w:rPr>
        <w:t>Ponadto, projektowana inwestycja mieszkaniowa nie została zlokalizowana na terenach podlegających</w:t>
      </w:r>
      <w:r>
        <w:rPr>
          <w:szCs w:val="20"/>
        </w:rPr>
        <w:t xml:space="preserve"> ochronie przed lokalizowaniem lub zabudową na podstawie odrębnych przepisów, a także w granicach otulin form ochrony przyrody, rodzinnych ogrodów działkowych czy obszaru szczególnego zagrożenia powodzią, zgodnie z art. 5 ust. 1 i 2 specustawy. Lokalizacj</w:t>
      </w:r>
      <w:r>
        <w:rPr>
          <w:szCs w:val="20"/>
        </w:rPr>
        <w:t>a nie narusza również art. 5 ust. 3a dotyczącego zakazu lokalizacji inwestycji mieszkaniowych w odległości, o której mowa w art. 4 ust. 4 ustawy z dnia 20 maja 2016 r. o inwestycjach w zakresie elektrowni wiatrowych (Dz. U. z 2021 r. poz. 724 oraz z 2023 r</w:t>
      </w:r>
      <w:r>
        <w:rPr>
          <w:szCs w:val="20"/>
        </w:rPr>
        <w:t>. poz. 553) - nie mniej niż 700 metrów, lub większej, jeżeli taka została ustalona w miejscowym planie zagospodarowania przestrzennego.</w:t>
      </w:r>
    </w:p>
    <w:p w:rsidR="007C3DE7" w:rsidRDefault="0059080D">
      <w:pPr>
        <w:ind w:firstLine="382"/>
        <w:jc w:val="both"/>
        <w:rPr>
          <w:szCs w:val="20"/>
        </w:rPr>
      </w:pPr>
      <w:r>
        <w:rPr>
          <w:szCs w:val="20"/>
        </w:rPr>
        <w:t>Mając na uwadze przeprowadzoną podczas posiedzenia Miejskiej Komisji Urbanistyczno-Architektonicznej, dyskusję nad walor</w:t>
      </w:r>
      <w:r>
        <w:rPr>
          <w:szCs w:val="20"/>
        </w:rPr>
        <w:t>ami przedłożonego do zaopiniowania projektu architektonicznego, Komisja rekomenduje inwestorowi oraz zespołowi projektantów rozważanie wprowadzenia następujących korekt, które jeszcze podniosłyby jakość architektury przedmiotowego obiektu: większe pochylen</w:t>
      </w:r>
      <w:r>
        <w:rPr>
          <w:szCs w:val="20"/>
        </w:rPr>
        <w:t>ie płaszczyzn dachu mansardowego wieńczącego kamienicę oraz zmianę jego kolorystyki na jaśniejszą; lepsze wyeksponowanie gzymsu znajdującego się ponad pierwszą kondygnacją budynku oraz ewentualne zmniejszenie wysokości oficyny budynku, która jest wyższa ni</w:t>
      </w:r>
      <w:r>
        <w:rPr>
          <w:szCs w:val="20"/>
        </w:rPr>
        <w:t>ż sąsiednia co wyraziła w uchwale nr 47/XIV/2023 z dnia 5 lipca 2023 r.</w:t>
      </w:r>
    </w:p>
    <w:p w:rsidR="007C3DE7" w:rsidRDefault="0059080D">
      <w:pPr>
        <w:spacing w:after="90"/>
        <w:ind w:firstLine="382"/>
        <w:jc w:val="both"/>
        <w:rPr>
          <w:color w:val="000000"/>
          <w:szCs w:val="20"/>
          <w:u w:color="000000"/>
        </w:rPr>
      </w:pPr>
      <w:r>
        <w:rPr>
          <w:szCs w:val="20"/>
        </w:rPr>
        <w:t xml:space="preserve">Przy podejmowaniu niniejszej uchwały Rada Miejska w Łodzi brała pod uwagę stan zaspokojenia potrzeb mieszkaniowych na terenie gminy oraz potrzeby i możliwości rozwoju gminy wynikające </w:t>
      </w:r>
      <w:r>
        <w:rPr>
          <w:szCs w:val="20"/>
        </w:rPr>
        <w:t>z ustaleń studium uwarunkowań i kierunków zagospodarowania przestrzennego gminy.</w:t>
      </w:r>
    </w:p>
    <w:sectPr w:rsidR="007C3DE7" w:rsidSect="007C3DE7">
      <w:footerReference w:type="default" r:id="rId8"/>
      <w:endnotePr>
        <w:numFmt w:val="decimal"/>
      </w:endnotePr>
      <w:pgSz w:w="11906" w:h="16838"/>
      <w:pgMar w:top="1417" w:right="1417" w:bottom="1417" w:left="1417"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080D" w:rsidRDefault="0059080D" w:rsidP="007C3DE7">
      <w:r>
        <w:separator/>
      </w:r>
    </w:p>
  </w:endnote>
  <w:endnote w:type="continuationSeparator" w:id="1">
    <w:p w:rsidR="0059080D" w:rsidRDefault="0059080D" w:rsidP="007C3D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92"/>
      <w:gridCol w:w="3096"/>
    </w:tblGrid>
    <w:tr w:rsidR="007C3DE7">
      <w:tc>
        <w:tcPr>
          <w:tcW w:w="6048" w:type="dxa"/>
          <w:tcBorders>
            <w:top w:val="single" w:sz="2" w:space="0" w:color="auto"/>
            <w:left w:val="nil"/>
            <w:bottom w:val="nil"/>
            <w:right w:val="nil"/>
          </w:tcBorders>
          <w:noWrap/>
          <w:tcMar>
            <w:top w:w="100" w:type="dxa"/>
          </w:tcMar>
        </w:tcPr>
        <w:p w:rsidR="007C3DE7" w:rsidRDefault="0059080D">
          <w:pPr>
            <w:jc w:val="left"/>
            <w:rPr>
              <w:sz w:val="18"/>
            </w:rPr>
          </w:pPr>
          <w:r>
            <w:rPr>
              <w:sz w:val="18"/>
            </w:rPr>
            <w:t>Projekt</w:t>
          </w:r>
        </w:p>
      </w:tc>
      <w:tc>
        <w:tcPr>
          <w:tcW w:w="3024" w:type="dxa"/>
          <w:tcBorders>
            <w:top w:val="single" w:sz="2" w:space="0" w:color="auto"/>
            <w:left w:val="nil"/>
            <w:bottom w:val="nil"/>
            <w:right w:val="nil"/>
          </w:tcBorders>
          <w:noWrap/>
          <w:tcMar>
            <w:top w:w="100" w:type="dxa"/>
          </w:tcMar>
        </w:tcPr>
        <w:p w:rsidR="007C3DE7" w:rsidRDefault="0059080D">
          <w:pPr>
            <w:jc w:val="right"/>
            <w:rPr>
              <w:sz w:val="18"/>
            </w:rPr>
          </w:pPr>
          <w:r>
            <w:rPr>
              <w:sz w:val="18"/>
            </w:rPr>
            <w:t xml:space="preserve">Strona </w:t>
          </w:r>
          <w:r w:rsidR="007C3DE7">
            <w:rPr>
              <w:sz w:val="18"/>
            </w:rPr>
            <w:fldChar w:fldCharType="begin"/>
          </w:r>
          <w:r>
            <w:rPr>
              <w:sz w:val="18"/>
            </w:rPr>
            <w:instrText>PAGE</w:instrText>
          </w:r>
          <w:r w:rsidR="008A5639">
            <w:rPr>
              <w:sz w:val="18"/>
            </w:rPr>
            <w:fldChar w:fldCharType="separate"/>
          </w:r>
          <w:r w:rsidR="008A5639">
            <w:rPr>
              <w:noProof/>
              <w:sz w:val="18"/>
            </w:rPr>
            <w:t>1</w:t>
          </w:r>
          <w:r w:rsidR="007C3DE7">
            <w:rPr>
              <w:sz w:val="18"/>
            </w:rPr>
            <w:fldChar w:fldCharType="end"/>
          </w:r>
        </w:p>
      </w:tc>
    </w:tr>
  </w:tbl>
  <w:p w:rsidR="007C3DE7" w:rsidRDefault="007C3DE7">
    <w:pPr>
      <w:rPr>
        <w:sz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92"/>
      <w:gridCol w:w="3096"/>
    </w:tblGrid>
    <w:tr w:rsidR="007C3DE7">
      <w:tc>
        <w:tcPr>
          <w:tcW w:w="6048" w:type="dxa"/>
          <w:tcBorders>
            <w:top w:val="single" w:sz="2" w:space="0" w:color="auto"/>
            <w:left w:val="nil"/>
            <w:bottom w:val="nil"/>
            <w:right w:val="nil"/>
          </w:tcBorders>
          <w:noWrap/>
          <w:tcMar>
            <w:top w:w="100" w:type="dxa"/>
          </w:tcMar>
        </w:tcPr>
        <w:p w:rsidR="007C3DE7" w:rsidRDefault="0059080D">
          <w:pPr>
            <w:jc w:val="left"/>
            <w:rPr>
              <w:sz w:val="18"/>
            </w:rPr>
          </w:pPr>
          <w:r>
            <w:rPr>
              <w:sz w:val="18"/>
            </w:rPr>
            <w:t>Projekt</w:t>
          </w:r>
        </w:p>
      </w:tc>
      <w:tc>
        <w:tcPr>
          <w:tcW w:w="3024" w:type="dxa"/>
          <w:tcBorders>
            <w:top w:val="single" w:sz="2" w:space="0" w:color="auto"/>
            <w:left w:val="nil"/>
            <w:bottom w:val="nil"/>
            <w:right w:val="nil"/>
          </w:tcBorders>
          <w:noWrap/>
          <w:tcMar>
            <w:top w:w="100" w:type="dxa"/>
          </w:tcMar>
        </w:tcPr>
        <w:p w:rsidR="007C3DE7" w:rsidRDefault="0059080D">
          <w:pPr>
            <w:jc w:val="right"/>
            <w:rPr>
              <w:sz w:val="18"/>
            </w:rPr>
          </w:pPr>
          <w:r>
            <w:rPr>
              <w:sz w:val="18"/>
            </w:rPr>
            <w:t xml:space="preserve">Strona </w:t>
          </w:r>
          <w:r w:rsidR="007C3DE7">
            <w:rPr>
              <w:sz w:val="18"/>
            </w:rPr>
            <w:fldChar w:fldCharType="begin"/>
          </w:r>
          <w:r>
            <w:rPr>
              <w:sz w:val="18"/>
            </w:rPr>
            <w:instrText>PAGE</w:instrText>
          </w:r>
          <w:r w:rsidR="008A5639">
            <w:rPr>
              <w:sz w:val="18"/>
            </w:rPr>
            <w:fldChar w:fldCharType="separate"/>
          </w:r>
          <w:r w:rsidR="008A5639">
            <w:rPr>
              <w:noProof/>
              <w:sz w:val="18"/>
            </w:rPr>
            <w:t>7</w:t>
          </w:r>
          <w:r w:rsidR="007C3DE7">
            <w:rPr>
              <w:sz w:val="18"/>
            </w:rPr>
            <w:fldChar w:fldCharType="end"/>
          </w:r>
        </w:p>
      </w:tc>
    </w:tr>
  </w:tbl>
  <w:p w:rsidR="007C3DE7" w:rsidRDefault="007C3DE7">
    <w:pPr>
      <w:rPr>
        <w:sz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080D" w:rsidRDefault="0059080D" w:rsidP="007C3DE7">
      <w:r>
        <w:separator/>
      </w:r>
    </w:p>
  </w:footnote>
  <w:footnote w:type="continuationSeparator" w:id="1">
    <w:p w:rsidR="0059080D" w:rsidRDefault="0059080D" w:rsidP="007C3DE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hyphenationZone w:val="425"/>
  <w:noPunctuationKerning/>
  <w:characterSpacingControl w:val="doNotCompress"/>
  <w:footnotePr>
    <w:footnote w:id="0"/>
    <w:footnote w:id="1"/>
  </w:footnotePr>
  <w:endnotePr>
    <w:numFmt w:val="decimal"/>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59080D"/>
    <w:rsid w:val="007C3DE7"/>
    <w:rsid w:val="008A5639"/>
    <w:rsid w:val="00A77B3E"/>
    <w:rsid w:val="00CA2A5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7C3DE7"/>
    <w:pPr>
      <w:jc w:val="center"/>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7C3DE7"/>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xn--d-uga0v4h.p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3171</Words>
  <Characters>19030</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Rada Miejska w Łodzi</Company>
  <LinksUpToDate>false</LinksUpToDate>
  <CharactersWithSpaces>22157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dc:title>
  <dc:subject>w sprawie odmowy ustalenia lokalizacji inwestycji mieszkaniowej i inwestycji towarzyszących przy ulicach: Składowej 14, 16/18, 20/24, 26/28 i Składowej bez numeru oraz Polskiej Organizacji Wojskowej 42 i Polskiej Organizacji Wojskowej bez numeru w Łodzi.</dc:subject>
  <dc:creator>agacka</dc:creator>
  <cp:lastModifiedBy>agacka</cp:lastModifiedBy>
  <cp:revision>2</cp:revision>
  <dcterms:created xsi:type="dcterms:W3CDTF">2023-08-28T09:46:00Z</dcterms:created>
  <dcterms:modified xsi:type="dcterms:W3CDTF">2023-08-28T07:49:00Z</dcterms:modified>
  <cp:category>Akt prawny</cp:category>
</cp:coreProperties>
</file>