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5CECA" w14:textId="77777777" w:rsidR="00A77B3E" w:rsidRDefault="00A77B3E">
      <w:pPr>
        <w:ind w:left="6236"/>
        <w:jc w:val="left"/>
        <w:rPr>
          <w:b/>
          <w:i/>
          <w:u w:val="thick"/>
        </w:rPr>
      </w:pPr>
    </w:p>
    <w:p w14:paraId="145B0436" w14:textId="77777777" w:rsidR="00A77B3E" w:rsidRDefault="00A77B3E">
      <w:pPr>
        <w:ind w:left="6236"/>
        <w:jc w:val="left"/>
        <w:rPr>
          <w:b/>
          <w:i/>
          <w:u w:val="thick"/>
        </w:rPr>
      </w:pPr>
    </w:p>
    <w:p w14:paraId="02BD4385" w14:textId="77777777" w:rsidR="00A77B3E" w:rsidRDefault="00D2108B">
      <w:pPr>
        <w:ind w:left="6236"/>
        <w:jc w:val="left"/>
      </w:pPr>
      <w:r>
        <w:t>Druk Nr</w:t>
      </w:r>
      <w:r w:rsidR="004018C7">
        <w:t xml:space="preserve"> 198/2023</w:t>
      </w:r>
    </w:p>
    <w:p w14:paraId="31D3E5C3" w14:textId="77777777" w:rsidR="00A77B3E" w:rsidRDefault="00D2108B">
      <w:pPr>
        <w:ind w:left="6236"/>
        <w:jc w:val="left"/>
      </w:pPr>
      <w:r>
        <w:t>Projekt z dnia</w:t>
      </w:r>
      <w:r w:rsidR="004018C7">
        <w:t xml:space="preserve"> 08.09.2023 r.</w:t>
      </w:r>
    </w:p>
    <w:p w14:paraId="29223645" w14:textId="77777777" w:rsidR="00A77B3E" w:rsidRDefault="00A77B3E">
      <w:pPr>
        <w:ind w:left="6236"/>
        <w:jc w:val="left"/>
      </w:pPr>
    </w:p>
    <w:p w14:paraId="2088CA0A" w14:textId="77777777" w:rsidR="00A77B3E" w:rsidRDefault="00D2108B">
      <w:pPr>
        <w:rPr>
          <w:b/>
          <w:caps/>
        </w:rPr>
      </w:pPr>
      <w:r>
        <w:rPr>
          <w:b/>
          <w:caps/>
        </w:rPr>
        <w:t>Uchwała Nr                     </w:t>
      </w:r>
      <w:r>
        <w:rPr>
          <w:b/>
          <w:caps/>
        </w:rPr>
        <w:br/>
        <w:t>Rady Miejskiej w Łodzi</w:t>
      </w:r>
    </w:p>
    <w:p w14:paraId="3ABB945C" w14:textId="77777777" w:rsidR="00A77B3E" w:rsidRDefault="00D2108B">
      <w:pPr>
        <w:spacing w:before="240" w:after="240"/>
        <w:rPr>
          <w:b/>
          <w:caps/>
        </w:rPr>
      </w:pPr>
      <w:r>
        <w:rPr>
          <w:b/>
        </w:rPr>
        <w:t>z dnia                      2023 r.</w:t>
      </w:r>
    </w:p>
    <w:p w14:paraId="49376623" w14:textId="77777777" w:rsidR="00A77B3E" w:rsidRDefault="00D2108B">
      <w:pPr>
        <w:keepNext/>
        <w:spacing w:after="480"/>
      </w:pPr>
      <w:r>
        <w:rPr>
          <w:b/>
        </w:rPr>
        <w:t>w sprawie ustalenia lokalizacji inwestycji mieszkaniowej i inwestycji towarzyszących przy ulicach: Tymienieckiego 17, 19, 25 i Tymienieckiego bez numeru, Kilińskiego 190 i Kilińskiego bez numeru i Milionowej bez numeru oraz w Parku im. Jana Kilińskiego w Łodzi.</w:t>
      </w:r>
    </w:p>
    <w:p w14:paraId="6D5628F3" w14:textId="77777777" w:rsidR="00A77B3E" w:rsidRDefault="00D2108B">
      <w:pPr>
        <w:keepLines/>
        <w:spacing w:before="120" w:after="120"/>
        <w:ind w:firstLine="567"/>
        <w:jc w:val="both"/>
      </w:pPr>
      <w:r>
        <w:t>Na podstawie art. 18 ust. 2 pkt 15 ustawy z dnia 8 marca 1990 r. o samorządzie gminnym (Dz. U. z 2023 r. poz. 40, 572, 1463 i 1688) oraz art. 7 ust. 4 i art. 8 ust. 1-3 ustawy z dnia 5 lipca 2018 r. o ułatwieniach w przygotowaniu i realizacji inwestycji mieszkaniowych oraz inwestycji towarzyszących (Dz. U. z 2021 r. poz. 1538 oraz z 2023 r. poz. 553, 803 i 1688), Rada Miejska w Łodzi</w:t>
      </w:r>
    </w:p>
    <w:p w14:paraId="1D6DE31F" w14:textId="77777777" w:rsidR="00A77B3E" w:rsidRDefault="00D2108B">
      <w:pPr>
        <w:spacing w:before="120" w:after="120"/>
        <w:rPr>
          <w:b/>
        </w:rPr>
      </w:pPr>
      <w:r>
        <w:rPr>
          <w:b/>
        </w:rPr>
        <w:t>uchwala, co następuje:</w:t>
      </w:r>
    </w:p>
    <w:p w14:paraId="1BAEE505" w14:textId="77777777" w:rsidR="00A77B3E" w:rsidRDefault="00D2108B">
      <w:pPr>
        <w:keepLines/>
        <w:spacing w:before="240" w:after="120"/>
        <w:ind w:firstLine="567"/>
        <w:jc w:val="both"/>
      </w:pPr>
      <w:r>
        <w:t>§ 1. Ustala się na rzecz wnioskodawcy T17 Sp. z o.o. z siedzibą w Łodzi lokalizację inwestycji mieszkaniowej polegającej na budowie budynku mieszkalnego wielorodzinnego z usługami w parterze, garażem podziemnym, zagospodarowaniem terenu i niezbędną infrastrukturą na działkach nr 162/1 i 155/2 w obrębie W-25 przy ul. Tymienieckiego 17 w Łodzi oraz inwestycji towarzyszących polegających na budowie nowego i przebudowie istniejącego  uzbrojenia terenu w zakresie przyłączy: ciepłowniczego, energetycznego, kanalizacji kablowej, wodociągowego i kanalizacji sanitarnej, oraz budowie zjazdu z drogi publicznej, miejsc postojowych naziemnych, przebudowie chodnika i pasa zieleni na działkach lub częściach działek nr: 163/15, 164/8, 164/9, 162/4, 161/3, 155/7, 155/2 i 82/3 w obrębie W-25 przy ulicach: Tymienieckiego 17, 19, 25 i Tymienieckiego bez numeru, Kilińskiego 190 i Kilińskiego bez numeru i Milionowej bez numeru oraz w Parku im. Jana Kilińskiego w Łodzi.</w:t>
      </w:r>
    </w:p>
    <w:p w14:paraId="1F94B29B" w14:textId="77777777" w:rsidR="00A77B3E" w:rsidRDefault="00D2108B">
      <w:pPr>
        <w:keepLines/>
        <w:spacing w:before="240" w:after="120"/>
        <w:ind w:firstLine="567"/>
        <w:jc w:val="both"/>
      </w:pPr>
      <w:r>
        <w:t>§ 2. Określa się granice terenu objętego inwestycją mieszkaniową i inwestycjami towarzyszącymi przedstawione na kopii mapy zasadniczej w skali 1:1000 oznaczone linią przerywaną koloru pomarańczowego opisane literami kolejno od A do U – zgodnie z załącznikiem Nr 1 do uchwały.</w:t>
      </w:r>
    </w:p>
    <w:p w14:paraId="2694AA38" w14:textId="77777777" w:rsidR="00A77B3E" w:rsidRDefault="00D2108B">
      <w:pPr>
        <w:keepLines/>
        <w:spacing w:before="240" w:after="120"/>
        <w:ind w:firstLine="567"/>
        <w:jc w:val="both"/>
        <w:rPr>
          <w:color w:val="000000"/>
          <w:u w:color="000000"/>
        </w:rPr>
      </w:pPr>
      <w:r>
        <w:t>§ 3. Określa się minimalną łączną powierzchnię użytkową mieszkań – 3000 m</w:t>
      </w:r>
      <w:r>
        <w:rPr>
          <w:color w:val="000000"/>
          <w:u w:color="000000"/>
          <w:vertAlign w:val="superscript"/>
        </w:rPr>
        <w:t>2</w:t>
      </w:r>
      <w:r>
        <w:rPr>
          <w:color w:val="000000"/>
          <w:u w:color="000000"/>
        </w:rPr>
        <w:t xml:space="preserve"> i maksymalną łączną powierzchnię użytkową mieszkań – 6000 m</w:t>
      </w:r>
      <w:r>
        <w:rPr>
          <w:color w:val="000000"/>
          <w:u w:color="000000"/>
          <w:vertAlign w:val="superscript"/>
        </w:rPr>
        <w:t>2</w:t>
      </w:r>
      <w:r>
        <w:rPr>
          <w:color w:val="000000"/>
          <w:u w:color="000000"/>
        </w:rPr>
        <w:t>.</w:t>
      </w:r>
    </w:p>
    <w:p w14:paraId="3052EBE1" w14:textId="77777777" w:rsidR="00A77B3E" w:rsidRDefault="00D2108B">
      <w:pPr>
        <w:keepLines/>
        <w:spacing w:before="240" w:after="120"/>
        <w:ind w:firstLine="567"/>
        <w:jc w:val="both"/>
        <w:rPr>
          <w:color w:val="000000"/>
          <w:u w:color="000000"/>
        </w:rPr>
      </w:pPr>
      <w:r>
        <w:t>§ 4. </w:t>
      </w:r>
      <w:r>
        <w:rPr>
          <w:color w:val="000000"/>
          <w:u w:color="000000"/>
        </w:rPr>
        <w:t>Określa się minimalną liczbę mieszkań – 60 i maksymalną liczbę mieszkań – 80.</w:t>
      </w:r>
    </w:p>
    <w:p w14:paraId="782FDFCA" w14:textId="77777777" w:rsidR="00A77B3E" w:rsidRDefault="00D2108B">
      <w:pPr>
        <w:keepLines/>
        <w:spacing w:before="240" w:after="120"/>
        <w:ind w:firstLine="567"/>
        <w:jc w:val="both"/>
        <w:rPr>
          <w:color w:val="000000"/>
          <w:u w:color="000000"/>
        </w:rPr>
      </w:pPr>
      <w:r>
        <w:t>§ 5. </w:t>
      </w:r>
      <w:r>
        <w:rPr>
          <w:color w:val="000000"/>
          <w:u w:color="000000"/>
        </w:rPr>
        <w:t>W ramach inwestycji mieszkaniowej przewiduje się do 800 m</w:t>
      </w:r>
      <w:r>
        <w:rPr>
          <w:color w:val="000000"/>
          <w:u w:color="000000"/>
          <w:vertAlign w:val="superscript"/>
        </w:rPr>
        <w:t>2</w:t>
      </w:r>
      <w:r>
        <w:rPr>
          <w:color w:val="000000"/>
          <w:u w:color="000000"/>
        </w:rPr>
        <w:t xml:space="preserve"> powierzchni użytkowej przeznaczonej na działalność handlową i usługową, która nie przekroczy 20% powierzchni użytkowej mieszkań. </w:t>
      </w:r>
    </w:p>
    <w:p w14:paraId="5FA94C68" w14:textId="77777777" w:rsidR="00A77B3E" w:rsidRDefault="00D2108B">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7CE50DB7" w14:textId="77777777" w:rsidR="00A77B3E" w:rsidRDefault="00D2108B">
      <w:pPr>
        <w:spacing w:before="120" w:after="120"/>
        <w:ind w:left="227" w:hanging="227"/>
        <w:jc w:val="both"/>
        <w:rPr>
          <w:color w:val="000000"/>
          <w:u w:color="000000"/>
        </w:rPr>
      </w:pPr>
      <w:r>
        <w:lastRenderedPageBreak/>
        <w:t>1) </w:t>
      </w:r>
      <w:r>
        <w:rPr>
          <w:color w:val="000000"/>
          <w:u w:color="000000"/>
        </w:rPr>
        <w:t>budowie budynku mieszkalnego wielorodzinnego z częścią handlowo-usługową i garażem podziemnym;</w:t>
      </w:r>
    </w:p>
    <w:p w14:paraId="7A4C20CF" w14:textId="77777777" w:rsidR="00A77B3E" w:rsidRDefault="00D2108B">
      <w:pPr>
        <w:spacing w:before="120" w:after="120"/>
        <w:ind w:left="227" w:hanging="227"/>
        <w:jc w:val="both"/>
        <w:rPr>
          <w:color w:val="000000"/>
          <w:u w:color="000000"/>
        </w:rPr>
      </w:pPr>
      <w:r>
        <w:t>2) </w:t>
      </w:r>
      <w:r>
        <w:rPr>
          <w:color w:val="000000"/>
          <w:u w:color="000000"/>
        </w:rPr>
        <w:t>budowie zjazdu z ul. Tymienieckiego, zagospodarowaniu terenu m.in. w formie utwardzonych dojść i dojazdów, ciągów pieszo-jezdnych, miejsc postojowych naziemnych;</w:t>
      </w:r>
    </w:p>
    <w:p w14:paraId="5593A4CD" w14:textId="77777777" w:rsidR="00A77B3E" w:rsidRDefault="00D2108B">
      <w:pPr>
        <w:spacing w:before="120" w:after="120"/>
        <w:ind w:left="227" w:hanging="227"/>
        <w:jc w:val="both"/>
        <w:rPr>
          <w:color w:val="000000"/>
          <w:u w:color="000000"/>
        </w:rPr>
      </w:pPr>
      <w:r>
        <w:t>3) </w:t>
      </w:r>
      <w:r>
        <w:rPr>
          <w:color w:val="000000"/>
          <w:u w:color="000000"/>
        </w:rPr>
        <w:t>budowie niezbędnego uzbrojenia terenu.</w:t>
      </w:r>
    </w:p>
    <w:p w14:paraId="1C263334" w14:textId="77777777" w:rsidR="00A77B3E" w:rsidRDefault="00D2108B">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14:paraId="0087067F" w14:textId="77777777" w:rsidR="00A77B3E" w:rsidRDefault="00D2108B">
      <w:pPr>
        <w:spacing w:before="120" w:after="120"/>
        <w:ind w:left="227" w:hanging="227"/>
        <w:jc w:val="both"/>
        <w:rPr>
          <w:color w:val="000000"/>
          <w:u w:color="000000"/>
        </w:rPr>
      </w:pPr>
      <w:r>
        <w:t>1) </w:t>
      </w:r>
      <w:r>
        <w:rPr>
          <w:color w:val="000000"/>
          <w:u w:color="000000"/>
        </w:rPr>
        <w:t>woda z wodociągu miejskiego zlokalizowanego w ulicy Tymienieckiego zgodnie z warunkami technicznymi właściwego gestora sieci;</w:t>
      </w:r>
    </w:p>
    <w:p w14:paraId="5710D6E1" w14:textId="77777777" w:rsidR="00A77B3E" w:rsidRDefault="00D2108B">
      <w:pPr>
        <w:spacing w:before="120" w:after="120"/>
        <w:ind w:left="227" w:hanging="227"/>
        <w:jc w:val="both"/>
        <w:rPr>
          <w:color w:val="000000"/>
          <w:u w:color="000000"/>
        </w:rPr>
      </w:pPr>
      <w:r>
        <w:t>2) </w:t>
      </w:r>
      <w:r>
        <w:rPr>
          <w:color w:val="000000"/>
          <w:u w:color="000000"/>
        </w:rPr>
        <w:t>ścieki do kanalizacji miejskiej zlokalizowanej w ulicy Tymienieckiego, zgodnie z warunkami technicznymi właściwego gestora sieci;</w:t>
      </w:r>
    </w:p>
    <w:p w14:paraId="3C105E0A" w14:textId="77777777" w:rsidR="00A77B3E" w:rsidRDefault="00D2108B">
      <w:pPr>
        <w:spacing w:before="120" w:after="120"/>
        <w:ind w:left="227" w:hanging="227"/>
        <w:jc w:val="both"/>
        <w:rPr>
          <w:color w:val="000000"/>
          <w:u w:color="000000"/>
        </w:rPr>
      </w:pPr>
      <w:r>
        <w:t>3) </w:t>
      </w:r>
      <w:r>
        <w:rPr>
          <w:color w:val="000000"/>
          <w:u w:color="000000"/>
        </w:rPr>
        <w:t>wody opadowe odprowadzane do miejskiej sieci kanalizacji deszczowej zlokalizowanej w ulicy Tymienieckiego zgodnie z warunkami technicznymi właściwego gestora sieci;</w:t>
      </w:r>
    </w:p>
    <w:p w14:paraId="5AF484F1" w14:textId="77777777" w:rsidR="00A77B3E" w:rsidRDefault="00D2108B">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14:paraId="719CED2F" w14:textId="77777777" w:rsidR="00A77B3E" w:rsidRDefault="00D2108B">
      <w:pPr>
        <w:spacing w:before="120" w:after="120"/>
        <w:ind w:left="227" w:hanging="227"/>
        <w:jc w:val="both"/>
        <w:rPr>
          <w:color w:val="000000"/>
          <w:u w:color="000000"/>
        </w:rPr>
      </w:pPr>
      <w:r>
        <w:t>5) </w:t>
      </w:r>
      <w:r>
        <w:rPr>
          <w:color w:val="000000"/>
          <w:u w:color="000000"/>
        </w:rPr>
        <w:t>energia elektryczna z sieci zlokalizowanej w ulicy Tymienieckiego, zgodnie z warunkami technicznymi właściwego gestora sieci.</w:t>
      </w:r>
    </w:p>
    <w:p w14:paraId="2C4429E6" w14:textId="77777777" w:rsidR="00A77B3E" w:rsidRDefault="00D2108B">
      <w:pPr>
        <w:keepLines/>
        <w:spacing w:before="240" w:after="120"/>
        <w:ind w:firstLine="567"/>
        <w:jc w:val="both"/>
        <w:rPr>
          <w:color w:val="000000"/>
          <w:u w:color="000000"/>
        </w:rPr>
      </w:pPr>
      <w:r>
        <w:t>§ 8. </w:t>
      </w:r>
      <w:r>
        <w:rPr>
          <w:color w:val="000000"/>
          <w:u w:color="000000"/>
        </w:rPr>
        <w:t>Charakterystyka inwestycji mieszkaniowej i inwestycji towarzyszących:</w:t>
      </w:r>
    </w:p>
    <w:p w14:paraId="4E081FEA" w14:textId="77777777" w:rsidR="00A77B3E" w:rsidRDefault="00D2108B">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28BD392A" w14:textId="77777777" w:rsidR="00A77B3E" w:rsidRDefault="00D2108B">
      <w:pPr>
        <w:keepLines/>
        <w:spacing w:before="120" w:after="120"/>
        <w:ind w:left="454" w:hanging="227"/>
        <w:jc w:val="both"/>
        <w:rPr>
          <w:color w:val="000000"/>
          <w:u w:color="000000"/>
        </w:rPr>
      </w:pPr>
      <w:r>
        <w:t>a) </w:t>
      </w:r>
      <w:r>
        <w:rPr>
          <w:color w:val="000000"/>
          <w:u w:color="000000"/>
        </w:rPr>
        <w:t>woda z wodociągu miejskiego do celów bytowych – do 1,66 dm</w:t>
      </w:r>
      <w:r>
        <w:rPr>
          <w:color w:val="000000"/>
          <w:u w:color="000000"/>
          <w:vertAlign w:val="superscript"/>
        </w:rPr>
        <w:t>3</w:t>
      </w:r>
      <w:r>
        <w:rPr>
          <w:color w:val="000000"/>
          <w:u w:color="000000"/>
        </w:rPr>
        <w:t>/s,</w:t>
      </w:r>
    </w:p>
    <w:p w14:paraId="7E46BBF9" w14:textId="77777777" w:rsidR="00A77B3E" w:rsidRDefault="00D2108B">
      <w:pPr>
        <w:keepLines/>
        <w:spacing w:before="120" w:after="120"/>
        <w:ind w:left="454" w:hanging="227"/>
        <w:jc w:val="both"/>
        <w:rPr>
          <w:color w:val="000000"/>
          <w:u w:color="000000"/>
        </w:rPr>
      </w:pPr>
      <w:r>
        <w:t>b) </w:t>
      </w:r>
      <w:r>
        <w:rPr>
          <w:color w:val="000000"/>
          <w:u w:color="000000"/>
        </w:rPr>
        <w:t>woda z wodociągu miejskiego do celów przeciwpożarowych – do 3 dm</w:t>
      </w:r>
      <w:r>
        <w:rPr>
          <w:color w:val="000000"/>
          <w:u w:color="000000"/>
          <w:vertAlign w:val="superscript"/>
        </w:rPr>
        <w:t>3</w:t>
      </w:r>
      <w:r>
        <w:rPr>
          <w:color w:val="000000"/>
          <w:u w:color="000000"/>
        </w:rPr>
        <w:t xml:space="preserve">/s, </w:t>
      </w:r>
    </w:p>
    <w:p w14:paraId="7AA636BD" w14:textId="77777777" w:rsidR="00A77B3E" w:rsidRDefault="00D2108B">
      <w:pPr>
        <w:keepLines/>
        <w:spacing w:before="120" w:after="120"/>
        <w:ind w:left="454" w:hanging="227"/>
        <w:jc w:val="both"/>
        <w:rPr>
          <w:color w:val="000000"/>
          <w:u w:color="000000"/>
        </w:rPr>
      </w:pPr>
      <w:r>
        <w:t>c) </w:t>
      </w:r>
      <w:r>
        <w:rPr>
          <w:color w:val="000000"/>
          <w:u w:color="000000"/>
        </w:rPr>
        <w:t>woda do celów innych (</w:t>
      </w:r>
      <w:proofErr w:type="gramStart"/>
      <w:r>
        <w:rPr>
          <w:color w:val="000000"/>
          <w:u w:color="000000"/>
        </w:rPr>
        <w:t>usługi)  –</w:t>
      </w:r>
      <w:proofErr w:type="gramEnd"/>
      <w:r>
        <w:rPr>
          <w:color w:val="000000"/>
          <w:u w:color="000000"/>
        </w:rPr>
        <w:t xml:space="preserve"> do 0,3 dm</w:t>
      </w:r>
      <w:r>
        <w:rPr>
          <w:color w:val="000000"/>
          <w:u w:color="000000"/>
          <w:vertAlign w:val="superscript"/>
        </w:rPr>
        <w:t>3</w:t>
      </w:r>
      <w:r>
        <w:rPr>
          <w:color w:val="000000"/>
          <w:u w:color="000000"/>
        </w:rPr>
        <w:t>/s,</w:t>
      </w:r>
    </w:p>
    <w:p w14:paraId="558EF775" w14:textId="77777777" w:rsidR="00A77B3E" w:rsidRDefault="00D2108B">
      <w:pPr>
        <w:keepLines/>
        <w:spacing w:before="120" w:after="120"/>
        <w:ind w:left="454" w:hanging="227"/>
        <w:jc w:val="both"/>
        <w:rPr>
          <w:color w:val="000000"/>
          <w:u w:color="000000"/>
        </w:rPr>
      </w:pPr>
      <w:r>
        <w:t>d) </w:t>
      </w:r>
      <w:r>
        <w:rPr>
          <w:color w:val="000000"/>
          <w:u w:color="000000"/>
        </w:rPr>
        <w:t xml:space="preserve">ścieki bytowe do kanalizacji </w:t>
      </w:r>
      <w:proofErr w:type="gramStart"/>
      <w:r>
        <w:rPr>
          <w:color w:val="000000"/>
          <w:u w:color="000000"/>
        </w:rPr>
        <w:t>miejskiej  –</w:t>
      </w:r>
      <w:proofErr w:type="gramEnd"/>
      <w:r>
        <w:rPr>
          <w:color w:val="000000"/>
          <w:u w:color="000000"/>
        </w:rPr>
        <w:t xml:space="preserve"> do 1,66 dm</w:t>
      </w:r>
      <w:r>
        <w:rPr>
          <w:color w:val="000000"/>
          <w:u w:color="000000"/>
          <w:vertAlign w:val="superscript"/>
        </w:rPr>
        <w:t>3</w:t>
      </w:r>
      <w:r>
        <w:rPr>
          <w:color w:val="000000"/>
          <w:u w:color="000000"/>
        </w:rPr>
        <w:t>/s,</w:t>
      </w:r>
    </w:p>
    <w:p w14:paraId="68B814A6" w14:textId="77777777" w:rsidR="00A77B3E" w:rsidRDefault="00D2108B">
      <w:pPr>
        <w:keepLines/>
        <w:spacing w:before="120" w:after="120"/>
        <w:ind w:left="454" w:hanging="227"/>
        <w:jc w:val="both"/>
        <w:rPr>
          <w:color w:val="000000"/>
          <w:u w:color="000000"/>
        </w:rPr>
      </w:pPr>
      <w:r>
        <w:t>e) </w:t>
      </w:r>
      <w:r>
        <w:rPr>
          <w:color w:val="000000"/>
          <w:u w:color="000000"/>
        </w:rPr>
        <w:t>wody opadowe w maksymalnej ilości Q=10 dm</w:t>
      </w:r>
      <w:r>
        <w:rPr>
          <w:color w:val="000000"/>
          <w:u w:color="000000"/>
          <w:vertAlign w:val="superscript"/>
        </w:rPr>
        <w:t>3</w:t>
      </w:r>
      <w:r>
        <w:rPr>
          <w:color w:val="000000"/>
          <w:u w:color="000000"/>
        </w:rPr>
        <w:t xml:space="preserve">/s odprowadzane do sieci kanalizacji deszczowej, a pozostałą ilość wód opadowych należy </w:t>
      </w:r>
      <w:proofErr w:type="spellStart"/>
      <w:r>
        <w:rPr>
          <w:color w:val="000000"/>
          <w:u w:color="000000"/>
        </w:rPr>
        <w:t>zretencjonować</w:t>
      </w:r>
      <w:proofErr w:type="spellEnd"/>
      <w:r>
        <w:rPr>
          <w:color w:val="000000"/>
          <w:u w:color="000000"/>
        </w:rPr>
        <w:t xml:space="preserve"> na terenie posesji i odprowadzić do kanalizacji miejskiej w dłuższym czasie lub zagospodarować na terenie nieruchomości,</w:t>
      </w:r>
    </w:p>
    <w:p w14:paraId="78FD19A4" w14:textId="77777777" w:rsidR="00A77B3E" w:rsidRDefault="00D2108B">
      <w:pPr>
        <w:keepLines/>
        <w:spacing w:before="120" w:after="120"/>
        <w:ind w:left="454" w:hanging="227"/>
        <w:jc w:val="both"/>
        <w:rPr>
          <w:color w:val="000000"/>
          <w:u w:color="000000"/>
        </w:rPr>
      </w:pPr>
      <w:r>
        <w:t>f) </w:t>
      </w:r>
      <w:r>
        <w:rPr>
          <w:color w:val="000000"/>
          <w:u w:color="000000"/>
        </w:rPr>
        <w:t>energia elektryczna z sieci miejskiej zapotrzebowanie podstawowe – maksymalnie 370 kW,</w:t>
      </w:r>
    </w:p>
    <w:p w14:paraId="20CD93A7" w14:textId="77777777" w:rsidR="00A77B3E" w:rsidRDefault="00D2108B">
      <w:pPr>
        <w:keepLines/>
        <w:spacing w:before="120" w:after="120"/>
        <w:ind w:left="454" w:hanging="227"/>
        <w:jc w:val="both"/>
        <w:rPr>
          <w:color w:val="000000"/>
          <w:u w:color="000000"/>
        </w:rPr>
      </w:pPr>
      <w:r>
        <w:t>g) </w:t>
      </w:r>
      <w:r>
        <w:rPr>
          <w:color w:val="000000"/>
          <w:u w:color="000000"/>
        </w:rPr>
        <w:t>energia elektryczna z sieci miejskiej zapotrzebowanie rezerwowe – maksymalnie 210 kW,</w:t>
      </w:r>
    </w:p>
    <w:p w14:paraId="09A636E0" w14:textId="77777777" w:rsidR="00A77B3E" w:rsidRDefault="00D2108B">
      <w:pPr>
        <w:keepLines/>
        <w:spacing w:before="120" w:after="120"/>
        <w:ind w:left="454" w:hanging="227"/>
        <w:jc w:val="both"/>
        <w:rPr>
          <w:color w:val="000000"/>
          <w:u w:color="000000"/>
        </w:rPr>
      </w:pPr>
      <w:r>
        <w:t>h) </w:t>
      </w:r>
      <w:r>
        <w:rPr>
          <w:color w:val="000000"/>
          <w:u w:color="000000"/>
        </w:rPr>
        <w:t>ciepło z sieci miejskiej – maksymalnie 504,3 kW,</w:t>
      </w:r>
    </w:p>
    <w:p w14:paraId="4893F49C" w14:textId="77777777" w:rsidR="00A77B3E" w:rsidRDefault="00D2108B">
      <w:pPr>
        <w:keepLines/>
        <w:spacing w:before="120" w:after="120"/>
        <w:ind w:left="454" w:hanging="227"/>
        <w:jc w:val="both"/>
        <w:rPr>
          <w:color w:val="000000"/>
          <w:u w:color="000000"/>
        </w:rPr>
      </w:pPr>
      <w:r>
        <w:t>i) </w:t>
      </w:r>
      <w:r>
        <w:rPr>
          <w:color w:val="000000"/>
          <w:u w:color="000000"/>
        </w:rPr>
        <w:t>minimalna łączna liczba miejsc postojowych, powinna być zgodna z § 3 ust. 1 pkt 2 lit. a i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i Nr LXXIII/2191/23 z dnia 15 marca 2023 r. (Dz. Urz. Woj. Łódzkiego poz. 4066), w brzmieniu na dzień 13 marca 2023 r.,</w:t>
      </w:r>
    </w:p>
    <w:p w14:paraId="6F1BD837" w14:textId="77777777" w:rsidR="00A77B3E" w:rsidRDefault="00D2108B">
      <w:pPr>
        <w:keepLines/>
        <w:spacing w:before="120" w:after="120"/>
        <w:ind w:left="454" w:hanging="227"/>
        <w:jc w:val="both"/>
        <w:rPr>
          <w:color w:val="000000"/>
          <w:u w:color="000000"/>
        </w:rPr>
      </w:pPr>
      <w:r>
        <w:lastRenderedPageBreak/>
        <w:t>j) </w:t>
      </w:r>
      <w:r>
        <w:rPr>
          <w:color w:val="000000"/>
          <w:u w:color="000000"/>
        </w:rPr>
        <w:t>odpady komunalne będą segregowane i wywożone zgodnie z Regulaminem utrzymania czystości i porządku na terenie Miasta Łodzi;</w:t>
      </w:r>
    </w:p>
    <w:p w14:paraId="1A42A421" w14:textId="77777777" w:rsidR="00A77B3E" w:rsidRDefault="00D2108B">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099F3A11" w14:textId="77777777" w:rsidR="00A77B3E" w:rsidRDefault="00D2108B">
      <w:pPr>
        <w:keepLines/>
        <w:spacing w:before="120" w:after="120"/>
        <w:ind w:left="454" w:hanging="227"/>
        <w:jc w:val="both"/>
        <w:rPr>
          <w:color w:val="000000"/>
          <w:u w:color="000000"/>
        </w:rPr>
      </w:pPr>
      <w:r>
        <w:t>a) </w:t>
      </w:r>
      <w:r>
        <w:rPr>
          <w:color w:val="000000"/>
          <w:u w:color="000000"/>
        </w:rPr>
        <w:t>sposób zagospodarowania terenu:</w:t>
      </w:r>
    </w:p>
    <w:p w14:paraId="3C835ADE" w14:textId="77777777" w:rsidR="00A77B3E" w:rsidRDefault="00D2108B">
      <w:pPr>
        <w:keepLines/>
        <w:spacing w:before="120" w:after="120"/>
        <w:ind w:left="680" w:hanging="113"/>
        <w:jc w:val="both"/>
        <w:rPr>
          <w:color w:val="000000"/>
          <w:u w:color="000000"/>
        </w:rPr>
      </w:pPr>
      <w:r>
        <w:t>- </w:t>
      </w:r>
      <w:r>
        <w:rPr>
          <w:color w:val="000000"/>
          <w:u w:color="000000"/>
        </w:rPr>
        <w:tab/>
        <w:t xml:space="preserve">projektowany budynek mieszkalny wielorodzinny z częścią handlowo-usługową               i garażem podziemnym będzie zlokalizowany w pierzei </w:t>
      </w:r>
      <w:proofErr w:type="spellStart"/>
      <w:proofErr w:type="gramStart"/>
      <w:r>
        <w:rPr>
          <w:color w:val="000000"/>
          <w:u w:color="000000"/>
        </w:rPr>
        <w:t>ul.Tymienieckiego</w:t>
      </w:r>
      <w:proofErr w:type="spellEnd"/>
      <w:proofErr w:type="gramEnd"/>
      <w:r>
        <w:rPr>
          <w:color w:val="000000"/>
          <w:u w:color="000000"/>
        </w:rPr>
        <w:t xml:space="preserve"> 17,</w:t>
      </w:r>
    </w:p>
    <w:p w14:paraId="1641D570" w14:textId="77777777" w:rsidR="00A77B3E" w:rsidRDefault="00D2108B">
      <w:pPr>
        <w:keepLines/>
        <w:spacing w:before="120" w:after="120"/>
        <w:ind w:left="680" w:hanging="113"/>
        <w:jc w:val="both"/>
        <w:rPr>
          <w:color w:val="000000"/>
          <w:u w:color="000000"/>
        </w:rPr>
      </w:pPr>
      <w:r>
        <w:t>- </w:t>
      </w:r>
      <w:r>
        <w:rPr>
          <w:color w:val="000000"/>
          <w:u w:color="000000"/>
        </w:rPr>
        <w:t>zagospodarowanie terenu m.in. w formie utwardzonych dojść i dojazdów, ciągów pieszo-jezdnych, miejsc postojowych naziemnych,</w:t>
      </w:r>
    </w:p>
    <w:p w14:paraId="76A5D48B" w14:textId="77777777" w:rsidR="00A77B3E" w:rsidRDefault="00D2108B">
      <w:pPr>
        <w:keepLines/>
        <w:spacing w:before="120" w:after="120"/>
        <w:ind w:left="680" w:hanging="113"/>
        <w:jc w:val="both"/>
        <w:rPr>
          <w:color w:val="000000"/>
          <w:u w:color="000000"/>
        </w:rPr>
      </w:pPr>
      <w:r>
        <w:t>- </w:t>
      </w:r>
      <w:r>
        <w:rPr>
          <w:color w:val="000000"/>
          <w:u w:color="000000"/>
        </w:rPr>
        <w:t xml:space="preserve">dostęp do drogi publicznej od strony </w:t>
      </w:r>
      <w:proofErr w:type="spellStart"/>
      <w:proofErr w:type="gramStart"/>
      <w:r>
        <w:rPr>
          <w:color w:val="000000"/>
          <w:u w:color="000000"/>
        </w:rPr>
        <w:t>ul.Tymienieckiego</w:t>
      </w:r>
      <w:proofErr w:type="spellEnd"/>
      <w:proofErr w:type="gramEnd"/>
      <w:r>
        <w:rPr>
          <w:color w:val="000000"/>
          <w:u w:color="000000"/>
        </w:rPr>
        <w:t xml:space="preserve"> poprzez projektowany zjazd,</w:t>
      </w:r>
    </w:p>
    <w:p w14:paraId="52D7D4CD" w14:textId="77777777" w:rsidR="00A77B3E" w:rsidRDefault="00D2108B">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14:paraId="3D0BA380" w14:textId="77777777" w:rsidR="00A77B3E" w:rsidRDefault="00D2108B">
      <w:pPr>
        <w:keepLines/>
        <w:spacing w:before="120" w:after="120"/>
        <w:ind w:left="454" w:hanging="227"/>
        <w:jc w:val="both"/>
        <w:rPr>
          <w:color w:val="000000"/>
          <w:u w:color="000000"/>
        </w:rPr>
      </w:pPr>
      <w:r>
        <w:t>b) </w:t>
      </w:r>
      <w:r>
        <w:rPr>
          <w:color w:val="000000"/>
          <w:u w:color="000000"/>
        </w:rPr>
        <w:t>charakterystyka i przeznaczenie zabudowy: zabudowa mieszkaniowa wielorodzinna z częścią handlowo-</w:t>
      </w:r>
      <w:proofErr w:type="gramStart"/>
      <w:r>
        <w:rPr>
          <w:color w:val="000000"/>
          <w:u w:color="000000"/>
        </w:rPr>
        <w:t>usługową  i</w:t>
      </w:r>
      <w:proofErr w:type="gramEnd"/>
      <w:r>
        <w:rPr>
          <w:color w:val="000000"/>
          <w:u w:color="000000"/>
        </w:rPr>
        <w:t> garażem;</w:t>
      </w:r>
    </w:p>
    <w:p w14:paraId="028C35FA" w14:textId="77777777" w:rsidR="00A77B3E" w:rsidRDefault="00D2108B">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2023 r. poz. 1094, 1113, 1501, 1506, 1688 i 1719):</w:t>
      </w:r>
    </w:p>
    <w:p w14:paraId="57FF6E71" w14:textId="77777777" w:rsidR="00A77B3E" w:rsidRDefault="00D2108B">
      <w:pPr>
        <w:keepLines/>
        <w:spacing w:before="120" w:after="120"/>
        <w:ind w:left="454" w:hanging="227"/>
        <w:jc w:val="both"/>
        <w:rPr>
          <w:color w:val="000000"/>
          <w:u w:color="000000"/>
        </w:rPr>
      </w:pPr>
      <w:r>
        <w:t>a) </w:t>
      </w:r>
      <w:r>
        <w:rPr>
          <w:color w:val="000000"/>
          <w:u w:color="000000"/>
        </w:rPr>
        <w:t>charakterystyczne parametry techniczne:</w:t>
      </w:r>
    </w:p>
    <w:p w14:paraId="7D3CCED9" w14:textId="77777777" w:rsidR="00A77B3E" w:rsidRDefault="00D2108B">
      <w:pPr>
        <w:keepLines/>
        <w:spacing w:before="120" w:after="120"/>
        <w:ind w:left="680" w:hanging="113"/>
        <w:jc w:val="both"/>
        <w:rPr>
          <w:color w:val="000000"/>
          <w:u w:color="000000"/>
        </w:rPr>
      </w:pPr>
      <w:r>
        <w:t>- </w:t>
      </w:r>
      <w:r>
        <w:rPr>
          <w:color w:val="000000"/>
          <w:u w:color="000000"/>
        </w:rPr>
        <w:t>powierzchnia zabudowy (nadziemnej) – maksymalnie 2000 m</w:t>
      </w:r>
      <w:r>
        <w:rPr>
          <w:color w:val="000000"/>
          <w:u w:color="000000"/>
          <w:vertAlign w:val="superscript"/>
        </w:rPr>
        <w:t>2</w:t>
      </w:r>
      <w:r>
        <w:rPr>
          <w:color w:val="000000"/>
          <w:u w:color="000000"/>
        </w:rPr>
        <w:t>,</w:t>
      </w:r>
    </w:p>
    <w:p w14:paraId="20D85DF5" w14:textId="77777777" w:rsidR="00A77B3E" w:rsidRDefault="00D2108B">
      <w:pPr>
        <w:keepLines/>
        <w:spacing w:before="120" w:after="120"/>
        <w:ind w:left="680" w:hanging="113"/>
        <w:jc w:val="both"/>
        <w:rPr>
          <w:color w:val="000000"/>
          <w:u w:color="000000"/>
        </w:rPr>
      </w:pPr>
      <w:r>
        <w:t>- </w:t>
      </w:r>
      <w:r>
        <w:rPr>
          <w:color w:val="000000"/>
          <w:u w:color="000000"/>
        </w:rPr>
        <w:t>wysokość zabudowy – do 25 m, liczba kondygnacji – od 1 do 7 nadziemnych,</w:t>
      </w:r>
    </w:p>
    <w:p w14:paraId="2799550D" w14:textId="77777777" w:rsidR="00A77B3E" w:rsidRDefault="00D2108B">
      <w:pPr>
        <w:keepLines/>
        <w:spacing w:before="120" w:after="120"/>
        <w:ind w:left="680" w:hanging="113"/>
        <w:jc w:val="both"/>
        <w:rPr>
          <w:color w:val="000000"/>
          <w:u w:color="000000"/>
        </w:rPr>
      </w:pPr>
      <w:r>
        <w:t>- </w:t>
      </w:r>
      <w:r>
        <w:rPr>
          <w:color w:val="000000"/>
          <w:u w:color="000000"/>
        </w:rPr>
        <w:t>kształt dachu i kąt nachylenia połaci dachowych – dach płaski o maksymalnym kącie nachylenia połaci dachowych 5%,</w:t>
      </w:r>
    </w:p>
    <w:p w14:paraId="40608D6B" w14:textId="77777777" w:rsidR="00A77B3E" w:rsidRDefault="00D2108B">
      <w:pPr>
        <w:keepLines/>
        <w:spacing w:before="120" w:after="120"/>
        <w:ind w:left="680" w:hanging="113"/>
        <w:jc w:val="both"/>
        <w:rPr>
          <w:color w:val="000000"/>
          <w:u w:color="000000"/>
        </w:rPr>
      </w:pPr>
      <w:r>
        <w:t>- </w:t>
      </w:r>
      <w:r>
        <w:rPr>
          <w:color w:val="000000"/>
          <w:u w:color="000000"/>
        </w:rPr>
        <w:t>powierzchnia biologicznie czynna – minimum 800 m</w:t>
      </w:r>
      <w:r>
        <w:rPr>
          <w:color w:val="000000"/>
          <w:u w:color="000000"/>
          <w:vertAlign w:val="superscript"/>
        </w:rPr>
        <w:t xml:space="preserve">2 </w:t>
      </w:r>
      <w:r>
        <w:rPr>
          <w:color w:val="000000"/>
          <w:u w:color="000000"/>
        </w:rPr>
        <w:t>do 1000 m</w:t>
      </w:r>
      <w:r>
        <w:rPr>
          <w:color w:val="000000"/>
          <w:u w:color="000000"/>
          <w:vertAlign w:val="superscript"/>
        </w:rPr>
        <w:t>2</w:t>
      </w:r>
      <w:r>
        <w:rPr>
          <w:color w:val="000000"/>
          <w:u w:color="000000"/>
        </w:rPr>
        <w:t xml:space="preserve"> co stanowi 29% do 36</w:t>
      </w:r>
      <w:proofErr w:type="gramStart"/>
      <w:r>
        <w:rPr>
          <w:color w:val="000000"/>
          <w:u w:color="000000"/>
        </w:rPr>
        <w:t>%  terenu</w:t>
      </w:r>
      <w:proofErr w:type="gramEnd"/>
      <w:r>
        <w:rPr>
          <w:color w:val="000000"/>
          <w:u w:color="000000"/>
        </w:rPr>
        <w:t xml:space="preserve"> inwestycji,</w:t>
      </w:r>
    </w:p>
    <w:p w14:paraId="531E1677" w14:textId="77777777" w:rsidR="00A77B3E" w:rsidRDefault="00D2108B">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towarzyszącej infrastruktury nie przekroczy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nie przekroczy 0,5 ha, o których mowa w § 3 ust. 1 pkt 58 lit. b rozporządzenia.</w:t>
      </w:r>
    </w:p>
    <w:p w14:paraId="4450AFD8" w14:textId="77777777" w:rsidR="00A77B3E" w:rsidRDefault="00D2108B">
      <w:pPr>
        <w:keepLines/>
        <w:spacing w:before="240" w:after="120"/>
        <w:ind w:firstLine="567"/>
        <w:jc w:val="both"/>
        <w:rPr>
          <w:color w:val="000000"/>
          <w:u w:color="000000"/>
        </w:rPr>
      </w:pPr>
      <w:r>
        <w:t>§ 9. </w:t>
      </w:r>
      <w:r>
        <w:rPr>
          <w:color w:val="000000"/>
          <w:u w:color="000000"/>
        </w:rPr>
        <w:t>Obiekty objęte inwestycją mieszkaniową i inwestycjami towarzyszącymi będą zlokalizowane na następujących nieruchomościach lub ich częściach, wskazanych według katastru nieruchomości oraz księgi wieczystej:</w:t>
      </w:r>
    </w:p>
    <w:p w14:paraId="6676B86C" w14:textId="77777777" w:rsidR="00A77B3E" w:rsidRDefault="00D2108B">
      <w:pPr>
        <w:spacing w:before="120" w:after="120"/>
        <w:ind w:left="227" w:hanging="227"/>
        <w:jc w:val="both"/>
        <w:rPr>
          <w:color w:val="000000"/>
          <w:u w:color="000000"/>
        </w:rPr>
      </w:pPr>
      <w:r>
        <w:t>1) </w:t>
      </w:r>
      <w:r>
        <w:rPr>
          <w:color w:val="000000"/>
          <w:u w:color="000000"/>
        </w:rPr>
        <w:t>dla inwestycji mieszkaniowej na:</w:t>
      </w:r>
    </w:p>
    <w:p w14:paraId="738E07F5" w14:textId="56AA83C4" w:rsidR="00A77B3E" w:rsidRDefault="00D2108B">
      <w:pPr>
        <w:keepLines/>
        <w:spacing w:before="120" w:after="120"/>
        <w:ind w:left="454" w:hanging="227"/>
        <w:jc w:val="both"/>
        <w:rPr>
          <w:color w:val="000000"/>
          <w:u w:color="000000"/>
        </w:rPr>
      </w:pPr>
      <w:r>
        <w:t>a) </w:t>
      </w:r>
      <w:r>
        <w:rPr>
          <w:color w:val="000000"/>
          <w:u w:color="000000"/>
        </w:rPr>
        <w:t xml:space="preserve">działce nr 162/1,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2AD44475" w14:textId="6ADD375F" w:rsidR="00A77B3E" w:rsidRDefault="00D2108B">
      <w:pPr>
        <w:keepLines/>
        <w:spacing w:before="120" w:after="120"/>
        <w:ind w:left="454" w:hanging="227"/>
        <w:jc w:val="both"/>
        <w:rPr>
          <w:color w:val="000000"/>
          <w:u w:color="000000"/>
        </w:rPr>
      </w:pPr>
      <w:r>
        <w:t>b) </w:t>
      </w:r>
      <w:r>
        <w:rPr>
          <w:color w:val="000000"/>
          <w:u w:color="000000"/>
        </w:rPr>
        <w:t xml:space="preserve">części działki nr 155/2, obręb W-25 – KW </w:t>
      </w:r>
      <w:r w:rsidR="00F60EB0">
        <w:rPr>
          <w:color w:val="000000"/>
          <w:u w:color="000000"/>
        </w:rPr>
        <w:t xml:space="preserve"> </w:t>
      </w:r>
      <w:r>
        <w:rPr>
          <w:color w:val="000000"/>
          <w:u w:color="000000"/>
        </w:rPr>
        <w:t xml:space="preserve"> – w </w:t>
      </w:r>
      <w:proofErr w:type="gramStart"/>
      <w:r>
        <w:rPr>
          <w:color w:val="000000"/>
          <w:u w:color="000000"/>
        </w:rPr>
        <w:t>zakresie  nadwieszenia</w:t>
      </w:r>
      <w:proofErr w:type="gramEnd"/>
      <w:r>
        <w:rPr>
          <w:color w:val="000000"/>
          <w:u w:color="000000"/>
        </w:rPr>
        <w:t xml:space="preserve"> wykuszy;</w:t>
      </w:r>
    </w:p>
    <w:p w14:paraId="2C52F91F" w14:textId="77777777" w:rsidR="00A77B3E" w:rsidRDefault="00D2108B">
      <w:pPr>
        <w:spacing w:before="120" w:after="120"/>
        <w:ind w:left="227" w:hanging="227"/>
        <w:jc w:val="both"/>
        <w:rPr>
          <w:color w:val="000000"/>
          <w:u w:color="000000"/>
        </w:rPr>
      </w:pPr>
      <w:r>
        <w:t>2) </w:t>
      </w:r>
      <w:r>
        <w:rPr>
          <w:color w:val="000000"/>
          <w:u w:color="000000"/>
        </w:rPr>
        <w:t>dla inwestycji towarzyszących na:</w:t>
      </w:r>
    </w:p>
    <w:p w14:paraId="062BF215" w14:textId="3E1B5D70" w:rsidR="00A77B3E" w:rsidRDefault="00D2108B">
      <w:pPr>
        <w:keepLines/>
        <w:spacing w:before="120" w:after="120"/>
        <w:ind w:left="454" w:hanging="227"/>
        <w:jc w:val="both"/>
        <w:rPr>
          <w:color w:val="000000"/>
          <w:u w:color="000000"/>
        </w:rPr>
      </w:pPr>
      <w:r>
        <w:t>a) </w:t>
      </w:r>
      <w:r>
        <w:rPr>
          <w:color w:val="000000"/>
          <w:u w:color="000000"/>
        </w:rPr>
        <w:t xml:space="preserve">częściach działek nr 155/2 i 161/3,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5EF2BE9B" w14:textId="3682FB4B" w:rsidR="00A77B3E" w:rsidRDefault="00D2108B">
      <w:pPr>
        <w:keepLines/>
        <w:spacing w:before="120" w:after="120"/>
        <w:ind w:left="454" w:hanging="227"/>
        <w:jc w:val="both"/>
        <w:rPr>
          <w:color w:val="000000"/>
          <w:u w:color="000000"/>
        </w:rPr>
      </w:pPr>
      <w:r>
        <w:t>b) </w:t>
      </w:r>
      <w:r>
        <w:rPr>
          <w:color w:val="000000"/>
          <w:u w:color="000000"/>
        </w:rPr>
        <w:t xml:space="preserve">części działki nr 155/7,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21873C3E" w14:textId="479D96FD" w:rsidR="00A77B3E" w:rsidRDefault="00D2108B">
      <w:pPr>
        <w:keepLines/>
        <w:spacing w:before="120" w:after="120"/>
        <w:ind w:left="454" w:hanging="227"/>
        <w:jc w:val="both"/>
        <w:rPr>
          <w:color w:val="000000"/>
          <w:u w:color="000000"/>
        </w:rPr>
      </w:pPr>
      <w:r>
        <w:lastRenderedPageBreak/>
        <w:t>c) </w:t>
      </w:r>
      <w:r>
        <w:rPr>
          <w:color w:val="000000"/>
          <w:u w:color="000000"/>
        </w:rPr>
        <w:t xml:space="preserve">części działki nr 82/3,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5C1EDAA2" w14:textId="01DFD61B" w:rsidR="00A77B3E" w:rsidRDefault="00D2108B">
      <w:pPr>
        <w:keepLines/>
        <w:spacing w:before="120" w:after="120"/>
        <w:ind w:left="454" w:hanging="227"/>
        <w:jc w:val="both"/>
        <w:rPr>
          <w:color w:val="000000"/>
          <w:u w:color="000000"/>
        </w:rPr>
      </w:pPr>
      <w:r>
        <w:t>d) </w:t>
      </w:r>
      <w:r>
        <w:rPr>
          <w:color w:val="000000"/>
          <w:u w:color="000000"/>
        </w:rPr>
        <w:t xml:space="preserve">części działki nr 163/15,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26B656F7" w14:textId="527A71B7" w:rsidR="00A77B3E" w:rsidRDefault="00D2108B">
      <w:pPr>
        <w:keepLines/>
        <w:spacing w:before="120" w:after="120"/>
        <w:ind w:left="454" w:hanging="227"/>
        <w:jc w:val="both"/>
        <w:rPr>
          <w:color w:val="000000"/>
          <w:u w:color="000000"/>
        </w:rPr>
      </w:pPr>
      <w:r>
        <w:t>e) </w:t>
      </w:r>
      <w:r>
        <w:rPr>
          <w:color w:val="000000"/>
          <w:u w:color="000000"/>
        </w:rPr>
        <w:t xml:space="preserve">częściach działek nr 164/8 i 164/9,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3C32FA9A" w14:textId="6C20B842" w:rsidR="00A77B3E" w:rsidRDefault="00D2108B">
      <w:pPr>
        <w:keepLines/>
        <w:spacing w:before="120" w:after="120"/>
        <w:ind w:left="454" w:hanging="227"/>
        <w:jc w:val="both"/>
        <w:rPr>
          <w:color w:val="000000"/>
          <w:u w:color="000000"/>
        </w:rPr>
      </w:pPr>
      <w:r>
        <w:t>f) </w:t>
      </w:r>
      <w:r>
        <w:rPr>
          <w:color w:val="000000"/>
          <w:u w:color="000000"/>
        </w:rPr>
        <w:t xml:space="preserve">części działki nr 162/4,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0AC4BA9E" w14:textId="77777777" w:rsidR="00A77B3E" w:rsidRDefault="00D2108B">
      <w:pPr>
        <w:keepLines/>
        <w:spacing w:before="240" w:after="120"/>
        <w:ind w:firstLine="567"/>
        <w:jc w:val="both"/>
        <w:rPr>
          <w:color w:val="000000"/>
          <w:u w:color="000000"/>
        </w:rPr>
      </w:pPr>
      <w:r>
        <w:t>§ 10. </w:t>
      </w:r>
      <w:r>
        <w:rPr>
          <w:color w:val="000000"/>
          <w:u w:color="000000"/>
        </w:rPr>
        <w:t>Wskazuje się części nieruchomości, według katastru nieruchomości oraz księgi wieczystej, w stosunku do których decyzja o pozwoleniu na budowę inwestycji mieszkaniowej i inwestycji towarzyszących ma wywołać skutek, o którym mowa w art. 35 ust. 1 ustawy z dnia 5 lipca 2018 r. o ułatwieniach w przygotowaniu i realizacji inwestycji mieszkaniowych oraz inwestycji towarzyszących – dla inwestycji towarzyszących w zakresie przyłączy:</w:t>
      </w:r>
    </w:p>
    <w:p w14:paraId="3837FC9E" w14:textId="2E043F9D" w:rsidR="00A77B3E" w:rsidRDefault="00D2108B">
      <w:pPr>
        <w:spacing w:before="120" w:after="120"/>
        <w:ind w:left="227" w:hanging="227"/>
        <w:jc w:val="both"/>
        <w:rPr>
          <w:color w:val="000000"/>
          <w:u w:color="000000"/>
        </w:rPr>
      </w:pPr>
      <w:r>
        <w:t>1) </w:t>
      </w:r>
      <w:r>
        <w:rPr>
          <w:color w:val="000000"/>
          <w:u w:color="000000"/>
        </w:rPr>
        <w:t xml:space="preserve">część działki nr 163/15,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56E2FC3C" w14:textId="216126DA" w:rsidR="00A77B3E" w:rsidRDefault="00D2108B">
      <w:pPr>
        <w:spacing w:before="120" w:after="120"/>
        <w:ind w:left="227" w:hanging="227"/>
        <w:jc w:val="both"/>
        <w:rPr>
          <w:color w:val="000000"/>
          <w:u w:color="000000"/>
        </w:rPr>
      </w:pPr>
      <w:r>
        <w:t>2) </w:t>
      </w:r>
      <w:r>
        <w:rPr>
          <w:color w:val="000000"/>
          <w:u w:color="000000"/>
        </w:rPr>
        <w:t xml:space="preserve">części działek nr 164/8 i 164/9,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5CF36489" w14:textId="02826AC7" w:rsidR="00A77B3E" w:rsidRDefault="00D2108B">
      <w:pPr>
        <w:spacing w:before="120" w:after="120"/>
        <w:ind w:left="227" w:hanging="227"/>
        <w:jc w:val="both"/>
        <w:rPr>
          <w:color w:val="000000"/>
          <w:u w:color="000000"/>
        </w:rPr>
      </w:pPr>
      <w:r>
        <w:t>3) </w:t>
      </w:r>
      <w:r>
        <w:rPr>
          <w:color w:val="000000"/>
          <w:u w:color="000000"/>
        </w:rPr>
        <w:t xml:space="preserve">część działki nr 162/4, obręb W-25 – </w:t>
      </w:r>
      <w:proofErr w:type="gramStart"/>
      <w:r>
        <w:rPr>
          <w:color w:val="000000"/>
          <w:u w:color="000000"/>
        </w:rPr>
        <w:t xml:space="preserve">KW </w:t>
      </w:r>
      <w:r w:rsidR="00F60EB0">
        <w:rPr>
          <w:color w:val="000000"/>
          <w:u w:color="000000"/>
        </w:rPr>
        <w:t xml:space="preserve"> </w:t>
      </w:r>
      <w:r>
        <w:rPr>
          <w:color w:val="000000"/>
          <w:u w:color="000000"/>
        </w:rPr>
        <w:t>.</w:t>
      </w:r>
      <w:proofErr w:type="gramEnd"/>
    </w:p>
    <w:p w14:paraId="0064B457" w14:textId="77777777" w:rsidR="00A77B3E" w:rsidRDefault="00D2108B">
      <w:pPr>
        <w:keepLines/>
        <w:spacing w:before="240" w:after="120"/>
        <w:ind w:firstLine="567"/>
        <w:jc w:val="both"/>
        <w:rPr>
          <w:color w:val="000000"/>
          <w:u w:color="000000"/>
        </w:rPr>
      </w:pPr>
      <w:r>
        <w:t>§ 11. </w:t>
      </w:r>
      <w:r>
        <w:rPr>
          <w:color w:val="000000"/>
          <w:u w:color="000000"/>
        </w:rPr>
        <w:t xml:space="preserve">Nie wskazuje </w:t>
      </w:r>
      <w:proofErr w:type="gramStart"/>
      <w:r>
        <w:rPr>
          <w:color w:val="000000"/>
          <w:u w:color="000000"/>
        </w:rPr>
        <w:t>się  nieruchomości</w:t>
      </w:r>
      <w:proofErr w:type="gramEnd"/>
      <w:r>
        <w:rPr>
          <w:color w:val="000000"/>
          <w:u w:color="000000"/>
        </w:rPr>
        <w:t xml:space="preserve"> według katastru nieruchomości oraz księgi wieczystej, o których mowa w art. 38 ust. 1 ustawy z dnia 5 lipca 2018 r. o ułatwieniach w przygotowaniu i realizacji inwestycji mieszkaniowych oraz inwestycji towarzyszących.</w:t>
      </w:r>
    </w:p>
    <w:p w14:paraId="3267158B" w14:textId="77777777" w:rsidR="00A77B3E" w:rsidRDefault="00D2108B">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37B24838" w14:textId="77777777" w:rsidR="00A77B3E" w:rsidRDefault="00D2108B">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2022 r. poz. 2556 i 2687 oraz z 2023 r. poz. 877, 1506, 1688, 1719 i 1762);</w:t>
      </w:r>
    </w:p>
    <w:p w14:paraId="4D896296" w14:textId="77777777" w:rsidR="00A77B3E" w:rsidRDefault="00D2108B">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2023 r. poz. 1336 i 1688);</w:t>
      </w:r>
    </w:p>
    <w:p w14:paraId="2A97F0F5" w14:textId="77777777" w:rsidR="00A77B3E" w:rsidRDefault="00D2108B">
      <w:pPr>
        <w:spacing w:before="120" w:after="120"/>
        <w:ind w:left="227" w:hanging="227"/>
        <w:jc w:val="both"/>
        <w:rPr>
          <w:color w:val="000000"/>
          <w:u w:color="000000"/>
        </w:rPr>
      </w:pPr>
      <w:r>
        <w:t>3) </w:t>
      </w:r>
      <w:r>
        <w:rPr>
          <w:color w:val="000000"/>
          <w:u w:color="000000"/>
        </w:rPr>
        <w:t xml:space="preserve">zgodnie z art. 7 ustawy z dnia 23 lipca 2003 r. o ochronie zabytków i opiece nad zabytkami (Dz. U. z 2022 r. poz. 840 oraz z 2023 r. poz. 951 i 1688) teren planowanej inwestycji znajduje się na obszarze historycznego zespołu budownictwa przemysłowego Karola </w:t>
      </w:r>
      <w:proofErr w:type="spellStart"/>
      <w:r>
        <w:rPr>
          <w:color w:val="000000"/>
          <w:u w:color="000000"/>
        </w:rPr>
        <w:t>Scheiblera</w:t>
      </w:r>
      <w:proofErr w:type="spellEnd"/>
      <w:r>
        <w:rPr>
          <w:color w:val="000000"/>
          <w:u w:color="000000"/>
        </w:rPr>
        <w:t xml:space="preserve"> i Ludwika Grohmana i jest objęty ochroną na podstawie wpisu do rejestru zabytków pod nr. A/44 (decyzja z dnia 20.01.1971 r.); dla omawianego terenu został także przyjęty uchwałą Nr III/58/18 Rady Miejskiej w Łodzi z dnia 27 grudnia 2018 r. (Dz. Urz. Woj. Łódzkiego z 2019 r. poz. 471) miejscowy plan zagospodarowania przestrzennego obejmujący obszar ograniczony alejami marszałków Józefa Piłsudskiego i Edwarda Śmigłego-Rydza, a także ulicami: Milionową, Jana Kilińskiego, Fabryczną i Przędzalnianą wskazujący, iż obszar, na którym znajduje się planowana inwestycja należy do fragmentu historycznego układu urbanistycznego i krajobrazu kulturowego, wpisanego do gminnej ewidencji zabytków pod nazwą „Posiadła wodno-fabryczne”; plan miejscowy wskazuje również, że cały ww. obszar znajduje się pod ochroną archeologiczną co oznacza, że przy realizacji robót ziemnych lub dokonywaniu zmiany dotychczasowej działalności wiążącej się z naruszeniem struktury gruntu nakazuje się przeprowadzenie nadzoru archeologicznego na zasadach określonych w przepisach odrębnych z zakresu ochrony zabytków.</w:t>
      </w:r>
    </w:p>
    <w:p w14:paraId="2203A007" w14:textId="77777777" w:rsidR="00A77B3E" w:rsidRDefault="00D2108B">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001EE8CA" w14:textId="77777777" w:rsidR="00A77B3E" w:rsidRDefault="00D2108B">
      <w:pPr>
        <w:keepLines/>
        <w:spacing w:before="240" w:after="120"/>
        <w:ind w:firstLine="567"/>
        <w:jc w:val="both"/>
        <w:rPr>
          <w:color w:val="000000"/>
          <w:u w:color="000000"/>
        </w:rPr>
      </w:pPr>
      <w:r>
        <w:t>§ 14. </w:t>
      </w:r>
      <w:r>
        <w:rPr>
          <w:color w:val="000000"/>
          <w:u w:color="000000"/>
        </w:rPr>
        <w:t>Wykonanie uchwały powierza się Prezydentowi Miasta Łodzi.</w:t>
      </w:r>
    </w:p>
    <w:p w14:paraId="3CD5425C" w14:textId="77777777" w:rsidR="00A77B3E" w:rsidRDefault="00D2108B">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5C5F8702" w14:textId="77777777" w:rsidR="00A77B3E" w:rsidRDefault="00D2108B">
      <w:pPr>
        <w:keepLines/>
        <w:spacing w:before="240" w:after="120"/>
        <w:ind w:firstLine="567"/>
        <w:jc w:val="both"/>
        <w:rPr>
          <w:color w:val="000000"/>
          <w:u w:color="000000"/>
        </w:rPr>
      </w:pPr>
      <w:r>
        <w:lastRenderedPageBreak/>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B51E89" w14:paraId="7A6704B1" w14:textId="77777777">
        <w:tc>
          <w:tcPr>
            <w:tcW w:w="4650" w:type="dxa"/>
            <w:tcBorders>
              <w:top w:val="nil"/>
              <w:left w:val="nil"/>
              <w:bottom w:val="nil"/>
              <w:right w:val="nil"/>
            </w:tcBorders>
            <w:noWrap/>
            <w:tcMar>
              <w:top w:w="100" w:type="dxa"/>
            </w:tcMar>
          </w:tcPr>
          <w:p w14:paraId="57CB39CE" w14:textId="77777777" w:rsidR="00A77B3E" w:rsidRDefault="00A77B3E">
            <w:pPr>
              <w:jc w:val="left"/>
              <w:rPr>
                <w:color w:val="000000"/>
                <w:u w:color="000000"/>
              </w:rPr>
            </w:pPr>
          </w:p>
        </w:tc>
        <w:tc>
          <w:tcPr>
            <w:tcW w:w="4620" w:type="dxa"/>
            <w:tcBorders>
              <w:top w:val="nil"/>
              <w:left w:val="nil"/>
              <w:bottom w:val="nil"/>
              <w:right w:val="nil"/>
            </w:tcBorders>
            <w:noWrap/>
            <w:tcMar>
              <w:top w:w="100" w:type="dxa"/>
            </w:tcMar>
          </w:tcPr>
          <w:p w14:paraId="2A758B20" w14:textId="77777777" w:rsidR="00A77B3E" w:rsidRDefault="00D2108B">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5D2BF1BC" w14:textId="77777777" w:rsidR="00A77B3E" w:rsidRDefault="00D2108B">
      <w:pPr>
        <w:ind w:left="283" w:firstLine="227"/>
        <w:jc w:val="both"/>
        <w:rPr>
          <w:color w:val="000000"/>
          <w:u w:color="000000"/>
        </w:rPr>
      </w:pPr>
      <w:r>
        <w:rPr>
          <w:color w:val="000000"/>
          <w:u w:color="000000"/>
        </w:rPr>
        <w:t>Projektodawcą jest</w:t>
      </w:r>
    </w:p>
    <w:p w14:paraId="79E5A7D0" w14:textId="77777777" w:rsidR="00A77B3E" w:rsidRDefault="00D2108B">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7A63D3B1" w14:textId="77777777" w:rsidR="00A77B3E" w:rsidRDefault="00B51E89">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sidR="00D2108B">
        <w:rPr>
          <w:color w:val="000000"/>
          <w:u w:color="000000"/>
        </w:rPr>
        <w:t>Załącznik Nr 1</w:t>
      </w:r>
      <w:r w:rsidR="00D2108B">
        <w:rPr>
          <w:color w:val="000000"/>
          <w:u w:color="000000"/>
        </w:rPr>
        <w:br/>
        <w:t>do uchwały Nr</w:t>
      </w:r>
      <w:r w:rsidR="00D2108B">
        <w:rPr>
          <w:color w:val="000000"/>
          <w:u w:color="000000"/>
        </w:rPr>
        <w:br/>
        <w:t>Rady Miejskiej w Łodzi</w:t>
      </w:r>
      <w:r w:rsidR="00D2108B">
        <w:rPr>
          <w:color w:val="000000"/>
          <w:u w:color="000000"/>
        </w:rPr>
        <w:br/>
        <w:t>z dnia</w:t>
      </w:r>
      <w:r w:rsidR="00D2108B">
        <w:rPr>
          <w:color w:val="000000"/>
          <w:u w:color="000000"/>
        </w:rPr>
        <w:br/>
      </w:r>
    </w:p>
    <w:p w14:paraId="62BD1453" w14:textId="77777777" w:rsidR="00A77B3E" w:rsidRDefault="00D2108B">
      <w:pPr>
        <w:keepNext/>
        <w:spacing w:after="480"/>
        <w:rPr>
          <w:color w:val="000000"/>
          <w:u w:color="000000"/>
        </w:rPr>
      </w:pPr>
      <w:r>
        <w:rPr>
          <w:b/>
          <w:color w:val="000000"/>
          <w:u w:color="000000"/>
        </w:rPr>
        <w:t>Granice terenu objętego inwestycją mieszkaniową i inwestycjami towarzyszącymi.</w:t>
      </w:r>
    </w:p>
    <w:p w14:paraId="0AC1AB11" w14:textId="77777777" w:rsidR="00A77B3E" w:rsidRDefault="00D2108B">
      <w:pPr>
        <w:ind w:left="283" w:firstLine="227"/>
        <w:rPr>
          <w:color w:val="000000"/>
          <w:u w:color="000000"/>
        </w:rPr>
      </w:pPr>
      <w:r>
        <w:rPr>
          <w:noProof/>
          <w:color w:val="000000"/>
          <w:u w:color="000000"/>
          <w:lang w:bidi="ar-SA"/>
        </w:rPr>
        <w:drawing>
          <wp:inline distT="0" distB="0" distL="0" distR="0" wp14:anchorId="527E8FCC" wp14:editId="5C5F5EB9">
            <wp:extent cx="5764581" cy="4068556"/>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581" cy="4068556"/>
                    </a:xfrm>
                    <a:prstGeom prst="rect">
                      <a:avLst/>
                    </a:prstGeom>
                  </pic:spPr>
                </pic:pic>
              </a:graphicData>
            </a:graphic>
          </wp:inline>
        </w:drawing>
      </w:r>
    </w:p>
    <w:p w14:paraId="42CC68C4" w14:textId="77777777" w:rsidR="00A77B3E" w:rsidRDefault="00D2108B">
      <w:pPr>
        <w:ind w:left="283" w:firstLine="227"/>
        <w:rPr>
          <w:color w:val="000000"/>
          <w:u w:color="000000"/>
        </w:rPr>
      </w:pPr>
      <w:r>
        <w:rPr>
          <w:noProof/>
          <w:color w:val="000000"/>
          <w:u w:color="000000"/>
          <w:lang w:bidi="ar-SA"/>
        </w:rPr>
        <w:lastRenderedPageBreak/>
        <w:drawing>
          <wp:inline distT="0" distB="0" distL="0" distR="0" wp14:anchorId="51C1C256" wp14:editId="114942FF">
            <wp:extent cx="5764581" cy="8137111"/>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581" cy="8137111"/>
                    </a:xfrm>
                    <a:prstGeom prst="rect">
                      <a:avLst/>
                    </a:prstGeom>
                  </pic:spPr>
                </pic:pic>
              </a:graphicData>
            </a:graphic>
          </wp:inline>
        </w:drawing>
      </w:r>
    </w:p>
    <w:p w14:paraId="36DC0CE2" w14:textId="77777777" w:rsidR="00A77B3E" w:rsidRDefault="00D2108B">
      <w:pPr>
        <w:ind w:left="283" w:firstLine="227"/>
        <w:rPr>
          <w:color w:val="000000"/>
          <w:u w:color="000000"/>
        </w:rPr>
      </w:pPr>
      <w:r>
        <w:rPr>
          <w:noProof/>
          <w:color w:val="000000"/>
          <w:u w:color="000000"/>
          <w:lang w:bidi="ar-SA"/>
        </w:rPr>
        <w:lastRenderedPageBreak/>
        <w:drawing>
          <wp:inline distT="0" distB="0" distL="0" distR="0" wp14:anchorId="429BFDBD" wp14:editId="756211FA">
            <wp:extent cx="5764581" cy="8137111"/>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581" cy="8137111"/>
                    </a:xfrm>
                    <a:prstGeom prst="rect">
                      <a:avLst/>
                    </a:prstGeom>
                  </pic:spPr>
                </pic:pic>
              </a:graphicData>
            </a:graphic>
          </wp:inline>
        </w:drawing>
      </w:r>
    </w:p>
    <w:p w14:paraId="32E7003C" w14:textId="77777777"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14:paraId="6300D83C" w14:textId="77777777" w:rsidR="00A77B3E" w:rsidRDefault="00B51E89">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sidR="00D2108B">
        <w:rPr>
          <w:color w:val="000000"/>
          <w:u w:color="000000"/>
        </w:rPr>
        <w:t>Załącznik Nr 2</w:t>
      </w:r>
      <w:r w:rsidR="00D2108B">
        <w:rPr>
          <w:color w:val="000000"/>
          <w:u w:color="000000"/>
        </w:rPr>
        <w:br/>
        <w:t>do uchwały Nr</w:t>
      </w:r>
      <w:r w:rsidR="00D2108B">
        <w:rPr>
          <w:color w:val="000000"/>
          <w:u w:color="000000"/>
        </w:rPr>
        <w:br/>
        <w:t>Rady Miejskiej w Łodzi</w:t>
      </w:r>
      <w:r w:rsidR="00D2108B">
        <w:rPr>
          <w:color w:val="000000"/>
          <w:u w:color="000000"/>
        </w:rPr>
        <w:br/>
        <w:t>z dnia</w:t>
      </w:r>
    </w:p>
    <w:p w14:paraId="327458DA" w14:textId="77777777" w:rsidR="00A77B3E" w:rsidRDefault="00D2108B">
      <w:pPr>
        <w:keepNext/>
        <w:spacing w:after="480"/>
        <w:rPr>
          <w:color w:val="000000"/>
          <w:u w:color="000000"/>
        </w:rPr>
      </w:pPr>
      <w:r>
        <w:rPr>
          <w:b/>
          <w:color w:val="000000"/>
          <w:u w:color="000000"/>
        </w:rPr>
        <w:t>Planowany sposób zagospodarowania terenu.</w:t>
      </w:r>
    </w:p>
    <w:p w14:paraId="348181FB" w14:textId="77777777" w:rsidR="00A77B3E" w:rsidRDefault="00D2108B">
      <w:pPr>
        <w:ind w:left="283" w:firstLine="227"/>
        <w:rPr>
          <w:color w:val="000000"/>
          <w:u w:color="000000"/>
        </w:rPr>
      </w:pPr>
      <w:r>
        <w:rPr>
          <w:noProof/>
          <w:color w:val="000000"/>
          <w:u w:color="000000"/>
          <w:lang w:bidi="ar-SA"/>
        </w:rPr>
        <w:drawing>
          <wp:inline distT="0" distB="0" distL="0" distR="0" wp14:anchorId="4E588740" wp14:editId="35497D97">
            <wp:extent cx="5764581" cy="4068556"/>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4581" cy="4068556"/>
                    </a:xfrm>
                    <a:prstGeom prst="rect">
                      <a:avLst/>
                    </a:prstGeom>
                  </pic:spPr>
                </pic:pic>
              </a:graphicData>
            </a:graphic>
          </wp:inline>
        </w:drawing>
      </w:r>
    </w:p>
    <w:p w14:paraId="67644B67" w14:textId="77777777" w:rsidR="00A77B3E" w:rsidRDefault="00D2108B">
      <w:pPr>
        <w:ind w:left="283" w:firstLine="227"/>
        <w:rPr>
          <w:color w:val="000000"/>
          <w:u w:color="000000"/>
        </w:rPr>
      </w:pPr>
      <w:r>
        <w:rPr>
          <w:noProof/>
          <w:color w:val="000000"/>
          <w:u w:color="000000"/>
          <w:lang w:bidi="ar-SA"/>
        </w:rPr>
        <w:lastRenderedPageBreak/>
        <w:drawing>
          <wp:inline distT="0" distB="0" distL="0" distR="0" wp14:anchorId="5F63CD70" wp14:editId="12CD3BC0">
            <wp:extent cx="5764581" cy="8137111"/>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581" cy="8137111"/>
                    </a:xfrm>
                    <a:prstGeom prst="rect">
                      <a:avLst/>
                    </a:prstGeom>
                  </pic:spPr>
                </pic:pic>
              </a:graphicData>
            </a:graphic>
          </wp:inline>
        </w:drawing>
      </w:r>
    </w:p>
    <w:p w14:paraId="0DADAABA" w14:textId="77777777" w:rsidR="00A77B3E" w:rsidRDefault="00D2108B">
      <w:pPr>
        <w:ind w:left="283" w:firstLine="227"/>
        <w:rPr>
          <w:color w:val="000000"/>
          <w:u w:color="000000"/>
        </w:rPr>
      </w:pPr>
      <w:r>
        <w:rPr>
          <w:noProof/>
          <w:color w:val="000000"/>
          <w:u w:color="000000"/>
          <w:lang w:bidi="ar-SA"/>
        </w:rPr>
        <w:lastRenderedPageBreak/>
        <w:drawing>
          <wp:inline distT="0" distB="0" distL="0" distR="0" wp14:anchorId="6679E41A" wp14:editId="6D30B1DA">
            <wp:extent cx="5764581" cy="8137111"/>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581" cy="8137111"/>
                    </a:xfrm>
                    <a:prstGeom prst="rect">
                      <a:avLst/>
                    </a:prstGeom>
                  </pic:spPr>
                </pic:pic>
              </a:graphicData>
            </a:graphic>
          </wp:inline>
        </w:drawing>
      </w:r>
    </w:p>
    <w:p w14:paraId="5A7B6228" w14:textId="77777777"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14:paraId="4A718866" w14:textId="77777777" w:rsidR="00B51E89" w:rsidRDefault="00D2108B">
      <w:pPr>
        <w:spacing w:before="120" w:after="120"/>
        <w:rPr>
          <w:color w:val="000000"/>
          <w:szCs w:val="20"/>
        </w:rPr>
      </w:pPr>
      <w:r>
        <w:rPr>
          <w:b/>
          <w:color w:val="000000"/>
          <w:szCs w:val="20"/>
        </w:rPr>
        <w:lastRenderedPageBreak/>
        <w:t>Uzasadnienie</w:t>
      </w:r>
    </w:p>
    <w:p w14:paraId="008A922A" w14:textId="77777777" w:rsidR="00B51E89" w:rsidRDefault="00D2108B">
      <w:pPr>
        <w:ind w:firstLine="720"/>
        <w:jc w:val="both"/>
        <w:rPr>
          <w:szCs w:val="20"/>
        </w:rPr>
      </w:pPr>
      <w:r>
        <w:rPr>
          <w:szCs w:val="20"/>
        </w:rPr>
        <w:t>Pełnomocnik inwestora T17 Sp. z o.o. pismem z dnia 13 marca 2023 r.  wystąpił do Rady Miejskiej w Łodzi, za pośrednictwem Prezydenta Miasta Łodzi - Biura Architekta Miasta w Departamencie Planowania i Rozwoju Gospodarczego Urzędu Miasta Łodzi, o ustalenie na podstawie art. 7 ust. 1 i 6 ustawy z dnia 5 lipca 2018 r. o ułatwieniach w przygotowaniu i realizacji inwestycji mieszkaniowych oraz inwestycji towarzyszących (Dz. </w:t>
      </w:r>
      <w:r>
        <w:rPr>
          <w:szCs w:val="20"/>
          <w:shd w:val="clear" w:color="auto" w:fill="FFFFFF"/>
        </w:rPr>
        <w:t xml:space="preserve">U. z 2021 r. poz. 1538 </w:t>
      </w:r>
      <w:r>
        <w:rPr>
          <w:szCs w:val="20"/>
        </w:rPr>
        <w:t>oraz z 2023 r. poz. 553, 803 i 1688</w:t>
      </w:r>
      <w:r>
        <w:rPr>
          <w:szCs w:val="20"/>
          <w:shd w:val="clear" w:color="auto" w:fill="FFFFFF"/>
        </w:rPr>
        <w:t>), zwanej dalej specustawą,</w:t>
      </w:r>
      <w:r>
        <w:rPr>
          <w:szCs w:val="20"/>
        </w:rPr>
        <w:t xml:space="preserve"> lokalizacji inwestycji mieszkaniowej polegającej na budowie budynku mieszkalnego wielorodzinnego z usługami w parterze, garażem podziemnym, zagospodarowaniem terenu i niezbędną infrastrukturą na działkach nr 162/1 i 155/2 w obrębie W-25 przy ul. Tymienieckiego 17 w Łodzi oraz inwestycji towarzyszących polegających na budowie nowego i przebudowie istniejącego  uzbrojenia terenu w zakresie przyłączy: ciepłowniczego, energetycznego, kanalizacji kablowej, wodociągowego i kanalizacji sanitarnej, oraz budowie zjazdu z drogi publicznej, miejsc postojowych naziemnych, przebudowie chodnika i pasa zieleni na działkach lub częściach działek nr: 163/15, 164/8, 164/9, 162/4, 161/3, 155/7, 155/2 i 82/3 w obrębie W-25 przy ulicach: Tymienieckiego 17, 19, 25 i Tymienieckiego bez numeru, Kilińskiego 190 i Kilińskiego bez numeru i Milionowej bez numeru oraz w Parku im. Jana Kilińskiego w Łodzi.</w:t>
      </w:r>
    </w:p>
    <w:p w14:paraId="5F161851" w14:textId="77777777" w:rsidR="00B51E89" w:rsidRDefault="00D2108B">
      <w:pPr>
        <w:ind w:firstLine="720"/>
        <w:jc w:val="both"/>
        <w:rPr>
          <w:szCs w:val="20"/>
        </w:rPr>
      </w:pPr>
      <w:r>
        <w:rPr>
          <w:szCs w:val="20"/>
        </w:rPr>
        <w:t>W sprawie zastosowanie mają przepisy specustawy oraz uchwały w sprawie lokalnych standardów urbanistycznych dla Miasta Łodzi w brzmieniu na dzień 13 marca 2023 r., w związku z art. 23 ust. 1 ustawy z dnia 26 stycznia 2023 r. o zmianie ustaw w celu likwidowania zbędnych barier administracyjnych i prawnych (Dz. U. poz. 803) z uwzględnieniem art. 5 ust. 3a specustawy dodanego ustawą z dnia 9 marca 2023 r. o zmianie ustawy o inwestycjach w zakresie elektrowni wiatrowych oraz niektórych innych ustaw (Dz. U. poz. 553) oraz art. 8 ust. 3 specustawy w brzmieniu nadanym ustawą z dnia 26 stycznia 2023 r. o zmianie ustaw w celu likwidowania zbędnych barier administracyjnych i prawnych.</w:t>
      </w:r>
    </w:p>
    <w:p w14:paraId="6DAFCB11" w14:textId="77777777" w:rsidR="00B51E89" w:rsidRDefault="00D2108B">
      <w:pPr>
        <w:ind w:firstLine="720"/>
        <w:jc w:val="both"/>
        <w:rPr>
          <w:szCs w:val="20"/>
        </w:rPr>
      </w:pPr>
      <w:r>
        <w:rPr>
          <w:szCs w:val="20"/>
          <w:shd w:val="clear" w:color="auto" w:fill="FFFFFF"/>
        </w:rPr>
        <w:t>Z uwagi na negatywną opinię Miejskiej Komisji Urbanistyczno-Architektonicznej w </w:t>
      </w:r>
      <w:proofErr w:type="gramStart"/>
      <w:r>
        <w:rPr>
          <w:szCs w:val="20"/>
          <w:shd w:val="clear" w:color="auto" w:fill="FFFFFF"/>
        </w:rPr>
        <w:t>Łodzi  wniosek</w:t>
      </w:r>
      <w:proofErr w:type="gramEnd"/>
      <w:r>
        <w:rPr>
          <w:szCs w:val="20"/>
          <w:shd w:val="clear" w:color="auto" w:fill="FFFFFF"/>
        </w:rPr>
        <w:t xml:space="preserve"> został zmodyfikowany dnia 30 maja 2023 r. pismem z dnia 29.05.2023 r. Na skutek wezwania wnioskodawcy do usunięcia braków formalnych wniosek został poprawnie uzupełniony pismem z dnia 14 czerwca 2023 r. i wpłynął do urzędu 22 czerwca 2023 r. Po ponownej weryfikacji wniosku stwierdzono, ż</w:t>
      </w:r>
      <w:r>
        <w:rPr>
          <w:szCs w:val="20"/>
          <w:shd w:val="clear" w:color="auto" w:fill="FFFFFF"/>
          <w:lang w:val="nl-NL" w:eastAsia="nl-NL" w:bidi="nl-NL"/>
        </w:rPr>
        <w:t>e spe</w:t>
      </w:r>
      <w:proofErr w:type="spellStart"/>
      <w:r>
        <w:rPr>
          <w:szCs w:val="20"/>
          <w:shd w:val="clear" w:color="auto" w:fill="FFFFFF"/>
        </w:rPr>
        <w:t>łnia</w:t>
      </w:r>
      <w:proofErr w:type="spellEnd"/>
      <w:r>
        <w:rPr>
          <w:szCs w:val="20"/>
          <w:shd w:val="clear" w:color="auto" w:fill="FFFFFF"/>
        </w:rPr>
        <w:t xml:space="preserve"> on wymogi dotyczące kompletności wniosku </w:t>
      </w:r>
      <w:proofErr w:type="spellStart"/>
      <w:r>
        <w:rPr>
          <w:szCs w:val="20"/>
          <w:shd w:val="clear" w:color="auto" w:fill="FFFFFF"/>
        </w:rPr>
        <w:t>okreś</w:t>
      </w:r>
      <w:proofErr w:type="spellEnd"/>
      <w:r>
        <w:rPr>
          <w:szCs w:val="20"/>
          <w:shd w:val="clear" w:color="auto" w:fill="FFFFFF"/>
          <w:lang w:val="en-US" w:eastAsia="en-US" w:bidi="en-US"/>
        </w:rPr>
        <w:t>lone w</w:t>
      </w:r>
      <w:r>
        <w:rPr>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3000 m</w:t>
      </w:r>
      <w:r>
        <w:rPr>
          <w:szCs w:val="20"/>
          <w:shd w:val="clear" w:color="auto" w:fill="FFFFFF"/>
          <w:vertAlign w:val="superscript"/>
        </w:rPr>
        <w:t>2</w:t>
      </w:r>
      <w:r>
        <w:rPr>
          <w:szCs w:val="20"/>
          <w:shd w:val="clear" w:color="auto" w:fill="FFFFFF"/>
          <w:lang w:val="pt-PT" w:eastAsia="pt-PT" w:bidi="pt-PT"/>
        </w:rPr>
        <w:t xml:space="preserve"> do </w:t>
      </w:r>
      <w:r>
        <w:rPr>
          <w:szCs w:val="20"/>
          <w:shd w:val="clear" w:color="auto" w:fill="FFFFFF"/>
        </w:rPr>
        <w:t>6000 m</w:t>
      </w:r>
      <w:r>
        <w:rPr>
          <w:szCs w:val="20"/>
          <w:shd w:val="clear" w:color="auto" w:fill="FFFFFF"/>
          <w:vertAlign w:val="superscript"/>
        </w:rPr>
        <w:t>2</w:t>
      </w:r>
      <w:r>
        <w:rPr>
          <w:szCs w:val="20"/>
          <w:shd w:val="clear" w:color="auto" w:fill="FFFFFF"/>
        </w:rPr>
        <w:t xml:space="preserve"> oraz planowaną minimalną i maksymalną liczbę mieszkań wynoszącą od 60</w:t>
      </w:r>
      <w:r>
        <w:rPr>
          <w:szCs w:val="20"/>
          <w:shd w:val="clear" w:color="auto" w:fill="FFFFFF"/>
          <w:lang w:val="pt-PT" w:eastAsia="pt-PT" w:bidi="pt-PT"/>
        </w:rPr>
        <w:t xml:space="preserve"> do </w:t>
      </w:r>
      <w:r>
        <w:rPr>
          <w:szCs w:val="20"/>
          <w:shd w:val="clear" w:color="auto" w:fill="FFFFFF"/>
        </w:rPr>
        <w:t xml:space="preserve">80. </w:t>
      </w:r>
      <w:r>
        <w:rPr>
          <w:szCs w:val="20"/>
        </w:rPr>
        <w:t xml:space="preserve">Planowana powierzchnia użytkowa przeznaczona na działalność handlowo-usługową, realizowana na parterze budynku, </w:t>
      </w:r>
      <w:proofErr w:type="gramStart"/>
      <w:r>
        <w:rPr>
          <w:szCs w:val="20"/>
        </w:rPr>
        <w:t>wyniesie  minimalnie</w:t>
      </w:r>
      <w:proofErr w:type="gramEnd"/>
      <w:r>
        <w:rPr>
          <w:szCs w:val="20"/>
        </w:rPr>
        <w:t xml:space="preserve"> 100 m</w:t>
      </w:r>
      <w:r>
        <w:rPr>
          <w:szCs w:val="20"/>
          <w:vertAlign w:val="superscript"/>
        </w:rPr>
        <w:t>2</w:t>
      </w:r>
      <w:r>
        <w:rPr>
          <w:szCs w:val="20"/>
        </w:rPr>
        <w:t xml:space="preserve">  do maksymalnie 800 m</w:t>
      </w:r>
      <w:r>
        <w:rPr>
          <w:szCs w:val="20"/>
          <w:vertAlign w:val="superscript"/>
        </w:rPr>
        <w:t>2</w:t>
      </w:r>
      <w:r>
        <w:rPr>
          <w:szCs w:val="20"/>
        </w:rPr>
        <w:t xml:space="preserve">  co nie przekroczy 20% powierzchni użytkowej mieszkań. </w:t>
      </w:r>
      <w:r>
        <w:rPr>
          <w:szCs w:val="20"/>
          <w:shd w:val="clear" w:color="auto" w:fill="FFFFFF"/>
        </w:rPr>
        <w:t xml:space="preserve">Wniosek obejmuje analizę powiązania inwestycji mieszkaniowej z uzbrojeniem </w:t>
      </w:r>
      <w:proofErr w:type="gramStart"/>
      <w:r>
        <w:rPr>
          <w:szCs w:val="20"/>
          <w:shd w:val="clear" w:color="auto" w:fill="FFFFFF"/>
        </w:rPr>
        <w:t>terenu,</w:t>
      </w:r>
      <w:proofErr w:type="gramEnd"/>
      <w:r>
        <w:rPr>
          <w:szCs w:val="20"/>
          <w:shd w:val="clear" w:color="auto" w:fill="FFFFFF"/>
        </w:rPr>
        <w:t xml:space="preserve"> oraz charakterystykę inwestycji mieszkaniowej. Wnioskodawca wskazał nieruchomości, według katastru nieruchomości oraz księgi wieczystej, na których mają być zlokalizowane obiekty objęte inwestycjami: mieszkaniową i towarzyszącymi, </w:t>
      </w:r>
      <w:r>
        <w:rPr>
          <w:szCs w:val="20"/>
        </w:rPr>
        <w:t xml:space="preserve">oraz części nieruchomości, o </w:t>
      </w:r>
      <w:proofErr w:type="gramStart"/>
      <w:r>
        <w:rPr>
          <w:szCs w:val="20"/>
        </w:rPr>
        <w:t>których  mowa</w:t>
      </w:r>
      <w:proofErr w:type="gramEnd"/>
      <w:r>
        <w:rPr>
          <w:szCs w:val="20"/>
        </w:rPr>
        <w:t xml:space="preserve"> w art. 35 ust. 1 specustawy. </w:t>
      </w:r>
      <w:r>
        <w:rPr>
          <w:szCs w:val="20"/>
          <w:shd w:val="clear" w:color="auto" w:fill="FFFFFF"/>
        </w:rPr>
        <w:t xml:space="preserve">Wskazano również, w jakim zakresie planowana inwestycja nie uwzględnia ustaleń miejscowego planu zagospodarowania przestrzennego i że nie jest sprzeczna ze studium uwarunkowań i kierunków zagospodarowania przestrzennego miasta Łodzi. </w:t>
      </w:r>
      <w:r>
        <w:rPr>
          <w:szCs w:val="20"/>
          <w:shd w:val="clear" w:color="auto" w:fill="FFFFFF"/>
          <w:lang w:val="de-DE" w:eastAsia="de-DE" w:bidi="de-DE"/>
        </w:rPr>
        <w:t>W</w:t>
      </w:r>
      <w:proofErr w:type="spellStart"/>
      <w:r>
        <w:rPr>
          <w:szCs w:val="20"/>
          <w:shd w:val="clear" w:color="auto" w:fill="FFFFFF"/>
        </w:rPr>
        <w:t>ykazano</w:t>
      </w:r>
      <w:proofErr w:type="spellEnd"/>
      <w:r>
        <w:rPr>
          <w:szCs w:val="20"/>
          <w:shd w:val="clear" w:color="auto" w:fill="FFFFFF"/>
        </w:rPr>
        <w:t>, że inwestycja mieszkaniowa odpowiada standardom, o których mowa w rozdziale 3 specustawy oraz lokalnym standardom urbanistycznym.</w:t>
      </w:r>
      <w:r>
        <w:rPr>
          <w:color w:val="7030A0"/>
          <w:szCs w:val="20"/>
          <w:shd w:val="clear" w:color="auto" w:fill="FFFFFF"/>
        </w:rPr>
        <w:t xml:space="preserve"> </w:t>
      </w:r>
      <w:r>
        <w:rPr>
          <w:szCs w:val="20"/>
          <w:shd w:val="clear" w:color="auto" w:fill="FFFFFF"/>
        </w:rPr>
        <w:t xml:space="preserve">Do wniosku załączono koncepcję urbanistyczno-architektoniczną, sporządzoną przez osobę wpisaną na listę izby samorządu zawodowego </w:t>
      </w:r>
      <w:r>
        <w:rPr>
          <w:szCs w:val="20"/>
          <w:shd w:val="clear" w:color="auto" w:fill="FFFFFF"/>
        </w:rPr>
        <w:lastRenderedPageBreak/>
        <w:t>architektów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14:paraId="0C0E4935" w14:textId="77777777" w:rsidR="00B51E89" w:rsidRDefault="00D2108B">
      <w:pPr>
        <w:spacing w:before="120" w:after="120"/>
        <w:jc w:val="both"/>
        <w:rPr>
          <w:szCs w:val="20"/>
        </w:rPr>
      </w:pPr>
      <w:r>
        <w:rPr>
          <w:szCs w:val="20"/>
          <w:shd w:val="clear" w:color="auto" w:fill="FFFFFF"/>
        </w:rPr>
        <w:tab/>
        <w:t>W dniu 23 czerwca 2023 r. wniosek został udostępniony na</w:t>
      </w:r>
      <w:r>
        <w:rPr>
          <w:szCs w:val="20"/>
        </w:rPr>
        <w:t xml:space="preserve"> stronie podmiotowej Biuletynu Informacji Publicznej wraz z informacją o formie, miejscu i terminie składania uwag. Ponadto, w dniu 30 czerwca 2023 r. w lokalnej prasie "Łódź.pl" pojawiła się informacja o wpływie przedmiotowego wniosku wraz z informacją o formie, miejscu i terminie składania uwag. Po publikacji w Biuletynie do Biura Architekta Miasta nie trafiły żadne </w:t>
      </w:r>
      <w:proofErr w:type="gramStart"/>
      <w:r>
        <w:rPr>
          <w:szCs w:val="20"/>
        </w:rPr>
        <w:t>wnioski  i</w:t>
      </w:r>
      <w:proofErr w:type="gramEnd"/>
      <w:r>
        <w:rPr>
          <w:szCs w:val="20"/>
        </w:rPr>
        <w:t xml:space="preserve"> uwagi przeciwko planowanej inwestycji. </w:t>
      </w:r>
    </w:p>
    <w:p w14:paraId="1B1B3DD0" w14:textId="77777777" w:rsidR="00B51E89" w:rsidRDefault="00D2108B">
      <w:pPr>
        <w:keepLines/>
        <w:spacing w:before="120" w:after="120"/>
        <w:ind w:firstLine="720"/>
        <w:jc w:val="both"/>
        <w:rPr>
          <w:szCs w:val="20"/>
        </w:rPr>
      </w:pPr>
      <w:r>
        <w:rPr>
          <w:szCs w:val="20"/>
        </w:rPr>
        <w:t xml:space="preserve">     Pismami z dnia 27 czerwca 2023 r. powiadomiono organy opiniują</w:t>
      </w:r>
      <w:proofErr w:type="spellStart"/>
      <w:r>
        <w:rPr>
          <w:szCs w:val="20"/>
          <w:lang w:val="en-US" w:eastAsia="en-US" w:bidi="en-US"/>
        </w:rPr>
        <w:t>ce</w:t>
      </w:r>
      <w:proofErr w:type="spellEnd"/>
      <w:r>
        <w:rPr>
          <w:szCs w:val="20"/>
          <w:lang w:val="en-US" w:eastAsia="en-US" w:bidi="en-US"/>
        </w:rPr>
        <w:t xml:space="preserve"> </w:t>
      </w:r>
      <w:proofErr w:type="spellStart"/>
      <w:r>
        <w:rPr>
          <w:szCs w:val="20"/>
          <w:lang w:val="en-US" w:eastAsia="en-US" w:bidi="en-US"/>
        </w:rPr>
        <w:t>i</w:t>
      </w:r>
      <w:proofErr w:type="spellEnd"/>
      <w:r>
        <w:rPr>
          <w:szCs w:val="20"/>
        </w:rPr>
        <w:t> uzgadniające, o których mowa w art. 7 ust. 12 i 14 specustawy, o możliwości przedstawienia stanowiska w sprawie w ciągu 21 dni od daty doręczenia wystąpienia.</w:t>
      </w:r>
    </w:p>
    <w:p w14:paraId="7F1F19F1" w14:textId="77777777" w:rsidR="00B51E89" w:rsidRDefault="00D2108B">
      <w:pPr>
        <w:spacing w:before="120" w:after="120"/>
        <w:ind w:firstLine="340"/>
        <w:jc w:val="both"/>
        <w:rPr>
          <w:szCs w:val="20"/>
        </w:rPr>
      </w:pPr>
      <w:r>
        <w:rPr>
          <w:szCs w:val="20"/>
        </w:rPr>
        <w:t>Następujące organy opiniujące udzieliły odpowiedzi:</w:t>
      </w:r>
    </w:p>
    <w:p w14:paraId="67333A65" w14:textId="77777777" w:rsidR="00B51E89" w:rsidRDefault="00D2108B">
      <w:pPr>
        <w:spacing w:before="120" w:after="120"/>
        <w:ind w:firstLine="510"/>
        <w:jc w:val="both"/>
        <w:rPr>
          <w:szCs w:val="20"/>
        </w:rPr>
      </w:pPr>
      <w:r>
        <w:rPr>
          <w:rFonts w:ascii="Times New Roman Greek" w:hAnsi="Times New Roman Greek"/>
          <w:szCs w:val="20"/>
        </w:rPr>
        <w:t xml:space="preserve">― Prezydent Miasta </w:t>
      </w:r>
      <w:r>
        <w:rPr>
          <w:szCs w:val="20"/>
        </w:rPr>
        <w:t>Łodzi, w którego imieniu działa Zastępca Dyrektora Łódzkiego Ośrodka Geodezji - opinia z dnia 29 czerwca 2023 r., znak OKS.071.31.2023.2AG, informują</w:t>
      </w:r>
      <w:r>
        <w:rPr>
          <w:szCs w:val="20"/>
          <w:lang w:val="it-IT" w:eastAsia="it-IT" w:bidi="it-IT"/>
        </w:rPr>
        <w:t>ca o</w:t>
      </w:r>
      <w:r>
        <w:rPr>
          <w:szCs w:val="20"/>
        </w:rPr>
        <w:t> braku zastrzeżeń w zakresie ochrony gruntów rolnych oraz koordynacji usytuowania projektowanych sieci uzbrojenia terenu;</w:t>
      </w:r>
    </w:p>
    <w:p w14:paraId="33541AAB" w14:textId="77777777" w:rsidR="00B51E89" w:rsidRDefault="00D2108B">
      <w:pPr>
        <w:spacing w:before="120" w:after="120"/>
        <w:ind w:firstLine="510"/>
        <w:jc w:val="both"/>
        <w:rPr>
          <w:szCs w:val="20"/>
        </w:rPr>
      </w:pPr>
      <w:r>
        <w:rPr>
          <w:rFonts w:ascii="Times New Roman Greek" w:hAnsi="Times New Roman Greek"/>
          <w:szCs w:val="20"/>
        </w:rPr>
        <w:t>― Szef Centralnego Wojskowego Centrum Rekrutacji, Szef O</w:t>
      </w:r>
      <w:r>
        <w:rPr>
          <w:szCs w:val="20"/>
        </w:rPr>
        <w:t>środka Zamiejscowego w Łodzi - pismo z dnia 30 lipca 2023 r. znak: CWCR_OZ_Łódź-WWiZ.0732.105.2023 informujące o braku uwag i zastrzeżeń do przedmiotowej lokalizacji;</w:t>
      </w:r>
    </w:p>
    <w:p w14:paraId="3C8FF421" w14:textId="77777777" w:rsidR="00B51E89" w:rsidRDefault="00D2108B">
      <w:pPr>
        <w:spacing w:before="120" w:after="120"/>
        <w:ind w:firstLine="510"/>
        <w:jc w:val="both"/>
        <w:rPr>
          <w:szCs w:val="20"/>
        </w:rPr>
      </w:pPr>
      <w:r>
        <w:rPr>
          <w:rFonts w:ascii="Times New Roman Greek" w:hAnsi="Times New Roman Greek"/>
          <w:szCs w:val="20"/>
        </w:rPr>
        <w:t>― Zarz</w:t>
      </w:r>
      <w:r>
        <w:rPr>
          <w:szCs w:val="20"/>
        </w:rPr>
        <w:t>ąd Województwa Łódzkiego - pismo z dnia 17 lipca 2023 r., znak BPPWŁ.ZP.405.6.2023, informują</w:t>
      </w:r>
      <w:r>
        <w:rPr>
          <w:szCs w:val="20"/>
          <w:lang w:val="it-IT" w:eastAsia="it-IT" w:bidi="it-IT"/>
        </w:rPr>
        <w:t>c</w:t>
      </w:r>
      <w:r>
        <w:rPr>
          <w:szCs w:val="20"/>
        </w:rPr>
        <w:t>e</w:t>
      </w:r>
      <w:r>
        <w:rPr>
          <w:szCs w:val="20"/>
          <w:lang w:val="it-IT" w:eastAsia="it-IT" w:bidi="it-IT"/>
        </w:rPr>
        <w:t xml:space="preserve"> o</w:t>
      </w:r>
      <w:r>
        <w:rPr>
          <w:szCs w:val="20"/>
        </w:rPr>
        <w:t> braku możliwości przeprowadzenia oceny przedłożonego projektu i zaopiniowania go z uwagi na fakt, że Województwo Łódzkie nie posiada audytu krajobrazowego;</w:t>
      </w:r>
    </w:p>
    <w:p w14:paraId="79955FF0" w14:textId="77777777" w:rsidR="00B51E89" w:rsidRDefault="00D2108B">
      <w:pPr>
        <w:spacing w:before="120" w:after="120"/>
        <w:ind w:firstLine="510"/>
        <w:jc w:val="both"/>
        <w:rPr>
          <w:szCs w:val="20"/>
        </w:rPr>
      </w:pPr>
      <w:r>
        <w:rPr>
          <w:rFonts w:ascii="Times New Roman Greek" w:hAnsi="Times New Roman Greek"/>
          <w:szCs w:val="20"/>
        </w:rPr>
        <w:t xml:space="preserve">― </w:t>
      </w:r>
      <w:r>
        <w:rPr>
          <w:szCs w:val="20"/>
        </w:rPr>
        <w:t>Łódzki Państwowy Wojewódzki Inspektor Sanitarny w Łodzi - pozytywna opinia z dnia 07 lipca 2023 r., znak: Ł</w:t>
      </w:r>
      <w:r>
        <w:rPr>
          <w:szCs w:val="20"/>
          <w:lang w:val="de-DE" w:eastAsia="de-DE" w:bidi="de-DE"/>
        </w:rPr>
        <w:t>PWIS.NSOZNS.9022.</w:t>
      </w:r>
      <w:r>
        <w:rPr>
          <w:szCs w:val="20"/>
        </w:rPr>
        <w:t>173</w:t>
      </w:r>
      <w:r>
        <w:rPr>
          <w:szCs w:val="20"/>
          <w:lang w:val="de-DE" w:eastAsia="de-DE" w:bidi="de-DE"/>
        </w:rPr>
        <w:t>.202</w:t>
      </w:r>
      <w:r>
        <w:rPr>
          <w:szCs w:val="20"/>
        </w:rPr>
        <w:t>3</w:t>
      </w:r>
      <w:r>
        <w:rPr>
          <w:szCs w:val="20"/>
          <w:lang w:val="de-DE" w:eastAsia="de-DE" w:bidi="de-DE"/>
        </w:rPr>
        <w:t>.</w:t>
      </w:r>
      <w:r>
        <w:rPr>
          <w:szCs w:val="20"/>
        </w:rPr>
        <w:t>AK;</w:t>
      </w:r>
    </w:p>
    <w:p w14:paraId="728E851A" w14:textId="77777777" w:rsidR="00B51E89" w:rsidRDefault="00D2108B">
      <w:pPr>
        <w:spacing w:before="120" w:after="120"/>
        <w:ind w:firstLine="510"/>
        <w:jc w:val="both"/>
        <w:rPr>
          <w:szCs w:val="20"/>
        </w:rPr>
      </w:pPr>
      <w:r>
        <w:rPr>
          <w:rFonts w:ascii="Times New Roman Greek" w:hAnsi="Times New Roman Greek"/>
          <w:szCs w:val="20"/>
        </w:rPr>
        <w:t>― Miejska Komisja Urbanistyczno-Architektoniczna wydała negatywną opinię wyra</w:t>
      </w:r>
      <w:r>
        <w:rPr>
          <w:szCs w:val="20"/>
        </w:rPr>
        <w:t xml:space="preserve">żoną w uchwale nr 48/XIV/2023 z dnia 05 lipca 2023 r. </w:t>
      </w:r>
    </w:p>
    <w:p w14:paraId="60952DA8" w14:textId="77777777" w:rsidR="00B51E89" w:rsidRDefault="00D2108B">
      <w:pPr>
        <w:spacing w:before="120" w:after="120"/>
        <w:ind w:firstLine="510"/>
        <w:jc w:val="both"/>
        <w:rPr>
          <w:szCs w:val="20"/>
        </w:rPr>
      </w:pPr>
      <w:r>
        <w:rPr>
          <w:szCs w:val="20"/>
        </w:rPr>
        <w:t>Wyżej wymienione opinie i uzgodnienia zostały wysłane do Wnioskodawcy.</w:t>
      </w:r>
    </w:p>
    <w:p w14:paraId="56055F92" w14:textId="77777777" w:rsidR="00B51E89" w:rsidRDefault="00D2108B">
      <w:pPr>
        <w:spacing w:before="120" w:after="120"/>
        <w:ind w:firstLine="510"/>
        <w:jc w:val="both"/>
        <w:rPr>
          <w:szCs w:val="20"/>
        </w:rPr>
      </w:pPr>
      <w:r>
        <w:rPr>
          <w:szCs w:val="20"/>
        </w:rPr>
        <w:t>W ustawowym terminie nie wpłynęły ponadto opinie, właściwe według specustawy dla terenu inwestycji:</w:t>
      </w:r>
    </w:p>
    <w:p w14:paraId="27304034" w14:textId="77777777" w:rsidR="00B51E89" w:rsidRDefault="00D2108B">
      <w:pPr>
        <w:spacing w:before="120" w:after="120"/>
        <w:ind w:firstLine="510"/>
        <w:jc w:val="both"/>
        <w:rPr>
          <w:szCs w:val="20"/>
        </w:rPr>
      </w:pPr>
      <w:r>
        <w:rPr>
          <w:rFonts w:ascii="Times New Roman Greek" w:hAnsi="Times New Roman Greek"/>
          <w:szCs w:val="20"/>
        </w:rPr>
        <w:t>― Łódzkiego Wojewódzkiego Komendanta Wojew</w:t>
      </w:r>
      <w:r>
        <w:rPr>
          <w:szCs w:val="20"/>
        </w:rPr>
        <w:t xml:space="preserve">ódzkiej Państwowej Straży Pożarnej w Łodzi </w:t>
      </w:r>
    </w:p>
    <w:p w14:paraId="011BCE68" w14:textId="77777777" w:rsidR="00B51E89" w:rsidRDefault="00D2108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14:paraId="22CA1226" w14:textId="77777777" w:rsidR="00B51E89" w:rsidRDefault="00D2108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14:paraId="3D26EF48" w14:textId="77777777" w:rsidR="00B51E89" w:rsidRDefault="00D2108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Pr>
          <w:szCs w:val="20"/>
          <w:lang w:val="de-DE" w:eastAsia="de-DE" w:bidi="de-DE"/>
        </w:rPr>
        <w:t xml:space="preserve">u </w:t>
      </w:r>
      <w:proofErr w:type="spellStart"/>
      <w:r>
        <w:rPr>
          <w:szCs w:val="20"/>
          <w:lang w:val="de-DE" w:eastAsia="de-DE" w:bidi="de-DE"/>
        </w:rPr>
        <w:t>Stra</w:t>
      </w:r>
      <w:r>
        <w:rPr>
          <w:szCs w:val="20"/>
        </w:rPr>
        <w:t>ży</w:t>
      </w:r>
      <w:proofErr w:type="spellEnd"/>
      <w:r>
        <w:rPr>
          <w:szCs w:val="20"/>
        </w:rPr>
        <w:t xml:space="preserve"> Granicznej im. Powstania Warszawskiego,</w:t>
      </w:r>
    </w:p>
    <w:p w14:paraId="19B67A55" w14:textId="77777777" w:rsidR="00B51E89" w:rsidRDefault="00D2108B">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14:paraId="087FD085" w14:textId="77777777" w:rsidR="00B51E89" w:rsidRDefault="00D2108B">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14:paraId="2A6F364A" w14:textId="77777777" w:rsidR="00B51E89" w:rsidRDefault="00D2108B">
      <w:pPr>
        <w:spacing w:before="120" w:after="120"/>
        <w:ind w:firstLine="510"/>
        <w:jc w:val="both"/>
        <w:rPr>
          <w:szCs w:val="20"/>
        </w:rPr>
      </w:pPr>
      <w:r>
        <w:rPr>
          <w:szCs w:val="20"/>
        </w:rPr>
        <w:t>Organy uzgadniające:</w:t>
      </w:r>
    </w:p>
    <w:p w14:paraId="078282AA" w14:textId="77777777" w:rsidR="00B51E89" w:rsidRDefault="00D2108B">
      <w:pPr>
        <w:spacing w:before="120" w:after="120"/>
        <w:ind w:left="227" w:hanging="227"/>
        <w:jc w:val="both"/>
        <w:rPr>
          <w:szCs w:val="20"/>
        </w:rPr>
      </w:pPr>
      <w:r>
        <w:rPr>
          <w:rFonts w:ascii="Times New Roman Greek" w:hAnsi="Times New Roman Greek"/>
          <w:szCs w:val="20"/>
        </w:rPr>
        <w:t xml:space="preserve">― Łódzki Wojewódzki Konserwator Zabytków postanowieniem z dnia 10 lipca 2023 r., znak WUOZ-PP.5151.661.2023.KP uzgodnił przedłożony wniosek o ustalenie lokalizacji </w:t>
      </w:r>
      <w:r>
        <w:rPr>
          <w:rFonts w:ascii="Times New Roman Greek" w:hAnsi="Times New Roman Greek"/>
          <w:szCs w:val="20"/>
        </w:rPr>
        <w:lastRenderedPageBreak/>
        <w:t>inwestycji mieszkaniowej</w:t>
      </w:r>
      <w:r>
        <w:rPr>
          <w:szCs w:val="20"/>
        </w:rPr>
        <w:t xml:space="preserve"> na ul. Tymienieckiego 17 w Łodzi, jednocześnie informując, że zgodnie z  art. 7 ustawy z dnia 23 lipca 2003 r. o ochronie zabytków i opiece nad zabytkami (Dz. U. z 2022 r. poz. 840) teren planowanej inwestycji znajduje się na obszarze historycznego zespołu budownictwa przemysłowego Karola </w:t>
      </w:r>
      <w:proofErr w:type="spellStart"/>
      <w:r>
        <w:rPr>
          <w:szCs w:val="20"/>
        </w:rPr>
        <w:t>Scheiblera</w:t>
      </w:r>
      <w:proofErr w:type="spellEnd"/>
      <w:r>
        <w:rPr>
          <w:szCs w:val="20"/>
        </w:rPr>
        <w:t xml:space="preserve"> i Ludwika Grohmana i jest objęty ochroną na podstawie wpisu do rejestru zabytków pod nr A/44 (decyzja z dnia 20.01.1971 r.). Dla omawianego terenu został także przyjęty uchwałą Rady Miejskiej w Łodzi Nr III/58/18 z dnia 27 grudnia 2018 r. miejscowy plan zagospodarowania przestrzennego obejmujący obszar ograniczony alejami marszałków Józefa Piłsudskiego i Edwarda Śmigłego-Rydza, a także ulicami: Milionową, Jana Kilińskiego, Fabryczną i Przędzalnianą wskazujący, iż obszar na którym znajduje się planowana inwestycja należy do fragmentu historycznego układu urbanistycznego i krajobrazu kulturowego, wpisanego do gminnej ewidencji zabytków pod nazwą "Posiadła wodno-fabryczne". Plan miejscowy wskazuje również, że cały </w:t>
      </w:r>
      <w:proofErr w:type="spellStart"/>
      <w:r>
        <w:rPr>
          <w:szCs w:val="20"/>
        </w:rPr>
        <w:t>ww</w:t>
      </w:r>
      <w:proofErr w:type="spellEnd"/>
      <w:r>
        <w:rPr>
          <w:szCs w:val="20"/>
        </w:rPr>
        <w:t xml:space="preserve"> obszar znajduje się pod ochroną archeologiczną co oznacza, że przy realizacji robót ziemnych lub dokonywaniu zmiany dotychczasowej działalności wiążącej się z naruszeniem struktury gruntu nakazuje się przeprowadzenie nadzoru archeologicznego na zasadach określonych w przepisach odrębnych z zakresu ochrony zabytków.</w:t>
      </w:r>
    </w:p>
    <w:p w14:paraId="34DB55B4" w14:textId="77777777" w:rsidR="00B51E89" w:rsidRDefault="00D2108B">
      <w:pPr>
        <w:spacing w:before="120" w:after="120"/>
        <w:ind w:left="227" w:hanging="227"/>
        <w:jc w:val="both"/>
        <w:rPr>
          <w:szCs w:val="20"/>
        </w:rPr>
      </w:pPr>
      <w:r>
        <w:rPr>
          <w:szCs w:val="20"/>
        </w:rPr>
        <w:t xml:space="preserve">   </w:t>
      </w:r>
      <w:r>
        <w:rPr>
          <w:szCs w:val="20"/>
        </w:rPr>
        <w:tab/>
      </w:r>
      <w:r>
        <w:rPr>
          <w:szCs w:val="20"/>
        </w:rPr>
        <w:tab/>
        <w:t>Przedłożony wniosek jest zgodny w zapisami ustawy z dnia 23 lipca 2003 r. o ochronie zabytków i opiece nad zabytkami (Dz. U. z 2022 r. poz. 840). Postanowienie zostało przekazane do wnioskodawcy.</w:t>
      </w:r>
    </w:p>
    <w:p w14:paraId="5D7398BB" w14:textId="77777777" w:rsidR="00B51E89" w:rsidRDefault="00D2108B">
      <w:pPr>
        <w:spacing w:before="120" w:after="120"/>
        <w:ind w:firstLine="510"/>
        <w:jc w:val="both"/>
        <w:rPr>
          <w:szCs w:val="20"/>
        </w:rPr>
      </w:pPr>
      <w:r>
        <w:rPr>
          <w:rFonts w:ascii="Times New Roman Greek" w:hAnsi="Times New Roman Greek"/>
          <w:szCs w:val="20"/>
        </w:rPr>
        <w:t>― Zarz</w:t>
      </w:r>
      <w:r>
        <w:rPr>
          <w:szCs w:val="20"/>
        </w:rPr>
        <w:t xml:space="preserve">ąd </w:t>
      </w:r>
      <w:proofErr w:type="spellStart"/>
      <w:r>
        <w:rPr>
          <w:szCs w:val="20"/>
        </w:rPr>
        <w:t>Dró</w:t>
      </w:r>
      <w:proofErr w:type="spellEnd"/>
      <w:r>
        <w:rPr>
          <w:szCs w:val="20"/>
          <w:lang w:val="en-US" w:eastAsia="en-US" w:bidi="en-US"/>
        </w:rPr>
        <w:t xml:space="preserve">g </w:t>
      </w:r>
      <w:proofErr w:type="spellStart"/>
      <w:r>
        <w:rPr>
          <w:szCs w:val="20"/>
          <w:lang w:val="en-US" w:eastAsia="en-US" w:bidi="en-US"/>
        </w:rPr>
        <w:t>i</w:t>
      </w:r>
      <w:proofErr w:type="spellEnd"/>
      <w:r>
        <w:rPr>
          <w:szCs w:val="20"/>
        </w:rPr>
        <w:t> </w:t>
      </w:r>
      <w:r>
        <w:rPr>
          <w:szCs w:val="20"/>
          <w:lang w:val="pt-PT" w:eastAsia="pt-PT" w:bidi="pt-PT"/>
        </w:rPr>
        <w:t>Transportu</w:t>
      </w:r>
      <w:r>
        <w:rPr>
          <w:szCs w:val="20"/>
        </w:rPr>
        <w:t xml:space="preserve"> nie wypowiedział się w terminie 21 dni od dnia otrzymania wniosku, co zgodnie z art. 7 pkt 15 specustawy uznaje się za uzgodnienie wniosku.</w:t>
      </w:r>
    </w:p>
    <w:p w14:paraId="36B71C92" w14:textId="77777777" w:rsidR="00B51E89" w:rsidRDefault="00D2108B">
      <w:pPr>
        <w:spacing w:before="120" w:after="120"/>
        <w:ind w:firstLine="510"/>
        <w:jc w:val="both"/>
        <w:rPr>
          <w:szCs w:val="20"/>
        </w:rPr>
      </w:pPr>
      <w:r>
        <w:rPr>
          <w:szCs w:val="20"/>
        </w:rPr>
        <w:t xml:space="preserve">Należy podkreślić, że Miejska Komisja Urbanistyczno-Architektoniczna dwukrotnie wyraziła swoje negatywne stanowisko wobec wnioskowanej lokalizacji. W uzasadnieniu pierwszego z nich wskazano, że wysokość zabudowy mieszkaniowej określona w procedowanym projekcie (25 m) nie zapewnia właściwego zachowania i wyeksponowania walorów i wartości urbanistyczno-architektonicznych historycznej zabudowy znajdującej się w otoczeniu - tj. na obszarze kompleksu poprzemysłowego </w:t>
      </w:r>
      <w:proofErr w:type="spellStart"/>
      <w:r>
        <w:rPr>
          <w:szCs w:val="20"/>
        </w:rPr>
        <w:t>Scheiblera</w:t>
      </w:r>
      <w:proofErr w:type="spellEnd"/>
      <w:r>
        <w:rPr>
          <w:szCs w:val="20"/>
        </w:rPr>
        <w:t xml:space="preserve">, niezwykle istotnego dla zachowania tożsamości Łodzi. Teren ten objęty jest miejscowym planem zagospodarowania przestrzennego, dla którego wykonanie uprzednio analizy urbanistyczne wskazały potrzebę ograniczenia wysokości do 12 m, co jest - zdaniem Komisji - uzasadnione kompozycyjnie (przedłożony projekt w rażącym stopniu odbiega od tej wielkości). Biorąc pod uwagę walory historyczne otaczającej zabudowy poprzemysłowej, jak i wcześniejszy sposób zagospodarowania tego terenu Komisja uważa przedstawiony projekt zabudowy mieszkaniowej za znacząco "przeskalowany", a więc taki, który - w przypadku jego realizacji - zdominowałby kompozycyjnie najbliższe otoczenie. W przedłożonym do zaopiniowania materiale oraz w toku prezentacji przez zespół autorski, nie zostały przedstawione przekonywujące argumenty, które uzasadniałyby dopuszczenie wyższej zabudowy na jaką (w uzasadnionych przypadkach) dozwala Studium uwarunkowań i kierunków zagospodarowania przestrzennego Łodzi z roku 2018. Ponadto, zmniejszenie wskaźnika miejsc parkingowych w projekcie względem wymaganego w obowiązującym miejscowym planie zagospodarowania przestrzennego dla tego terenu, spowoduje zdaniem Komisji, wzrost już istniejących problemów związanych z poszukiwaniem miejsc do parkowania samochodów osobowych w przestrzeniach wspólnych/ publicznych przez nowych mieszkańców. </w:t>
      </w:r>
    </w:p>
    <w:p w14:paraId="29CFD054" w14:textId="77777777" w:rsidR="00B51E89" w:rsidRDefault="00D2108B">
      <w:pPr>
        <w:spacing w:before="120" w:after="120"/>
        <w:ind w:firstLine="510"/>
        <w:jc w:val="both"/>
        <w:rPr>
          <w:szCs w:val="20"/>
        </w:rPr>
      </w:pPr>
      <w:r>
        <w:rPr>
          <w:szCs w:val="20"/>
        </w:rPr>
        <w:t xml:space="preserve">Ze względu na negatywna opinię Miejskiej Komisji Urbanistyczno-Architektonicznej w Łodzi wnioskodawca zmienił w koncepcji zagospodarowanie wycofując ostatnią kondygnację budynku od strony pierzei ul. Tymienieckiego, co miało spowodować wizualne wrażenie obniżenia budynku. Budynek zyskał gzymsy wieńczące na poziomie parteru na wysokości 4,8 m oraz na poziomie tarasu na wysokości 21,5 m, mające nawiązywać </w:t>
      </w:r>
      <w:r>
        <w:rPr>
          <w:szCs w:val="20"/>
        </w:rPr>
        <w:lastRenderedPageBreak/>
        <w:t xml:space="preserve">charakterem do wysokości zabudowy sąsiedniej. Ponadto w koncepcji została zwiększona </w:t>
      </w:r>
      <w:proofErr w:type="gramStart"/>
      <w:r>
        <w:rPr>
          <w:szCs w:val="20"/>
        </w:rPr>
        <w:t>ilość  miejsc</w:t>
      </w:r>
      <w:proofErr w:type="gramEnd"/>
      <w:r>
        <w:rPr>
          <w:szCs w:val="20"/>
        </w:rPr>
        <w:t xml:space="preserve"> parkingowych zapewnionych dzięki systemowi </w:t>
      </w:r>
      <w:proofErr w:type="spellStart"/>
      <w:r>
        <w:rPr>
          <w:szCs w:val="20"/>
        </w:rPr>
        <w:t>parklift</w:t>
      </w:r>
      <w:proofErr w:type="spellEnd"/>
      <w:r>
        <w:rPr>
          <w:szCs w:val="20"/>
        </w:rPr>
        <w:t xml:space="preserve"> i palet przesuwnych. </w:t>
      </w:r>
    </w:p>
    <w:p w14:paraId="2477DE57" w14:textId="77777777" w:rsidR="00B51E89" w:rsidRDefault="00D2108B">
      <w:pPr>
        <w:spacing w:before="120" w:after="120"/>
        <w:ind w:firstLine="510"/>
        <w:jc w:val="both"/>
        <w:rPr>
          <w:color w:val="000000"/>
          <w:szCs w:val="20"/>
        </w:rPr>
      </w:pPr>
      <w:r>
        <w:rPr>
          <w:szCs w:val="20"/>
        </w:rPr>
        <w:t xml:space="preserve">W odpowiedzi na wprowadzone modyfikacje </w:t>
      </w:r>
      <w:r>
        <w:rPr>
          <w:rFonts w:ascii="Times New Roman Greek" w:hAnsi="Times New Roman Greek"/>
          <w:szCs w:val="20"/>
        </w:rPr>
        <w:t>Miejska Komisja Urbanistyczno-Architektoniczna, po ponownej analizie wniosku i informacjach przekazanych przez przedstawiciela inwestora na zebraniu Komisji, ponownie wydała negatywną opinię wyra</w:t>
      </w:r>
      <w:r>
        <w:rPr>
          <w:szCs w:val="20"/>
        </w:rPr>
        <w:t xml:space="preserve">żoną w uchwale nr 48/XIV/2023 z dnia 05 lipca 2023 r. Wysokość zabudowy mieszkaniowej określona w procedowanym projekcie (25 m) mimo wprowadzenia wyżej wspomnianych zabiegów nadal nie zapewnia właściwego zachowania i wyeksponowania walorów i wartości urbanistyczno-architektonicznych historycznej zabudowy znajdującej się w otoczeniu - tj. na obszarze kompleksu poprzemysłowego </w:t>
      </w:r>
      <w:proofErr w:type="spellStart"/>
      <w:r>
        <w:rPr>
          <w:szCs w:val="20"/>
        </w:rPr>
        <w:t>Scheiblera</w:t>
      </w:r>
      <w:proofErr w:type="spellEnd"/>
      <w:r>
        <w:rPr>
          <w:szCs w:val="20"/>
        </w:rPr>
        <w:t xml:space="preserve">. Komisja nawiązuje do swojego pierwszego stanowiska zauważając, że dla terenu objętego wnioskiem wykonano uprzednio analizy urbanistyczne na potrzeby sporządzonego i obowiązującego miejscowego planu zagospodarowania przestrzennego, które wskazały na potrzebę ograniczenia zabudowy na danym terenie do 12 m co jest - zdaniem Komisji - uzasadnione kompozycyjnie, a przedstawiony </w:t>
      </w:r>
      <w:proofErr w:type="gramStart"/>
      <w:r>
        <w:rPr>
          <w:szCs w:val="20"/>
        </w:rPr>
        <w:t>projekt  nadal</w:t>
      </w:r>
      <w:proofErr w:type="gramEnd"/>
      <w:r>
        <w:rPr>
          <w:szCs w:val="20"/>
        </w:rPr>
        <w:t xml:space="preserve"> odbiega od tej wysokości. W toku dyskusji, Komisja ponownie uznała, że zastosowane przez zespół autorski argumenty i działania zmieniające koncepcję nie uzasadniają dopuszczenia wyższej zabudowy, na jaką dozwala Studium, a także że miejsce, na którym miałaby znaleźć się realizowana przedmiotowa inwestycja nie powinno być traktowane jako typowa przestrzeń o charakterze śródmiejskim, ponieważ znajduje się na obszarze szczególnej wartości historycznej determinującym post- przemysłowe dziedzictwo oraz tożsamość miasta i jako taki wymaga on ochrony i utrzymania swojej specyficznej, odrębnej od otaczających terenów struktury przestrzennej, a nie przekształcenia w obszar o typowej śródmiejskiej zabudowie. W związku z tym Komisja podtrzymała swoje wcześniejsze stanowisko i wydała kolejną negatywna opinię dla przedmiotowej inwestycji.</w:t>
      </w:r>
    </w:p>
    <w:p w14:paraId="25996F72" w14:textId="77777777" w:rsidR="00B51E89" w:rsidRDefault="00D2108B">
      <w:pPr>
        <w:spacing w:before="120" w:after="120"/>
        <w:ind w:firstLine="510"/>
        <w:jc w:val="both"/>
        <w:rPr>
          <w:color w:val="000000"/>
          <w:szCs w:val="20"/>
        </w:rPr>
      </w:pPr>
      <w:r>
        <w:rPr>
          <w:color w:val="000000"/>
          <w:szCs w:val="20"/>
        </w:rPr>
        <w:t>Planowany sposób zagospodarowania terenu obejmuje budowę budynku mieszkalnego wielorodzinnego z usługami w parterze, garażem podziemnym, zagospodarowaniem na działce obejmującym od frontu zjazd, nowe chodniki, miejsca parkingowe naziemne od ul. Tymienieckiego, a także ogród i parking rowerowy dla mieszkańców i klientów. Projektowana inwestycja usytuowana będzie na terenie obecnie niezagospodarowanym na działce o powierzchni 2771 m</w:t>
      </w:r>
      <w:r>
        <w:rPr>
          <w:color w:val="000000"/>
          <w:szCs w:val="20"/>
          <w:vertAlign w:val="superscript"/>
        </w:rPr>
        <w:t xml:space="preserve">2 </w:t>
      </w:r>
      <w:r>
        <w:rPr>
          <w:color w:val="000000"/>
          <w:szCs w:val="20"/>
        </w:rPr>
        <w:t xml:space="preserve">gdzie obecnie znajdują się drzewa i krzewy przewidziane do wycinki zgodnie z załącznikiem Nr 2 do uchwały.  Zgodnie z koncepcją budynek składa się z dwóch </w:t>
      </w:r>
      <w:proofErr w:type="gramStart"/>
      <w:r>
        <w:rPr>
          <w:color w:val="000000"/>
          <w:szCs w:val="20"/>
        </w:rPr>
        <w:t>siedmio-kondygnacyjnych</w:t>
      </w:r>
      <w:proofErr w:type="gramEnd"/>
      <w:r>
        <w:rPr>
          <w:color w:val="000000"/>
          <w:szCs w:val="20"/>
        </w:rPr>
        <w:t xml:space="preserve"> brył o wysokości do 25 m połączonych usługowym parterem o wysokości do 5 m z przewyższeniem na świetlik do 7,50 m.  Projektowana </w:t>
      </w:r>
      <w:proofErr w:type="gramStart"/>
      <w:r>
        <w:rPr>
          <w:color w:val="000000"/>
          <w:szCs w:val="20"/>
        </w:rPr>
        <w:t>powierzchnia  biologicznie</w:t>
      </w:r>
      <w:proofErr w:type="gramEnd"/>
      <w:r>
        <w:rPr>
          <w:color w:val="000000"/>
          <w:szCs w:val="20"/>
        </w:rPr>
        <w:t xml:space="preserve"> czynna określona została na minimum 800 m</w:t>
      </w:r>
      <w:r>
        <w:rPr>
          <w:color w:val="000000"/>
          <w:szCs w:val="20"/>
          <w:vertAlign w:val="superscript"/>
        </w:rPr>
        <w:t>2</w:t>
      </w:r>
      <w:r>
        <w:rPr>
          <w:color w:val="000000"/>
          <w:szCs w:val="20"/>
        </w:rPr>
        <w:t xml:space="preserve"> do 1000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 xml:space="preserve">co stanowi, wskaźnik równy </w:t>
      </w:r>
      <w:r>
        <w:rPr>
          <w:szCs w:val="20"/>
        </w:rPr>
        <w:t>29%-36%</w:t>
      </w:r>
      <w:r>
        <w:rPr>
          <w:color w:val="000000"/>
          <w:szCs w:val="20"/>
        </w:rPr>
        <w:t xml:space="preserve"> terenu.  Projektowana ilość mieszkań w bryle budynku wynosi od 60 do 80. Obsługa komunikacyjna inwestycji zaplanowana została poprzez projektowany zjazd z ulicy Tymienieckiego, będącej drogą publiczną. </w:t>
      </w:r>
    </w:p>
    <w:p w14:paraId="0A5538F7" w14:textId="77777777" w:rsidR="00B51E89" w:rsidRDefault="00D2108B">
      <w:pPr>
        <w:spacing w:before="120" w:after="120"/>
        <w:ind w:firstLine="510"/>
        <w:jc w:val="both"/>
        <w:rPr>
          <w:szCs w:val="20"/>
        </w:rPr>
      </w:pPr>
      <w:r>
        <w:rPr>
          <w:szCs w:val="20"/>
        </w:rPr>
        <w:t>Projektowana inwestycja mieszkaniowa i inwestycje towarzyszące nie zostały zlokalizowane na terenach podlegających ochronie przed lokalizowaniem lub zabudową na podstawie odrębnych przepisów, a także w granicach otulin form ochrony przyrody, rodzinnych ogrodów działkowych czy obszaru szczególnego zagrożenia powodzią, zgodnie z art. 5 ust. 1 i 2 specustawy.</w:t>
      </w:r>
    </w:p>
    <w:p w14:paraId="02771953"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Dla terenu wnioskowanej inwestycji obowiązują ustalenia miejscowego planu zagospodarowania przestrzennego (zwanego dalej Planem lub </w:t>
      </w:r>
      <w:proofErr w:type="spellStart"/>
      <w:r>
        <w:rPr>
          <w:szCs w:val="20"/>
        </w:rPr>
        <w:t>mpzp</w:t>
      </w:r>
      <w:proofErr w:type="spellEnd"/>
      <w:r>
        <w:rPr>
          <w:szCs w:val="20"/>
        </w:rPr>
        <w:t>) objętego uchwałą Nr III/58/18 Rady Miejskiej w Łodzi z dnia 27 grudnia 2018 r., dotyczącą części obszaru Miasta Łodzi położonej w rejonie alei: Marszałka Józefa Piłsudskiego i Marszałka Edwarda Śmigłego-Rydza oraz ulic: Milionowej, Jana Kilińskiego, Fabrycznej i Przędzalnianej.</w:t>
      </w:r>
      <w:r>
        <w:rPr>
          <w:color w:val="7030A0"/>
          <w:szCs w:val="20"/>
        </w:rPr>
        <w:t xml:space="preserve"> </w:t>
      </w:r>
      <w:r>
        <w:rPr>
          <w:szCs w:val="20"/>
        </w:rPr>
        <w:t xml:space="preserve">Z porównania charakterystycznych parametrów projektowanej inwestycji z ustaleniami </w:t>
      </w:r>
      <w:proofErr w:type="spellStart"/>
      <w:r>
        <w:rPr>
          <w:szCs w:val="20"/>
        </w:rPr>
        <w:t>mpzp</w:t>
      </w:r>
      <w:proofErr w:type="spellEnd"/>
      <w:r>
        <w:rPr>
          <w:szCs w:val="20"/>
        </w:rPr>
        <w:t xml:space="preserve"> wynika niezgodność inwestycji z wymogami Planu, w zakresie przedstawionym poniżej:</w:t>
      </w:r>
    </w:p>
    <w:p w14:paraId="2E134478"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lastRenderedPageBreak/>
        <w:t>- intensywności zabudowy:</w:t>
      </w:r>
    </w:p>
    <w:p w14:paraId="343675BB"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do 1.2,</w:t>
      </w:r>
    </w:p>
    <w:p w14:paraId="284F5203"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projektowana 4.2,</w:t>
      </w:r>
    </w:p>
    <w:p w14:paraId="060A1715"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wysokości projektowanego budynku:</w:t>
      </w:r>
    </w:p>
    <w:p w14:paraId="4C2439E0"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a) w planie do 12 m,</w:t>
      </w:r>
    </w:p>
    <w:p w14:paraId="24CD1786"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projektowany do 25 m,</w:t>
      </w:r>
    </w:p>
    <w:p w14:paraId="6B0C3EA7"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ilości miejsc parkingowych:</w:t>
      </w:r>
    </w:p>
    <w:p w14:paraId="4FCC77BD"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szCs w:val="20"/>
        </w:rPr>
        <w:t>a) w planie od 1 do 2 stanowisk na każde mieszkanie, od 5 do 10 stanowisk na każde 1000 m</w:t>
      </w:r>
      <w:r>
        <w:rPr>
          <w:color w:val="000000"/>
          <w:szCs w:val="20"/>
          <w:vertAlign w:val="superscript"/>
        </w:rPr>
        <w:t>2</w:t>
      </w:r>
      <w:r>
        <w:rPr>
          <w:color w:val="000000"/>
          <w:szCs w:val="20"/>
        </w:rPr>
        <w:t xml:space="preserve"> powierzchni użytkowej usług; dla rowerów 1 stanowisko na każde mieszkanie, 5 stanowisk na 100 m</w:t>
      </w:r>
      <w:r>
        <w:rPr>
          <w:color w:val="000000"/>
          <w:szCs w:val="20"/>
          <w:vertAlign w:val="superscript"/>
        </w:rPr>
        <w:t>2</w:t>
      </w:r>
      <w:r>
        <w:rPr>
          <w:color w:val="000000"/>
          <w:szCs w:val="20"/>
        </w:rPr>
        <w:t xml:space="preserve"> powierzchni użytkowej usług,</w:t>
      </w:r>
    </w:p>
    <w:p w14:paraId="721A7D3A"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b) projektowane 0,7 stanowiska na każde mieszkanie, 1,5 stanowiska na 100 m</w:t>
      </w:r>
      <w:r>
        <w:rPr>
          <w:szCs w:val="20"/>
          <w:vertAlign w:val="superscript"/>
        </w:rPr>
        <w:t xml:space="preserve">2 </w:t>
      </w:r>
      <w:r>
        <w:rPr>
          <w:szCs w:val="20"/>
        </w:rPr>
        <w:t xml:space="preserve">powierzchni użytkowej usług i 28 stanowisk dla </w:t>
      </w:r>
      <w:proofErr w:type="gramStart"/>
      <w:r>
        <w:rPr>
          <w:szCs w:val="20"/>
        </w:rPr>
        <w:t>rowerzystów</w:t>
      </w:r>
      <w:proofErr w:type="gramEnd"/>
      <w:r>
        <w:rPr>
          <w:szCs w:val="20"/>
        </w:rPr>
        <w:t xml:space="preserve"> czyli od 42 do 80 stanowisk dla mieszkań i 12 miejsc postojowych dla powierzchni użytkowej usług. </w:t>
      </w:r>
    </w:p>
    <w:p w14:paraId="7D4305AA"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Po analizie zgodności z </w:t>
      </w:r>
      <w:proofErr w:type="spellStart"/>
      <w:r>
        <w:rPr>
          <w:color w:val="000000"/>
          <w:szCs w:val="20"/>
        </w:rPr>
        <w:t>mpzp</w:t>
      </w:r>
      <w:proofErr w:type="spellEnd"/>
      <w:r>
        <w:rPr>
          <w:color w:val="000000"/>
          <w:szCs w:val="20"/>
        </w:rPr>
        <w:t xml:space="preserve"> inwestycja spełnia pozostałe wymogi, mówiące o:</w:t>
      </w:r>
    </w:p>
    <w:p w14:paraId="0F3D44AB"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przeznaczeniu terenu pod zabudowę mieszkaniową i usługową,</w:t>
      </w:r>
    </w:p>
    <w:p w14:paraId="3C801BFA"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 parametrach kształtowania dachów - planowana inwestycja </w:t>
      </w:r>
      <w:proofErr w:type="gramStart"/>
      <w:r>
        <w:rPr>
          <w:color w:val="000000"/>
          <w:szCs w:val="20"/>
        </w:rPr>
        <w:t>jest  bryłą</w:t>
      </w:r>
      <w:proofErr w:type="gramEnd"/>
      <w:r>
        <w:rPr>
          <w:color w:val="000000"/>
          <w:szCs w:val="20"/>
        </w:rPr>
        <w:t xml:space="preserve"> o dachu płaskim o kącie nachylenia do 35</w:t>
      </w:r>
      <w:r>
        <w:rPr>
          <w:color w:val="000000"/>
          <w:szCs w:val="20"/>
          <w:vertAlign w:val="superscript"/>
        </w:rPr>
        <w:t>o</w:t>
      </w:r>
      <w:r>
        <w:rPr>
          <w:color w:val="000000"/>
          <w:szCs w:val="20"/>
        </w:rPr>
        <w:t>,</w:t>
      </w:r>
    </w:p>
    <w:p w14:paraId="19BE2714"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parametrach powierzchni biologicznie czynnej - minimum 15%. Inwestycja zakłada ponad 30% powierzchni biologicznie czynnej przy zastosowaniu zielonych tarasów i dachów.</w:t>
      </w:r>
    </w:p>
    <w:p w14:paraId="2EEDFB44"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Zgodnie z art. 5 ust. 3 specustawy inwestycję mieszkaniową lub inwestycję towarzyszącą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marca 2018 r., zmienioną uchwałą Nr VI/215/19  z dnia 6 marca 2019 r. oraz uchwałą Nr LII/1605/21 z dnia 22 grudnia 2021 r., zwanego dalej Studium, wynika, że lokalizacja wnioskowanej inwestycji mieszkaniowej znajduje się w jednostce W2b - strefa wielkomiejska, jednostka funkcjonalno-przestrzenna: Zespoły zabudowy wielofunkcyjnej w dolinie rzeki Jasień - teren zabudowy mieszkaniowej wielorodzinnej, usługowej. Planowany sposób zagospodarowania inwestycji mieszkaniowej wpisuje się w ustalone dla terenu W2b kierunki zmian w ramach struktury przestrzennej, przekształcając i uzupełniając historyczną strukturę ul. Tymienieckiego. Lokalizacja inwestycji jest również zgodna z wymogiem dotyczącym kształtowania zieleni i zapewnienia minimalnej dla terenów zabudowy mieszkaniowej odległości w linii prostej 400 m od parku o powierzchni nie mniejszej niż 1 ha. W odległości około 50 m, mierzonej w sposób wskazany w Studium, znajduje się park im. pułkownika Jana Kilińskiego o powierzchni 2,9 ha.</w:t>
      </w:r>
      <w:r>
        <w:rPr>
          <w:color w:val="7030A0"/>
          <w:szCs w:val="20"/>
        </w:rPr>
        <w:t xml:space="preserve"> </w:t>
      </w:r>
      <w:r>
        <w:rPr>
          <w:szCs w:val="20"/>
        </w:rPr>
        <w:t>Zgodnie z planowanym sposobem zagospodarowania terenu inwestycji spełniony zostanie wskaźnik powierzchni biologicznie czynnej tj. minimum 5%.</w:t>
      </w:r>
      <w:r>
        <w:rPr>
          <w:color w:val="7030A0"/>
          <w:szCs w:val="20"/>
        </w:rPr>
        <w:t xml:space="preserve"> </w:t>
      </w:r>
      <w:r>
        <w:rPr>
          <w:szCs w:val="20"/>
        </w:rPr>
        <w:t xml:space="preserve">W Studium wskazano maksymalną intensywność zabudowy 2,5, liczoną dla całego terenu W2b. Inwestor wskazuje we wniosku, że planowana intensywność zabudowy wyniesie 4,2 dla terenu inwestycji, natomiast średnia intensywność dla terenu W2b wynosi od 0,014 do 0,020. W Studium określono maksymalną wysokość zabudowy w zespołach zabudowy poprzemysłowej, w nawiązaniu do wysokości zabudowy historycznej - głównych brył budynków, bez uwzględnienia części budynków stanowiących lokalne przewyższenia takich jak wieże i kominy, jednak nie wyżej niż 25 m, z dopuszczeniem przewyższeń uzasadnionych  </w:t>
      </w:r>
      <w:r>
        <w:rPr>
          <w:szCs w:val="20"/>
        </w:rPr>
        <w:lastRenderedPageBreak/>
        <w:t>kompozycyjnie do 30 m. Zgodnie z koncepcją architektoniczno-budowlaną budynek będzie miał maksymalną wysokość 24,9 m. Zarówno przeznaczenie projektowanego budynku, wysokość budynku, intensywność zabudowy, jak i zagospodarowanie terenu inwestycji, nie są sprzeczne ze Studium.</w:t>
      </w:r>
    </w:p>
    <w:p w14:paraId="7ACD20BD"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Wnioskodawca złożył oświadczenie, o którym mowa w art. 7 ust. 8 pkt 2 specustawy, że nie zachodzi kolizja lokalizacji inwestycji mieszkaniowej z inwestycjami, o których mowa w art. 4 pkt 1-3 specustawy i które mają ustawowe pierwszeństwo przed inwestycjami mieszkaniowymi. </w:t>
      </w:r>
    </w:p>
    <w:p w14:paraId="2A6DE5FA"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Wniosek inwestora spełnia standardy lokalizacji i realizacji inwestycji mieszkaniowych określonych w rozdziale 3 specustawy w następujący sposób:</w:t>
      </w:r>
    </w:p>
    <w:p w14:paraId="551C7046"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1) zgodnie z art. 17 ust. 1 specustawy:</w:t>
      </w:r>
    </w:p>
    <w:p w14:paraId="3F0C2012"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inwestycja ma zapewniony dostęp do drogi publicznej z ulicy Tymienieckiego, </w:t>
      </w:r>
    </w:p>
    <w:p w14:paraId="4F3728EE"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b) inwestycja ma zapewniony dostęp do sieci wodociągowej i kanalizacyjnej - zgodnie z pismem z Zakłady Wodociągów i Kanalizacji Sp. z o.o. znak: WTT. 424.1878.2022/W/KW z 13.09.2022 r., </w:t>
      </w:r>
    </w:p>
    <w:p w14:paraId="122A1CDD"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c) inwestycja ma zapewniony dostęp do sieci elektroenergetycznej - zgodnie z oświadczeniem o zapewnieniu dostaw energii elektrycznej oraz warunkach przyłączenia obiektu budowlanego do sieci dystrybucyjnej nr 22-D7/WZD/00385/HM z dnia 22.08 2022 r. wystawionym przez PGE Dystrybucja S. A w Łodzi;</w:t>
      </w:r>
    </w:p>
    <w:p w14:paraId="74A1FB10"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2) zgodnie z art. 17 ust. 2 w związku z art. 19 specustawy i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w:t>
      </w:r>
      <w:r>
        <w:rPr>
          <w:szCs w:val="20"/>
          <w:lang w:val="de-DE" w:eastAsia="de-DE" w:bidi="de-DE"/>
        </w:rPr>
        <w:t xml:space="preserve"> z</w:t>
      </w:r>
      <w:r>
        <w:rPr>
          <w:szCs w:val="20"/>
        </w:rPr>
        <w:t> dnia 1 czerwca 2022 r. (Dz. Urz. Woj. Łódzkiego poz. 3675) i Nr LXXIII/2191/23 z dnia 15 marca 2023 r. (Dz. Urz. Woj. Łódzkiego poz. 4066), zwanych dalej lokalnymi standardami urbanistycznymi:</w:t>
      </w:r>
    </w:p>
    <w:p w14:paraId="0529782C"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inwestycję mieszkaniową lokalizuje się w odległości dojścia nie większej niż 250 m od istniejącego przystanku publicznego </w:t>
      </w:r>
      <w:proofErr w:type="gramStart"/>
      <w:r>
        <w:rPr>
          <w:szCs w:val="20"/>
        </w:rPr>
        <w:t>transportu  zbiorowego</w:t>
      </w:r>
      <w:proofErr w:type="gramEnd"/>
      <w:r>
        <w:rPr>
          <w:szCs w:val="20"/>
        </w:rPr>
        <w:t xml:space="preserve"> - odległość przystanku autobusowego przy ul. Tymienieckiego nie więcej niż 250 m, do przystanku tramwajowego przy ul. Kilińskiego  nie więcej niż 220 m,</w:t>
      </w:r>
    </w:p>
    <w:p w14:paraId="22F3DE11"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b)  inwestycję mieszkaniową lokalizuje się w odległości nie większej niż 750 m od szkoły podstawowej, która jest w stanie przyjęć nowych uczniów w liczbie dzieci stanowiącej nie mniej niż 7% planowanych mieszkańców inwestycji mieszkaniowej - odległość dojścia do Zespołu Szkolno-Przedszkolnego nr 3 spełniona - 700 m, </w:t>
      </w:r>
    </w:p>
    <w:p w14:paraId="009B00DB"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3) zgodnie z art. 17 ust. 3 </w:t>
      </w:r>
      <w:proofErr w:type="gramStart"/>
      <w:r>
        <w:rPr>
          <w:szCs w:val="20"/>
        </w:rPr>
        <w:t>specustawy  spełnienie</w:t>
      </w:r>
      <w:proofErr w:type="gramEnd"/>
      <w:r>
        <w:rPr>
          <w:szCs w:val="20"/>
        </w:rPr>
        <w:t xml:space="preserve"> wymogu określonego w ustawie art 17 ust. 2 pkt 2 potwierdził Prezydent Miasta Łodzi zaświadczeniem nr DEP-ED-X.0124.13.2022 z dnia  31.08.2022 r. </w:t>
      </w:r>
    </w:p>
    <w:p w14:paraId="557C7A65"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4) zgodnie z art. 17 ust. 4 w związku z art. 19 specustawy i lokalnymi standardami urbanistycznymi inwestycja zlokalizowana jest od Parku im. Jana Kilińskiego o </w:t>
      </w:r>
      <w:proofErr w:type="gramStart"/>
      <w:r>
        <w:rPr>
          <w:szCs w:val="20"/>
        </w:rPr>
        <w:t>powierzchni  2</w:t>
      </w:r>
      <w:proofErr w:type="gramEnd"/>
      <w:r>
        <w:rPr>
          <w:szCs w:val="20"/>
        </w:rPr>
        <w:t>,9 ha w odległości 50 m, czyli mniejszej niż 750 m wskazanych  w uchwale i o powierzchni większej niż stanowi iloczyn planowanej liczby mieszkańców - 214 oraz wskaźnika wynoszącego 4 m</w:t>
      </w:r>
      <w:r>
        <w:rPr>
          <w:szCs w:val="20"/>
          <w:vertAlign w:val="superscript"/>
        </w:rPr>
        <w:t>2</w:t>
      </w:r>
      <w:r>
        <w:rPr>
          <w:szCs w:val="20"/>
        </w:rPr>
        <w:t xml:space="preserve"> = 856 m</w:t>
      </w:r>
      <w:r>
        <w:rPr>
          <w:szCs w:val="20"/>
          <w:vertAlign w:val="superscript"/>
        </w:rPr>
        <w:t>2</w:t>
      </w:r>
      <w:r>
        <w:rPr>
          <w:szCs w:val="20"/>
        </w:rPr>
        <w:t xml:space="preserve"> .</w:t>
      </w:r>
    </w:p>
    <w:p w14:paraId="23704E4F"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5) zgodnie z art. 17 ust. 6 w związku z art. 19 specustawy i lokalnymi standardami urbanistycznymi projektowany budynek będzie miał nie więcej niż VII kondygnacji.</w:t>
      </w:r>
    </w:p>
    <w:p w14:paraId="2678F4EF"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lastRenderedPageBreak/>
        <w:t>6) zgodnie z art. 19 ust. 3 specustawy i lokalnymi standardami urbanistycznymi:</w:t>
      </w:r>
    </w:p>
    <w:p w14:paraId="09592C33"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inwestycja ma zapewniony dostęp do sieci ciepłowniczej zgodnie z informacją o technicznej możliwości podłączenia do Ciepła Systemowego planowanej inwestycji nr 312/22 wystawione w dniu 06.09.2022 r. wydana przez </w:t>
      </w:r>
      <w:proofErr w:type="spellStart"/>
      <w:r>
        <w:rPr>
          <w:szCs w:val="20"/>
        </w:rPr>
        <w:t>Veolia</w:t>
      </w:r>
      <w:proofErr w:type="spellEnd"/>
      <w:r>
        <w:rPr>
          <w:szCs w:val="20"/>
        </w:rPr>
        <w:t xml:space="preserve"> Energia Łódź S.A. </w:t>
      </w:r>
    </w:p>
    <w:p w14:paraId="3D015CEC"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b) zapewniono niezbędną liczbę miejsc parkingowych dla obsługi inwestycji mieszkaniowej (w liczbie 92), większą niż minimalny wskaźnik 0,7 </w:t>
      </w:r>
      <w:proofErr w:type="spellStart"/>
      <w:r>
        <w:rPr>
          <w:szCs w:val="20"/>
        </w:rPr>
        <w:t>m.p</w:t>
      </w:r>
      <w:proofErr w:type="spellEnd"/>
      <w:r>
        <w:rPr>
          <w:szCs w:val="20"/>
        </w:rPr>
        <w:t>. na lokal mieszkalny oraz 1,5 miejsca parkingowego na 100 m</w:t>
      </w:r>
      <w:r>
        <w:rPr>
          <w:szCs w:val="20"/>
          <w:vertAlign w:val="superscript"/>
        </w:rPr>
        <w:t>2</w:t>
      </w:r>
      <w:r>
        <w:rPr>
          <w:szCs w:val="20"/>
        </w:rPr>
        <w:t xml:space="preserve">  powierzchni użytkowej przeznaczonej na działalność usługową lub handlową określonych dla pozostałej części Strefy Wielkomiejskiej, tj. przy maksymalnej liczbie mieszkań 80 oraz maksymalnej powierzchni użytkowej przeznaczonej na działalność usługową lub handlową wynoszącą 800 m</w:t>
      </w:r>
      <w:r>
        <w:rPr>
          <w:szCs w:val="20"/>
          <w:vertAlign w:val="superscript"/>
        </w:rPr>
        <w:t>2</w:t>
      </w:r>
      <w:r>
        <w:rPr>
          <w:szCs w:val="20"/>
        </w:rPr>
        <w:t>, minimalna liczba miejsc parkingowych wynosi 68.</w:t>
      </w:r>
    </w:p>
    <w:p w14:paraId="78568CA4"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Ponadto, projektowana inwestycja mieszkaniowa nie została zlokalizowana na terenach podlegających ochronie przed lokalizowaniem lub zabudową na podstawie odrębnych przepisów, a także w granicach otulin form ochrony przyrody, rodzinnych ogrodów działkowych czy obszaru szczególnie zagrożonego powodzią, zgodnie z art. 5 ust. 1 i 2 specustawy.</w:t>
      </w:r>
    </w:p>
    <w:p w14:paraId="2B5E77A6"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w:t>
      </w:r>
    </w:p>
    <w:p w14:paraId="6220EFBF" w14:textId="77777777" w:rsidR="00B51E89" w:rsidRDefault="00D21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Z uwagi na uzyskane w większości pozytywne stanowiska organów i instytucji opiniujących i uzgadniających wniosek, oraz brak uwag do wniosku publikowanego na stronie podmiotowej Biuletynu Informacji Publicznej Urzędu Miasta Łodzi, uznaje się za zasadne podjęcie uchwały o ustaleniu lokalizacji inwestycji mieszkaniowej i inwestycji towarzyszących zgodnie z parametrami i warunkami określonymi wnioskiem. </w:t>
      </w:r>
    </w:p>
    <w:p w14:paraId="249A676D" w14:textId="77777777" w:rsidR="00B51E89" w:rsidRDefault="00B51E89">
      <w:pPr>
        <w:spacing w:before="120" w:after="120"/>
        <w:jc w:val="both"/>
        <w:rPr>
          <w:color w:val="00B050"/>
          <w:szCs w:val="20"/>
          <w:u w:color="000000"/>
        </w:rPr>
      </w:pPr>
    </w:p>
    <w:sectPr w:rsidR="00B51E89" w:rsidSect="00B51E89">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6D6C3" w14:textId="77777777" w:rsidR="009B6B24" w:rsidRDefault="009B6B24" w:rsidP="00B51E89">
      <w:r>
        <w:separator/>
      </w:r>
    </w:p>
  </w:endnote>
  <w:endnote w:type="continuationSeparator" w:id="0">
    <w:p w14:paraId="4E988EBF" w14:textId="77777777" w:rsidR="009B6B24" w:rsidRDefault="009B6B24" w:rsidP="00B5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Greek">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B51E89" w14:paraId="67A99BB0" w14:textId="77777777">
      <w:tc>
        <w:tcPr>
          <w:tcW w:w="6048" w:type="dxa"/>
          <w:tcBorders>
            <w:top w:val="single" w:sz="2" w:space="0" w:color="auto"/>
            <w:left w:val="nil"/>
            <w:bottom w:val="nil"/>
            <w:right w:val="nil"/>
          </w:tcBorders>
          <w:noWrap/>
          <w:tcMar>
            <w:top w:w="100" w:type="dxa"/>
          </w:tcMar>
        </w:tcPr>
        <w:p w14:paraId="71ECD889" w14:textId="77777777" w:rsidR="00B51E89" w:rsidRDefault="00D2108B">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14:paraId="263C0572" w14:textId="77777777" w:rsidR="00B51E89" w:rsidRDefault="00D2108B">
          <w:pPr>
            <w:jc w:val="right"/>
            <w:rPr>
              <w:sz w:val="18"/>
            </w:rPr>
          </w:pPr>
          <w:r>
            <w:rPr>
              <w:sz w:val="18"/>
            </w:rPr>
            <w:t xml:space="preserve">Strona </w:t>
          </w:r>
          <w:r w:rsidR="00B51E89">
            <w:rPr>
              <w:sz w:val="18"/>
            </w:rPr>
            <w:fldChar w:fldCharType="begin"/>
          </w:r>
          <w:r>
            <w:rPr>
              <w:sz w:val="18"/>
            </w:rPr>
            <w:instrText>PAGE</w:instrText>
          </w:r>
          <w:r w:rsidR="00B51E89">
            <w:rPr>
              <w:sz w:val="18"/>
            </w:rPr>
            <w:fldChar w:fldCharType="separate"/>
          </w:r>
          <w:r w:rsidR="004018C7">
            <w:rPr>
              <w:noProof/>
              <w:sz w:val="18"/>
            </w:rPr>
            <w:t>1</w:t>
          </w:r>
          <w:r w:rsidR="00B51E89">
            <w:rPr>
              <w:sz w:val="18"/>
            </w:rPr>
            <w:fldChar w:fldCharType="end"/>
          </w:r>
        </w:p>
      </w:tc>
    </w:tr>
  </w:tbl>
  <w:p w14:paraId="70C68E65" w14:textId="77777777" w:rsidR="00B51E89" w:rsidRDefault="00B51E89">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B51E89" w14:paraId="17378CBB" w14:textId="77777777">
      <w:tc>
        <w:tcPr>
          <w:tcW w:w="6048" w:type="dxa"/>
          <w:tcBorders>
            <w:top w:val="single" w:sz="2" w:space="0" w:color="auto"/>
            <w:left w:val="nil"/>
            <w:bottom w:val="nil"/>
            <w:right w:val="nil"/>
          </w:tcBorders>
          <w:noWrap/>
          <w:tcMar>
            <w:top w:w="100" w:type="dxa"/>
          </w:tcMar>
        </w:tcPr>
        <w:p w14:paraId="32CAE1FF" w14:textId="77777777" w:rsidR="00B51E89" w:rsidRDefault="00D2108B">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14:paraId="2C4CBE91" w14:textId="77777777" w:rsidR="00B51E89" w:rsidRDefault="00D2108B">
          <w:pPr>
            <w:jc w:val="right"/>
            <w:rPr>
              <w:sz w:val="18"/>
            </w:rPr>
          </w:pPr>
          <w:r>
            <w:rPr>
              <w:sz w:val="18"/>
            </w:rPr>
            <w:t xml:space="preserve">Strona </w:t>
          </w:r>
          <w:r w:rsidR="00B51E89">
            <w:rPr>
              <w:sz w:val="18"/>
            </w:rPr>
            <w:fldChar w:fldCharType="begin"/>
          </w:r>
          <w:r>
            <w:rPr>
              <w:sz w:val="18"/>
            </w:rPr>
            <w:instrText>PAGE</w:instrText>
          </w:r>
          <w:r w:rsidR="00B51E89">
            <w:rPr>
              <w:sz w:val="18"/>
            </w:rPr>
            <w:fldChar w:fldCharType="separate"/>
          </w:r>
          <w:r w:rsidR="004018C7">
            <w:rPr>
              <w:noProof/>
              <w:sz w:val="18"/>
            </w:rPr>
            <w:t>3</w:t>
          </w:r>
          <w:r w:rsidR="00B51E89">
            <w:rPr>
              <w:sz w:val="18"/>
            </w:rPr>
            <w:fldChar w:fldCharType="end"/>
          </w:r>
        </w:p>
      </w:tc>
    </w:tr>
  </w:tbl>
  <w:p w14:paraId="491EA36C" w14:textId="77777777" w:rsidR="00B51E89" w:rsidRDefault="00B51E89">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B51E89" w14:paraId="3186DA6D" w14:textId="77777777">
      <w:tc>
        <w:tcPr>
          <w:tcW w:w="6048" w:type="dxa"/>
          <w:tcBorders>
            <w:top w:val="single" w:sz="2" w:space="0" w:color="auto"/>
            <w:left w:val="nil"/>
            <w:bottom w:val="nil"/>
            <w:right w:val="nil"/>
          </w:tcBorders>
          <w:noWrap/>
          <w:tcMar>
            <w:top w:w="100" w:type="dxa"/>
          </w:tcMar>
        </w:tcPr>
        <w:p w14:paraId="66ECBADE" w14:textId="77777777" w:rsidR="00B51E89" w:rsidRDefault="00D2108B">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14:paraId="22C9C492" w14:textId="77777777" w:rsidR="00B51E89" w:rsidRDefault="00D2108B">
          <w:pPr>
            <w:jc w:val="right"/>
            <w:rPr>
              <w:sz w:val="18"/>
            </w:rPr>
          </w:pPr>
          <w:r>
            <w:rPr>
              <w:sz w:val="18"/>
            </w:rPr>
            <w:t xml:space="preserve">Strona </w:t>
          </w:r>
          <w:r w:rsidR="00B51E89">
            <w:rPr>
              <w:sz w:val="18"/>
            </w:rPr>
            <w:fldChar w:fldCharType="begin"/>
          </w:r>
          <w:r>
            <w:rPr>
              <w:sz w:val="18"/>
            </w:rPr>
            <w:instrText>PAGE</w:instrText>
          </w:r>
          <w:r w:rsidR="00B51E89">
            <w:rPr>
              <w:sz w:val="18"/>
            </w:rPr>
            <w:fldChar w:fldCharType="separate"/>
          </w:r>
          <w:r w:rsidR="004018C7">
            <w:rPr>
              <w:noProof/>
              <w:sz w:val="18"/>
            </w:rPr>
            <w:t>3</w:t>
          </w:r>
          <w:r w:rsidR="00B51E89">
            <w:rPr>
              <w:sz w:val="18"/>
            </w:rPr>
            <w:fldChar w:fldCharType="end"/>
          </w:r>
        </w:p>
      </w:tc>
    </w:tr>
  </w:tbl>
  <w:p w14:paraId="1D7642B8" w14:textId="77777777" w:rsidR="00B51E89" w:rsidRDefault="00B51E89">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B51E89" w14:paraId="1794FDDA" w14:textId="77777777">
      <w:tc>
        <w:tcPr>
          <w:tcW w:w="6048" w:type="dxa"/>
          <w:tcBorders>
            <w:top w:val="single" w:sz="2" w:space="0" w:color="auto"/>
            <w:left w:val="nil"/>
            <w:bottom w:val="nil"/>
            <w:right w:val="nil"/>
          </w:tcBorders>
          <w:noWrap/>
          <w:tcMar>
            <w:top w:w="100" w:type="dxa"/>
          </w:tcMar>
        </w:tcPr>
        <w:p w14:paraId="238126A4" w14:textId="77777777" w:rsidR="00B51E89" w:rsidRDefault="00D2108B">
          <w:pPr>
            <w:jc w:val="left"/>
            <w:rPr>
              <w:sz w:val="18"/>
            </w:rPr>
          </w:pPr>
          <w:r>
            <w:rPr>
              <w:sz w:val="18"/>
            </w:rPr>
            <w:t>Projekt</w:t>
          </w:r>
        </w:p>
      </w:tc>
      <w:tc>
        <w:tcPr>
          <w:tcW w:w="3024" w:type="dxa"/>
          <w:tcBorders>
            <w:top w:val="single" w:sz="2" w:space="0" w:color="auto"/>
            <w:left w:val="nil"/>
            <w:bottom w:val="nil"/>
            <w:right w:val="nil"/>
          </w:tcBorders>
          <w:noWrap/>
          <w:tcMar>
            <w:top w:w="100" w:type="dxa"/>
          </w:tcMar>
        </w:tcPr>
        <w:p w14:paraId="2CB42FA8" w14:textId="77777777" w:rsidR="00B51E89" w:rsidRDefault="00D2108B">
          <w:pPr>
            <w:jc w:val="right"/>
            <w:rPr>
              <w:sz w:val="18"/>
            </w:rPr>
          </w:pPr>
          <w:r>
            <w:rPr>
              <w:sz w:val="18"/>
            </w:rPr>
            <w:t xml:space="preserve">Strona </w:t>
          </w:r>
          <w:r w:rsidR="00B51E89">
            <w:rPr>
              <w:sz w:val="18"/>
            </w:rPr>
            <w:fldChar w:fldCharType="begin"/>
          </w:r>
          <w:r>
            <w:rPr>
              <w:sz w:val="18"/>
            </w:rPr>
            <w:instrText>PAGE</w:instrText>
          </w:r>
          <w:r w:rsidR="00B51E89">
            <w:rPr>
              <w:sz w:val="18"/>
            </w:rPr>
            <w:fldChar w:fldCharType="separate"/>
          </w:r>
          <w:r w:rsidR="004018C7">
            <w:rPr>
              <w:noProof/>
              <w:sz w:val="18"/>
            </w:rPr>
            <w:t>10</w:t>
          </w:r>
          <w:r w:rsidR="00B51E89">
            <w:rPr>
              <w:sz w:val="18"/>
            </w:rPr>
            <w:fldChar w:fldCharType="end"/>
          </w:r>
        </w:p>
      </w:tc>
    </w:tr>
  </w:tbl>
  <w:p w14:paraId="49DB420D" w14:textId="77777777" w:rsidR="00B51E89" w:rsidRDefault="00B51E8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18230" w14:textId="77777777" w:rsidR="009B6B24" w:rsidRDefault="009B6B24" w:rsidP="00B51E89">
      <w:r>
        <w:separator/>
      </w:r>
    </w:p>
  </w:footnote>
  <w:footnote w:type="continuationSeparator" w:id="0">
    <w:p w14:paraId="39D05282" w14:textId="77777777" w:rsidR="009B6B24" w:rsidRDefault="009B6B24" w:rsidP="00B51E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0AB7"/>
    <w:rsid w:val="004018C7"/>
    <w:rsid w:val="009B6B24"/>
    <w:rsid w:val="00A77B3E"/>
    <w:rsid w:val="00B51E89"/>
    <w:rsid w:val="00C6690E"/>
    <w:rsid w:val="00CA2A55"/>
    <w:rsid w:val="00D2108B"/>
    <w:rsid w:val="00F60E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96AD30"/>
  <w15:docId w15:val="{E3B11389-1019-494E-873A-81923432B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51E89"/>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47DA2472-9DE5-42FC-A8A4-78A08BF35128.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37F3E903-0125-4815-8C09-C32A71AF297B.png" TargetMode="External"/><Relationship Id="rId17" Type="http://schemas.openxmlformats.org/officeDocument/2006/relationships/image" Target="Zalacznik034D0B34-204E-4C20-82AB-ACDD258E9D95.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32C07A67-84BE-4EEF-87C2-5434C232BCE5.png" TargetMode="External"/><Relationship Id="rId23" Type="http://schemas.openxmlformats.org/officeDocument/2006/relationships/theme" Target="theme/theme1.xml"/><Relationship Id="rId10" Type="http://schemas.openxmlformats.org/officeDocument/2006/relationships/image" Target="ZalacznikA5E6496A-8A76-44F2-8F89-42DF6B49F1A1.png" TargetMode="External"/><Relationship Id="rId19" Type="http://schemas.openxmlformats.org/officeDocument/2006/relationships/image" Target="Zalacznik50D7B8F3-9198-422B-A4B0-2C1DF79A9231.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5020</Words>
  <Characters>30123</Characters>
  <Application>Microsoft Office Word</Application>
  <DocSecurity>0</DocSecurity>
  <Lines>251</Lines>
  <Paragraphs>70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towarzyszących przy ulicach: Tymienieckiego 17, 19, 25 i Tymienieckiego bez numeru, Kilińskiego 190 i Kilińskiego bez numeru i Milionowej bez numeru oraz w Parku im. Jana Kilińskiego w Łodzi.</dc:subject>
  <dc:creator>agacka</dc:creator>
  <cp:lastModifiedBy>Agnieszka Gacka</cp:lastModifiedBy>
  <cp:revision>3</cp:revision>
  <dcterms:created xsi:type="dcterms:W3CDTF">2023-09-11T12:06:00Z</dcterms:created>
  <dcterms:modified xsi:type="dcterms:W3CDTF">2026-01-05T09:41:00Z</dcterms:modified>
  <cp:category>Akt prawny</cp:category>
</cp:coreProperties>
</file>