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1A3D72" w:rsidP="003E29CB">
      <w:pPr>
        <w:ind w:left="5529"/>
        <w:jc w:val="left"/>
      </w:pPr>
      <w:r>
        <w:t>Druk Nr</w:t>
      </w:r>
      <w:r w:rsidR="00666A5A">
        <w:t xml:space="preserve"> 230/2023</w:t>
      </w:r>
    </w:p>
    <w:p w:rsidR="00A77B3E" w:rsidRDefault="001A3D72" w:rsidP="003E29CB">
      <w:pPr>
        <w:ind w:left="5529"/>
        <w:jc w:val="left"/>
      </w:pPr>
      <w:r>
        <w:t>Projekt z dnia</w:t>
      </w:r>
      <w:r w:rsidR="003E29CB">
        <w:t xml:space="preserve"> 6 października 2023 r.</w:t>
      </w:r>
    </w:p>
    <w:p w:rsidR="00A77B3E" w:rsidRDefault="00A77B3E">
      <w:pPr>
        <w:ind w:left="6236"/>
        <w:jc w:val="left"/>
      </w:pPr>
    </w:p>
    <w:p w:rsidR="00A77B3E" w:rsidRDefault="001A3D7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A3D72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A3D72">
      <w:pPr>
        <w:keepNext/>
        <w:spacing w:after="480"/>
      </w:pPr>
      <w:bookmarkStart w:id="0" w:name="_GoBack"/>
      <w:r>
        <w:rPr>
          <w:b/>
        </w:rPr>
        <w:t>w sprawie wyrażenia opinii o lokalizacji kasyna gry</w:t>
      </w:r>
      <w:bookmarkEnd w:id="0"/>
      <w:r>
        <w:rPr>
          <w:b/>
        </w:rPr>
        <w:t>.</w:t>
      </w:r>
    </w:p>
    <w:p w:rsidR="00A77B3E" w:rsidRDefault="001A3D72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1A3D7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A3D72">
      <w:pPr>
        <w:keepLines/>
        <w:spacing w:before="120" w:after="120"/>
        <w:ind w:firstLine="567"/>
        <w:jc w:val="both"/>
      </w:pPr>
      <w:r>
        <w:t>§ 1. Po rozpatrzeniu wniosku ARMINOTTO Sp. z o.o. z siedzibą w Warszawie</w:t>
      </w:r>
      <w:r>
        <w:br/>
        <w:t>przy ul. Jubilerskiej 10, zarejestrowanej w Krajowym Rejestrze Sądowym pod numerem  0000642909, opiniuje się negatywnie lokalizację kasyna gry w budynku przy ul. Piotrkowskiej 293-305 (budynek E) w Łodzi.</w:t>
      </w:r>
    </w:p>
    <w:p w:rsidR="00A77B3E" w:rsidRDefault="001A3D72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033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334" w:rsidRDefault="004F033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334" w:rsidRDefault="001A3D72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A3D72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1A3D72">
      <w:pPr>
        <w:spacing w:before="120" w:after="120"/>
        <w:ind w:left="283" w:firstLine="227"/>
        <w:jc w:val="both"/>
      </w:pPr>
      <w:r>
        <w:t>Prezydent Miasta Łodzi</w:t>
      </w:r>
    </w:p>
    <w:p w:rsidR="00BC473D" w:rsidRDefault="00BC473D">
      <w:pPr>
        <w:spacing w:before="120" w:after="120"/>
        <w:ind w:left="283" w:firstLine="227"/>
        <w:jc w:val="both"/>
        <w:sectPr w:rsidR="00BC473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0334" w:rsidRDefault="004F033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F0334" w:rsidRDefault="001A3D7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F0334" w:rsidRDefault="001A3D72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Stosownie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przepisu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art. 35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2009 r.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hazardowych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(Dz. U. z 2023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227), ARMINOTTO Sp.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o.o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siedzibą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Warszawie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wystąpiła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Radę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pozytywnej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budynku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ul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Piotrkowskiej 293-305 (budynek E)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4F0334" w:rsidRDefault="001A3D72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ta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niezbędna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koncesji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Ministra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typu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gospodarczej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hazardowych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dołączona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udzielnie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koncesji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4F0334" w:rsidRDefault="001A3D72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Ustosunkowując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zastrzeże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co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wniosła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Komenda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Policji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Planowana lokalizacja kasyna gry może bowiem powodować zagrożenia godzące w porządek publiczny w odniesieniu do charakteru działalności innych podmiotów funkcjonujących w pobliżu omawianej nieruchomości. W jej sąsiedztwie znajdują się placówki oświatowe i wychowawcze: Przedszkole Niepubliczne „Wyspa Skarbów” przy ul. Piotrkowskiej 280, Szkoła Policealna – Centrum Nauki i Biznesu „Żak” przy ul. Piotrkowskiej 276 i Liceum Sportowo-Mundurowe przy ul. Piotrkowskiej 276. Ponadto,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pobliżu mieści się również Centralne Muzeum Włókiennictwa w Łodzi ul. Piotrkowskiej 282, filia Poleskiego Ośrodka Sztuki przy ul. Piotrkowskiej 282a, Park im. Władysława Reymonta z placem zabaw dla dzieci oraz obiekt sakralny - Kościół Ewangelicki św. Mateusza w Łodzi.</w:t>
      </w:r>
    </w:p>
    <w:p w:rsidR="004F0334" w:rsidRDefault="001A3D72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Zastrzeżeń co do wskazanej lokalizacji kasyna gry nie wniosła Straż Miejska w Łodzi oraz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jednostka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pomocnicza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Osiedle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Górniak.</w:t>
      </w:r>
    </w:p>
    <w:p w:rsidR="004F0334" w:rsidRDefault="001A3D72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na uwadze powyższe, negatywnie opiniuje się proponowaną lokalizację kasyna gry w budynku przy ul. Piotrkowskiej 293-305 (budynek E) w Łodzi, z uwagi na bezpośrednie sąsiedztwo ww. obiektów użyteczności publicznej.</w:t>
      </w:r>
    </w:p>
    <w:p w:rsidR="004F0334" w:rsidRDefault="004F0334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F033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7C" w:rsidRDefault="00B27F7C">
      <w:r>
        <w:separator/>
      </w:r>
    </w:p>
  </w:endnote>
  <w:endnote w:type="continuationSeparator" w:id="0">
    <w:p w:rsidR="00B27F7C" w:rsidRDefault="00B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F033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0334" w:rsidRDefault="001A3D72">
          <w:pPr>
            <w:jc w:val="left"/>
            <w:rPr>
              <w:sz w:val="18"/>
            </w:rPr>
          </w:pPr>
          <w:r>
            <w:rPr>
              <w:sz w:val="18"/>
            </w:rPr>
            <w:t>Id: 691778E7-81FF-40D9-805E-7271F20C69CA.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0334" w:rsidRDefault="001A3D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4A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F0334" w:rsidRDefault="004F033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F033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0334" w:rsidRDefault="001A3D72">
          <w:pPr>
            <w:jc w:val="left"/>
            <w:rPr>
              <w:sz w:val="18"/>
            </w:rPr>
          </w:pPr>
          <w:r>
            <w:rPr>
              <w:sz w:val="18"/>
            </w:rPr>
            <w:t>Id: 691778E7-81FF-40D9-805E-7271F20C69CA.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0334" w:rsidRDefault="001A3D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4A7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F0334" w:rsidRDefault="004F03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7C" w:rsidRDefault="00B27F7C">
      <w:r>
        <w:separator/>
      </w:r>
    </w:p>
  </w:footnote>
  <w:footnote w:type="continuationSeparator" w:id="0">
    <w:p w:rsidR="00B27F7C" w:rsidRDefault="00B2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3D72"/>
    <w:rsid w:val="003E29CB"/>
    <w:rsid w:val="004F0334"/>
    <w:rsid w:val="00666A5A"/>
    <w:rsid w:val="009B53BD"/>
    <w:rsid w:val="009F4A71"/>
    <w:rsid w:val="00A77B3E"/>
    <w:rsid w:val="00B27F7C"/>
    <w:rsid w:val="00BC473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ED5AF-06ED-4A97-85E8-A200BB29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2023-10-06T11:26:00Z</dcterms:created>
  <dcterms:modified xsi:type="dcterms:W3CDTF">2023-10-06T11:26:00Z</dcterms:modified>
  <cp:category>Akt prawny</cp:category>
</cp:coreProperties>
</file>