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F0E77" w:rsidP="00F00DF9">
      <w:pPr>
        <w:ind w:left="5387"/>
        <w:jc w:val="left"/>
      </w:pPr>
      <w:r>
        <w:t>Druk Nr</w:t>
      </w:r>
      <w:r w:rsidR="00F00DF9">
        <w:t xml:space="preserve"> 236/2023</w:t>
      </w:r>
      <w:r>
        <w:t xml:space="preserve">                    </w:t>
      </w:r>
    </w:p>
    <w:p w:rsidR="00A77B3E" w:rsidRDefault="004F0E77" w:rsidP="00F00DF9">
      <w:pPr>
        <w:ind w:left="5387"/>
        <w:jc w:val="left"/>
      </w:pPr>
      <w:r>
        <w:t>Projekt z dnia</w:t>
      </w:r>
      <w:r w:rsidR="00F00DF9">
        <w:t xml:space="preserve"> 20 października 2023 r.</w:t>
      </w:r>
      <w:r>
        <w:t xml:space="preserve">                                 </w:t>
      </w:r>
    </w:p>
    <w:p w:rsidR="00A77B3E" w:rsidRDefault="00A77B3E">
      <w:pPr>
        <w:ind w:left="6236"/>
        <w:jc w:val="left"/>
      </w:pPr>
    </w:p>
    <w:p w:rsidR="00A77B3E" w:rsidRDefault="004F0E77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F0E77">
      <w:pPr>
        <w:spacing w:before="160" w:after="280" w:line="360" w:lineRule="auto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4F0E77">
      <w:pPr>
        <w:keepNext/>
        <w:spacing w:before="240" w:after="240" w:line="360" w:lineRule="auto"/>
        <w:jc w:val="center"/>
      </w:pPr>
      <w:bookmarkStart w:id="0" w:name="_GoBack"/>
      <w:r>
        <w:rPr>
          <w:b/>
        </w:rPr>
        <w:t>w sprawie określenia wysokości stawek podatku od nieruchomości</w:t>
      </w:r>
      <w:bookmarkEnd w:id="0"/>
      <w:r>
        <w:rPr>
          <w:b/>
        </w:rPr>
        <w:t>.</w:t>
      </w:r>
    </w:p>
    <w:p w:rsidR="00A77B3E" w:rsidRDefault="004F0E77">
      <w:pPr>
        <w:keepLines/>
        <w:spacing w:line="360" w:lineRule="auto"/>
        <w:ind w:firstLine="567"/>
      </w:pPr>
      <w:r>
        <w:t>Na podstawie art. 18 ust. 2 pkt 8 i art. 40 ust. 1 ustawy z dnia 8 marca 1990 r. o samorządzie gminnym (Dz. U. z 2023 r. poz. 40, 572, 1463 i 1688) oraz art. 5 ust. 1 ustawy z dnia 12 stycznia 1991 r. o podatkach i opłatach lokalnych (Dz. U. z 2023 r. poz. 70 i 1313), Rada Miejska w Łodzi</w:t>
      </w:r>
    </w:p>
    <w:p w:rsidR="00A77B3E" w:rsidRDefault="004F0E77">
      <w:pPr>
        <w:spacing w:before="120"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4F0E77">
      <w:pPr>
        <w:keepLines/>
        <w:spacing w:before="120" w:after="120" w:line="360" w:lineRule="auto"/>
        <w:ind w:firstLine="567"/>
      </w:pPr>
      <w:r>
        <w:t>§ 1. Roczne stawki podatku od nieruchomości wynoszą:</w:t>
      </w:r>
    </w:p>
    <w:p w:rsidR="00A77B3E" w:rsidRDefault="004F0E77">
      <w:pPr>
        <w:keepLines/>
        <w:spacing w:line="360" w:lineRule="auto"/>
        <w:ind w:left="227" w:hanging="227"/>
      </w:pPr>
      <w:r>
        <w:t>1) od gruntów:</w:t>
      </w:r>
    </w:p>
    <w:p w:rsidR="00A77B3E" w:rsidRDefault="004F0E77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 xml:space="preserve">a) związanych z prowadzeniem działalności gospodarczej, bez względu na sposób zakwalifikowania w ewidencji gruntów i budynków – </w:t>
      </w:r>
      <w:r>
        <w:rPr>
          <w:b/>
          <w:color w:val="000000"/>
          <w:u w:color="000000"/>
        </w:rPr>
        <w:t xml:space="preserve">1,34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:rsidR="00A77B3E" w:rsidRDefault="004F0E77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 wodami powierzchniowymi stojącymi lub wodami powierzchniowymi płynącymi jezior i zbiorników sztucznych – </w:t>
      </w:r>
      <w:r>
        <w:rPr>
          <w:b/>
          <w:color w:val="000000"/>
          <w:u w:color="000000"/>
        </w:rPr>
        <w:t xml:space="preserve">6,66 zł </w:t>
      </w:r>
      <w:r>
        <w:rPr>
          <w:color w:val="000000"/>
          <w:u w:color="000000"/>
        </w:rPr>
        <w:t>od 1 ha powierzchni,</w:t>
      </w:r>
    </w:p>
    <w:p w:rsidR="00A77B3E" w:rsidRDefault="004F0E77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– </w:t>
      </w:r>
      <w:r>
        <w:rPr>
          <w:b/>
          <w:color w:val="000000"/>
          <w:u w:color="000000"/>
        </w:rPr>
        <w:t xml:space="preserve">0,71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:rsidR="00A77B3E" w:rsidRDefault="004F0E77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dnia 9 października 2015 r. o rewitalizacji (Dz. U. z 2021 r. poz. 485 oraz z 2023 r. poz. 28 i 1688),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</w:t>
      </w:r>
      <w:r>
        <w:rPr>
          <w:b/>
          <w:color w:val="000000"/>
          <w:u w:color="000000"/>
        </w:rPr>
        <w:t xml:space="preserve">4,39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powierzchni;</w:t>
      </w:r>
    </w:p>
    <w:p w:rsidR="00A77B3E" w:rsidRDefault="004F0E7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:rsidR="00A77B3E" w:rsidRDefault="004F0E77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mieszkalnych – </w:t>
      </w:r>
      <w:r>
        <w:rPr>
          <w:b/>
          <w:color w:val="000000"/>
          <w:u w:color="000000"/>
        </w:rPr>
        <w:t xml:space="preserve">1,15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4F0E77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>
        <w:rPr>
          <w:b/>
          <w:color w:val="000000"/>
          <w:u w:color="000000"/>
        </w:rPr>
        <w:t xml:space="preserve">33,10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4F0E77">
      <w:pPr>
        <w:keepLines/>
        <w:spacing w:line="360" w:lineRule="auto"/>
        <w:ind w:left="454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 xml:space="preserve">zajętych na prowadzenie działalności gospodarczej w zakresie obrotu kwalifikowanym materiałem siewnym – </w:t>
      </w:r>
      <w:r>
        <w:rPr>
          <w:b/>
          <w:color w:val="000000"/>
          <w:u w:color="000000"/>
        </w:rPr>
        <w:t xml:space="preserve">15,50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4F0E77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udzielaniem świadczeń zdrowotnych w rozumieniu przepisów o działalności leczniczej, zajętych przez podmioty udzielające tych świadczeń –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6,76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4F0E77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– </w:t>
      </w:r>
      <w:r>
        <w:rPr>
          <w:b/>
          <w:color w:val="000000"/>
          <w:u w:color="000000"/>
        </w:rPr>
        <w:t xml:space="preserve">11,17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użytkowej;</w:t>
      </w:r>
    </w:p>
    <w:p w:rsidR="00A77B3E" w:rsidRDefault="004F0E77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od budowli – </w:t>
      </w:r>
      <w:r>
        <w:rPr>
          <w:b/>
          <w:color w:val="000000"/>
          <w:u w:color="000000"/>
        </w:rPr>
        <w:t>2 % ich wartości</w:t>
      </w:r>
      <w:r>
        <w:rPr>
          <w:color w:val="000000"/>
          <w:u w:color="000000"/>
        </w:rPr>
        <w:t>, określonej na podstawie art. 4 ust. 1 pkt 3 i ust. 3-7 ustawy z dnia 12 stycznia 1991 r. o podatkach i opłatach lokalnych.</w:t>
      </w:r>
    </w:p>
    <w:p w:rsidR="00A77B3E" w:rsidRDefault="004F0E77">
      <w:pPr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4F0E77">
      <w:pPr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Traci moc uchwała Nr LXVII/1964/22 Rady Miejskiej w Łodzi z dnia 12 października 2022 r. w sprawie określenia wysokości stawek podatku od nieruchomości (Dz. Urz. Woj. Łódzkiego poz. 6165).</w:t>
      </w:r>
    </w:p>
    <w:p w:rsidR="00A77B3E" w:rsidRDefault="004F0E77">
      <w:pPr>
        <w:keepNext/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podlega publikacji w Dzienniku Urzędowym Województwa Łódzkiego i wchodzi w życie z dniem 1 stycznia 2024 r.</w:t>
      </w:r>
    </w:p>
    <w:p w:rsidR="00A77B3E" w:rsidRDefault="004F0E77">
      <w:pPr>
        <w:keepNext/>
        <w:keepLines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4F0E7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D173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73C" w:rsidRDefault="000D173C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73C" w:rsidRDefault="004F0E77">
            <w:pPr>
              <w:keepNext/>
              <w:keepLines/>
              <w:spacing w:before="120" w:after="560"/>
              <w:ind w:left="85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4F0E77" w:rsidP="00AD66DE">
      <w:pPr>
        <w:keepLines/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4F0E77" w:rsidP="00AD66DE">
      <w:pPr>
        <w:keepLines/>
        <w:spacing w:before="120" w:after="120" w:line="360" w:lineRule="auto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0D173C" w:rsidRDefault="000D173C">
      <w:pPr>
        <w:rPr>
          <w:szCs w:val="20"/>
          <w:lang w:val="x-none" w:eastAsia="en-US" w:bidi="ar-SA"/>
        </w:rPr>
      </w:pPr>
    </w:p>
    <w:p w:rsidR="000D173C" w:rsidRDefault="004F0E77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:rsidR="000D173C" w:rsidRDefault="004F0E77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Projekt uchwały stanowi wykonanie dyspozycji zawartej w art. 5 ust. 1 ustawy z dnia</w:t>
      </w:r>
      <w:r>
        <w:rPr>
          <w:szCs w:val="20"/>
          <w:lang w:val="x-none" w:eastAsia="en-US" w:bidi="ar-SA"/>
        </w:rPr>
        <w:br/>
        <w:t>12 stycznia 1991 r. o podatkach i opłatach lokalnych (Dz. U. z 2</w:t>
      </w:r>
      <w:r>
        <w:rPr>
          <w:szCs w:val="20"/>
        </w:rPr>
        <w:t>023</w:t>
      </w:r>
      <w:r>
        <w:rPr>
          <w:szCs w:val="20"/>
          <w:lang w:val="x-none" w:eastAsia="en-US" w:bidi="ar-SA"/>
        </w:rPr>
        <w:t> r. poz. </w:t>
      </w:r>
      <w:r>
        <w:rPr>
          <w:szCs w:val="20"/>
        </w:rPr>
        <w:t>70 z późn. zm.</w:t>
      </w:r>
      <w:r>
        <w:rPr>
          <w:szCs w:val="20"/>
          <w:lang w:val="x-none" w:eastAsia="en-US" w:bidi="ar-SA"/>
        </w:rPr>
        <w:t>), obligującej Radę Miejską do określenia wysokości stawek podatku od nieruchomości. Stawki podatku należy określić dla poszczególnych przedmiotów opodatkowania, tj. gruntów, budynków i budowli.</w:t>
      </w:r>
    </w:p>
    <w:p w:rsidR="000D173C" w:rsidRDefault="004F0E77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Wysokość stawek podatkowych na 202</w:t>
      </w:r>
      <w:r>
        <w:rPr>
          <w:szCs w:val="20"/>
        </w:rPr>
        <w:t>4</w:t>
      </w:r>
      <w:r>
        <w:rPr>
          <w:szCs w:val="20"/>
          <w:lang w:val="x-none" w:eastAsia="en-US" w:bidi="ar-SA"/>
        </w:rPr>
        <w:t> rok wiąże się 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założeniami do projektu budżetu miasta Łodzi na 202</w:t>
      </w:r>
      <w:r>
        <w:rPr>
          <w:szCs w:val="20"/>
        </w:rPr>
        <w:t>4</w:t>
      </w:r>
      <w:r>
        <w:rPr>
          <w:szCs w:val="20"/>
          <w:lang w:val="x-none" w:eastAsia="en-US" w:bidi="ar-SA"/>
        </w:rPr>
        <w:t> rok, zgodnie 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którymi dla ustalenia wysokości dochodów z tytułu podatku od nieruchomości należy przyjąć wzrost stawek podatkowych w oparciu o poziom stawek określony w obwieszczeniu Ministra Finansów w sprawie górnych stawek kwotowych podatków i opłat lokalnych.</w:t>
      </w:r>
    </w:p>
    <w:p w:rsidR="000D173C" w:rsidRDefault="004F0E77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Planowane dochody z tytułu podatku od nieruchomości będą możliwe do wykonania przy uwzględnieniu stawek podatkowych na 202</w:t>
      </w:r>
      <w:r>
        <w:rPr>
          <w:szCs w:val="20"/>
        </w:rPr>
        <w:t>4</w:t>
      </w:r>
      <w:r>
        <w:rPr>
          <w:szCs w:val="20"/>
          <w:lang w:val="x-none" w:eastAsia="en-US" w:bidi="ar-SA"/>
        </w:rPr>
        <w:t xml:space="preserve"> rok ujętych w niniejszym projekcie. </w:t>
      </w:r>
    </w:p>
    <w:p w:rsidR="000D173C" w:rsidRDefault="004F0E77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Proponuje się przyjęcie maksymalnych stawek podatku od nieruchomości określonych w obwieszczeniu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Ministra Finansów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z dnia 2</w:t>
      </w:r>
      <w:r>
        <w:rPr>
          <w:szCs w:val="20"/>
        </w:rPr>
        <w:t>1</w:t>
      </w:r>
      <w:r>
        <w:rPr>
          <w:szCs w:val="20"/>
          <w:lang w:val="x-none" w:eastAsia="en-US" w:bidi="ar-SA"/>
        </w:rPr>
        <w:t xml:space="preserve"> lipca 202</w:t>
      </w:r>
      <w:r>
        <w:rPr>
          <w:szCs w:val="20"/>
        </w:rPr>
        <w:t>3</w:t>
      </w:r>
      <w:r>
        <w:rPr>
          <w:szCs w:val="20"/>
          <w:lang w:val="x-none" w:eastAsia="en-US" w:bidi="ar-SA"/>
        </w:rPr>
        <w:t xml:space="preserve"> r.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w sprawie górnych granic stawek kwotowych podatków i opłat lokalnych na rok 20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 xml:space="preserve"> (M.P. poz. 7</w:t>
      </w:r>
      <w:r>
        <w:rPr>
          <w:szCs w:val="20"/>
        </w:rPr>
        <w:t>74</w:t>
      </w:r>
      <w:r>
        <w:rPr>
          <w:szCs w:val="20"/>
          <w:lang w:val="x-none" w:eastAsia="en-US" w:bidi="ar-SA"/>
        </w:rPr>
        <w:t>).</w:t>
      </w:r>
    </w:p>
    <w:p w:rsidR="000D173C" w:rsidRDefault="004F0E77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Stawki maksymalne na 202</w:t>
      </w:r>
      <w:r>
        <w:rPr>
          <w:szCs w:val="20"/>
        </w:rPr>
        <w:t>4</w:t>
      </w:r>
      <w:r>
        <w:rPr>
          <w:szCs w:val="20"/>
          <w:lang w:val="x-none" w:eastAsia="en-US" w:bidi="ar-SA"/>
        </w:rPr>
        <w:t> rok uległy zwiększeniu w stosunku do roku 20</w:t>
      </w:r>
      <w:r>
        <w:rPr>
          <w:szCs w:val="20"/>
        </w:rPr>
        <w:t>23</w:t>
      </w:r>
      <w:r>
        <w:rPr>
          <w:szCs w:val="20"/>
          <w:lang w:val="x-none" w:eastAsia="en-US" w:bidi="ar-SA"/>
        </w:rPr>
        <w:t> o </w:t>
      </w:r>
      <w:r>
        <w:rPr>
          <w:szCs w:val="20"/>
        </w:rPr>
        <w:t>15</w:t>
      </w:r>
      <w:r>
        <w:rPr>
          <w:szCs w:val="20"/>
          <w:lang w:val="x-none" w:eastAsia="en-US" w:bidi="ar-SA"/>
        </w:rPr>
        <w:t>% (stawka dla budynków związanych 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prowadzeniem działalności gospodarczej została zwiększona z 2</w:t>
      </w:r>
      <w:r>
        <w:rPr>
          <w:szCs w:val="20"/>
        </w:rPr>
        <w:t>8,78</w:t>
      </w:r>
      <w:r>
        <w:rPr>
          <w:szCs w:val="20"/>
          <w:lang w:val="x-none" w:eastAsia="en-US" w:bidi="ar-SA"/>
        </w:rPr>
        <w:t> zł</w:t>
      </w:r>
      <w:r>
        <w:rPr>
          <w:szCs w:val="20"/>
        </w:rPr>
        <w:t xml:space="preserve"> do 33,10 zł</w:t>
      </w:r>
      <w:r>
        <w:rPr>
          <w:szCs w:val="20"/>
          <w:lang w:val="x-none" w:eastAsia="en-US" w:bidi="ar-SA"/>
        </w:rPr>
        <w:t>).</w:t>
      </w:r>
    </w:p>
    <w:p w:rsidR="000D173C" w:rsidRDefault="004F0E77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Praktyka większości dużych miast w kraju wskazuje, iż przeważnie uchwalane są stawki maksymalne. W 20</w:t>
      </w:r>
      <w:r>
        <w:rPr>
          <w:szCs w:val="20"/>
        </w:rPr>
        <w:t>23</w:t>
      </w:r>
      <w:r>
        <w:rPr>
          <w:szCs w:val="20"/>
          <w:lang w:val="x-none" w:eastAsia="en-US" w:bidi="ar-SA"/>
        </w:rPr>
        <w:t xml:space="preserve"> roku maksymalna stawka podatku od nieruchomości dla budynków związanych 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prowadzeniem działalności gospodarczej (tj. </w:t>
      </w:r>
      <w:r>
        <w:rPr>
          <w:szCs w:val="20"/>
        </w:rPr>
        <w:t>28,78</w:t>
      </w:r>
      <w:r>
        <w:rPr>
          <w:szCs w:val="20"/>
          <w:lang w:val="x-none" w:eastAsia="en-US" w:bidi="ar-SA"/>
        </w:rPr>
        <w:t> zł) została przyjęta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m.in.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w Warszawie, Wrocławiu, Poznaniu, Szczecinie, Gdańsku, Gdyni,</w:t>
      </w:r>
      <w:r>
        <w:rPr>
          <w:szCs w:val="20"/>
        </w:rPr>
        <w:t xml:space="preserve"> Białymstoku, </w:t>
      </w:r>
      <w:r>
        <w:rPr>
          <w:szCs w:val="20"/>
          <w:lang w:val="x-none" w:eastAsia="en-US" w:bidi="ar-SA"/>
        </w:rPr>
        <w:t>Bydgoszczy,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 Rzeszowie.</w:t>
      </w:r>
    </w:p>
    <w:p w:rsidR="000D173C" w:rsidRDefault="004F0E77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Średni wzrost obciążenia stawką podatku od nieruchomości od budynków związanych</w:t>
      </w:r>
      <w:r>
        <w:rPr>
          <w:szCs w:val="20"/>
          <w:lang w:val="x-none" w:eastAsia="en-US" w:bidi="ar-SA"/>
        </w:rPr>
        <w:br/>
        <w:t xml:space="preserve">z prowadzeniem działalności gospodarczej przy proponowanej w projekcie uchwały stawce </w:t>
      </w:r>
      <w:r>
        <w:rPr>
          <w:szCs w:val="20"/>
        </w:rPr>
        <w:t>33,10</w:t>
      </w:r>
      <w:r>
        <w:rPr>
          <w:szCs w:val="20"/>
          <w:lang w:val="x-none" w:eastAsia="en-US" w:bidi="ar-SA"/>
        </w:rPr>
        <w:t> zł kształtuje się następująco:</w:t>
      </w:r>
    </w:p>
    <w:p w:rsidR="000D173C" w:rsidRDefault="004F0E77">
      <w:pPr>
        <w:keepLines/>
        <w:spacing w:before="120" w:after="120" w:line="360" w:lineRule="auto"/>
        <w:rPr>
          <w:color w:val="000000"/>
          <w:szCs w:val="20"/>
          <w:u w:color="000000"/>
          <w:lang w:val="x-none" w:eastAsia="en-US" w:bidi="ar-SA"/>
        </w:rPr>
      </w:pPr>
      <w:r>
        <w:rPr>
          <w:szCs w:val="20"/>
          <w:u w:val="single"/>
        </w:rPr>
        <w:t xml:space="preserve">Mali </w:t>
      </w:r>
      <w:r>
        <w:rPr>
          <w:szCs w:val="20"/>
          <w:u w:val="single"/>
          <w:lang w:val="x-none" w:eastAsia="en-US" w:bidi="ar-SA"/>
        </w:rPr>
        <w:t>przedsiębiorcy: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548"/>
        <w:gridCol w:w="1623"/>
        <w:gridCol w:w="2239"/>
        <w:gridCol w:w="2254"/>
      </w:tblGrid>
      <w:tr w:rsidR="000D17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Powierzchnia budynku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Podatek</w:t>
            </w:r>
          </w:p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w 20</w:t>
            </w:r>
            <w:r>
              <w:rPr>
                <w:b/>
                <w:color w:val="000000"/>
                <w:szCs w:val="20"/>
                <w:u w:color="000000"/>
              </w:rPr>
              <w:t>23</w:t>
            </w: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 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Podatek</w:t>
            </w:r>
          </w:p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w 20</w:t>
            </w:r>
            <w:r>
              <w:rPr>
                <w:b/>
                <w:color w:val="000000"/>
                <w:szCs w:val="20"/>
                <w:u w:color="000000"/>
              </w:rPr>
              <w:t>24</w:t>
            </w: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 r.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Kwota zwiększenia obciążenia za rok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Kwota zwiększenia obciążenia</w:t>
            </w:r>
          </w:p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za 1 m-c</w:t>
            </w:r>
          </w:p>
        </w:tc>
      </w:tr>
      <w:tr w:rsidR="000D17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100 m²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 xml:space="preserve"> 2.878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 xml:space="preserve"> 3.310 zł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432 zł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36 zł</w:t>
            </w:r>
          </w:p>
        </w:tc>
      </w:tr>
    </w:tbl>
    <w:p w:rsidR="000D173C" w:rsidRDefault="000D173C">
      <w:pPr>
        <w:keepLines/>
        <w:spacing w:before="120" w:after="120" w:line="360" w:lineRule="auto"/>
        <w:rPr>
          <w:color w:val="000000"/>
          <w:szCs w:val="20"/>
          <w:u w:val="single" w:color="000000"/>
          <w:lang w:val="x-none" w:eastAsia="en-US" w:bidi="ar-SA"/>
        </w:rPr>
      </w:pPr>
    </w:p>
    <w:p w:rsidR="000D173C" w:rsidRDefault="004F0E77">
      <w:pPr>
        <w:keepLines/>
        <w:spacing w:before="120" w:after="120" w:line="360" w:lineRule="auto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val="single" w:color="000000"/>
          <w:lang w:val="x-none" w:eastAsia="en-US" w:bidi="ar-SA"/>
        </w:rPr>
        <w:lastRenderedPageBreak/>
        <w:t>Średni przedsiębiorcy: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578"/>
        <w:gridCol w:w="1578"/>
        <w:gridCol w:w="2179"/>
        <w:gridCol w:w="2330"/>
      </w:tblGrid>
      <w:tr w:rsidR="000D17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Powierzchnia budynku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Podatek</w:t>
            </w:r>
          </w:p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w 20</w:t>
            </w:r>
            <w:r>
              <w:rPr>
                <w:b/>
                <w:color w:val="000000"/>
                <w:szCs w:val="20"/>
                <w:u w:color="000000"/>
              </w:rPr>
              <w:t>23</w:t>
            </w: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 r.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Podatek</w:t>
            </w:r>
          </w:p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w 202</w:t>
            </w:r>
            <w:r>
              <w:rPr>
                <w:b/>
                <w:color w:val="000000"/>
                <w:szCs w:val="20"/>
                <w:u w:color="000000"/>
              </w:rPr>
              <w:t>4</w:t>
            </w: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 r.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Kwota zwiększenia obciążenia za rok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Kwota zwiększenia obciążenia</w:t>
            </w:r>
          </w:p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za 1 m-c</w:t>
            </w:r>
          </w:p>
        </w:tc>
      </w:tr>
      <w:tr w:rsidR="000D17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500 m²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14.390 zł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 xml:space="preserve"> 16.550 zł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2.160 zł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3C" w:rsidRDefault="004F0E77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180 zł</w:t>
            </w:r>
          </w:p>
        </w:tc>
      </w:tr>
    </w:tbl>
    <w:p w:rsidR="000D173C" w:rsidRDefault="004F0E77">
      <w:pPr>
        <w:keepLines/>
        <w:spacing w:before="120" w:after="120" w:line="360" w:lineRule="auto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  <w:lang w:val="x-none" w:eastAsia="en-US" w:bidi="ar-SA"/>
        </w:rPr>
        <w:br/>
        <w:t xml:space="preserve">Z powyższego wynika, że wzrost obciążenia z tytułu podatku od nieruchomości będzie </w:t>
      </w:r>
      <w:r>
        <w:rPr>
          <w:color w:val="000000"/>
          <w:szCs w:val="20"/>
          <w:u w:color="000000"/>
        </w:rPr>
        <w:t>wynosił w</w:t>
      </w:r>
      <w:r>
        <w:rPr>
          <w:color w:val="000000"/>
          <w:szCs w:val="20"/>
          <w:u w:color="000000"/>
          <w:lang w:val="x-none" w:eastAsia="en-US" w:bidi="ar-SA"/>
        </w:rPr>
        <w:t xml:space="preserve"> skali roku</w:t>
      </w:r>
      <w:r>
        <w:rPr>
          <w:color w:val="000000"/>
          <w:szCs w:val="20"/>
          <w:u w:color="000000"/>
        </w:rPr>
        <w:t>:</w:t>
      </w:r>
      <w:r>
        <w:rPr>
          <w:color w:val="000000"/>
          <w:szCs w:val="20"/>
          <w:u w:color="000000"/>
          <w:lang w:val="x-none" w:eastAsia="en-US" w:bidi="ar-SA"/>
        </w:rPr>
        <w:t xml:space="preserve"> </w:t>
      </w:r>
      <w:r>
        <w:rPr>
          <w:color w:val="000000"/>
          <w:szCs w:val="20"/>
          <w:u w:color="000000"/>
        </w:rPr>
        <w:t>432</w:t>
      </w:r>
      <w:r>
        <w:rPr>
          <w:color w:val="000000"/>
          <w:szCs w:val="20"/>
          <w:u w:color="000000"/>
          <w:lang w:val="x-none" w:eastAsia="en-US" w:bidi="ar-SA"/>
        </w:rPr>
        <w:t> zł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dla małych i</w:t>
      </w:r>
      <w:r>
        <w:rPr>
          <w:color w:val="000000"/>
          <w:szCs w:val="20"/>
          <w:u w:color="000000"/>
        </w:rPr>
        <w:t xml:space="preserve"> 2.160</w:t>
      </w:r>
      <w:r>
        <w:rPr>
          <w:color w:val="000000"/>
          <w:szCs w:val="20"/>
          <w:u w:color="000000"/>
          <w:lang w:val="x-none" w:eastAsia="en-US" w:bidi="ar-SA"/>
        </w:rPr>
        <w:t xml:space="preserve"> zł dla średnich przedsiębiorców.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  <w:lang w:val="x-none" w:eastAsia="en-US" w:bidi="ar-SA"/>
        </w:rPr>
        <w:t>ależy zaznaczyć, że podatek od nieruchomości stanowi dla przedsiębiorców jeden z kosztów uzyskania przychodu, które podlegają odliczeniu w celu ustalenia dochodu podlegającego opodatkowaniu podatkiem dochodowym. W strukturze kosztów podatek od nieruchomości nie stanowi istotnego wydatku dla rentowności firm, jak i dla utrzymania gospodarstw domowych.</w:t>
      </w:r>
      <w:r>
        <w:rPr>
          <w:color w:val="000000"/>
          <w:szCs w:val="20"/>
          <w:u w:color="000000"/>
        </w:rPr>
        <w:t xml:space="preserve"> </w:t>
      </w:r>
    </w:p>
    <w:p w:rsidR="000D173C" w:rsidRDefault="004F0E77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Na </w:t>
      </w:r>
      <w:r>
        <w:rPr>
          <w:szCs w:val="20"/>
        </w:rPr>
        <w:t xml:space="preserve">wzrost </w:t>
      </w:r>
      <w:r>
        <w:rPr>
          <w:szCs w:val="20"/>
          <w:lang w:val="x-none" w:eastAsia="en-US" w:bidi="ar-SA"/>
        </w:rPr>
        <w:t xml:space="preserve">stawek </w:t>
      </w:r>
      <w:r>
        <w:rPr>
          <w:szCs w:val="20"/>
        </w:rPr>
        <w:t xml:space="preserve">podatkowych istotny </w:t>
      </w:r>
      <w:r>
        <w:rPr>
          <w:szCs w:val="20"/>
          <w:lang w:val="x-none" w:eastAsia="en-US" w:bidi="ar-SA"/>
        </w:rPr>
        <w:t xml:space="preserve">wpływ mają czynniki kształtujące gospodarkę, m.in. </w:t>
      </w:r>
      <w:r>
        <w:rPr>
          <w:szCs w:val="20"/>
        </w:rPr>
        <w:t xml:space="preserve">utrzymujący się na wysokim poziomie wskaźnik inflacji, </w:t>
      </w:r>
      <w:r>
        <w:rPr>
          <w:szCs w:val="20"/>
          <w:lang w:val="x-none" w:eastAsia="en-US" w:bidi="ar-SA"/>
        </w:rPr>
        <w:t>wysokie stopy procentowe, znaczący wzrost minimalnego wynagrodzenia, wprowadzenie rozwiązań podatkowych w ramach tzw. Polskiego Ładu, które ograniczyły udział gmin w dochodach z tytułu podatku dochodowego od osób fizycznych.</w:t>
      </w:r>
    </w:p>
    <w:p w:rsidR="000D173C" w:rsidRDefault="000D173C">
      <w:pPr>
        <w:keepLines/>
        <w:spacing w:before="120" w:after="120" w:line="360" w:lineRule="auto"/>
        <w:rPr>
          <w:color w:val="000000"/>
          <w:szCs w:val="20"/>
          <w:u w:color="000000"/>
          <w:lang w:val="x-none" w:eastAsia="en-US" w:bidi="ar-SA"/>
        </w:rPr>
      </w:pPr>
    </w:p>
    <w:sectPr w:rsidR="000D173C">
      <w:footerReference w:type="default" r:id="rId7"/>
      <w:endnotePr>
        <w:numFmt w:val="decimal"/>
      </w:endnotePr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77" w:rsidRDefault="004F0E77">
      <w:r>
        <w:separator/>
      </w:r>
    </w:p>
  </w:endnote>
  <w:endnote w:type="continuationSeparator" w:id="0">
    <w:p w:rsidR="004F0E77" w:rsidRDefault="004F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D173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73C" w:rsidRDefault="004F0E7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73C" w:rsidRDefault="004F0E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1D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971D26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0D173C" w:rsidRDefault="000D173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D173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73C" w:rsidRDefault="004F0E7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73C" w:rsidRDefault="004F0E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00DF9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F00DF9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0D173C" w:rsidRDefault="000D173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77" w:rsidRDefault="004F0E77">
      <w:r>
        <w:separator/>
      </w:r>
    </w:p>
  </w:footnote>
  <w:footnote w:type="continuationSeparator" w:id="0">
    <w:p w:rsidR="004F0E77" w:rsidRDefault="004F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D173C"/>
    <w:rsid w:val="004F0E77"/>
    <w:rsid w:val="00971D26"/>
    <w:rsid w:val="00A77B3E"/>
    <w:rsid w:val="00AD66DE"/>
    <w:rsid w:val="00CA2A55"/>
    <w:rsid w:val="00F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58E7C1-CEBD-42B7-81E7-D1DCF9A2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określenia wysokości stawek podatku od nieruchomości.</dc:subject>
  <dc:creator>ezerek</dc:creator>
  <cp:lastModifiedBy>Violetta Gandziarska</cp:lastModifiedBy>
  <cp:revision>2</cp:revision>
  <dcterms:created xsi:type="dcterms:W3CDTF">2023-10-23T09:01:00Z</dcterms:created>
  <dcterms:modified xsi:type="dcterms:W3CDTF">2023-10-23T09:01:00Z</dcterms:modified>
  <cp:category>Akt prawny</cp:category>
</cp:coreProperties>
</file>