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83" w:rsidRDefault="00EE5483" w:rsidP="00EE5483">
      <w:pPr>
        <w:tabs>
          <w:tab w:val="left" w:pos="6237"/>
        </w:tabs>
        <w:autoSpaceDE w:val="0"/>
        <w:autoSpaceDN w:val="0"/>
        <w:adjustRightInd w:val="0"/>
        <w:spacing w:after="0" w:line="240" w:lineRule="auto"/>
        <w:ind w:left="43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Druk Nr 245/2023</w:t>
      </w:r>
    </w:p>
    <w:p w:rsidR="00EE5483" w:rsidRDefault="00EE5483" w:rsidP="00EE5483">
      <w:pPr>
        <w:tabs>
          <w:tab w:val="left" w:pos="5529"/>
        </w:tabs>
        <w:autoSpaceDE w:val="0"/>
        <w:autoSpaceDN w:val="0"/>
        <w:adjustRightInd w:val="0"/>
        <w:spacing w:after="0" w:line="240" w:lineRule="auto"/>
        <w:ind w:left="4956"/>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Projekt z dnia 31 października  2023 r.</w:t>
      </w:r>
    </w:p>
    <w:p w:rsidR="008A02E5" w:rsidRDefault="008A02E5" w:rsidP="008A02E5">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p>
    <w:p w:rsidR="008A02E5" w:rsidRPr="008A02E5" w:rsidRDefault="008A02E5" w:rsidP="008A02E5">
      <w:pPr>
        <w:autoSpaceDE w:val="0"/>
        <w:autoSpaceDN w:val="0"/>
        <w:adjustRightInd w:val="0"/>
        <w:spacing w:after="0" w:line="240" w:lineRule="auto"/>
        <w:jc w:val="center"/>
        <w:rPr>
          <w:rFonts w:ascii="Times New Roman" w:eastAsia="Times New Roman" w:hAnsi="Times New Roman" w:cs="Times New Roman"/>
          <w:b/>
          <w:bCs/>
          <w:caps/>
          <w:sz w:val="24"/>
          <w:szCs w:val="24"/>
          <w:lang w:eastAsia="pl-PL"/>
        </w:rPr>
      </w:pPr>
      <w:r w:rsidRPr="008A02E5">
        <w:rPr>
          <w:rFonts w:ascii="Times New Roman" w:eastAsia="Times New Roman" w:hAnsi="Times New Roman" w:cs="Times New Roman"/>
          <w:b/>
          <w:bCs/>
          <w:caps/>
          <w:sz w:val="24"/>
          <w:szCs w:val="24"/>
          <w:lang w:eastAsia="pl-PL"/>
        </w:rPr>
        <w:t>Uchwała Nr                     </w:t>
      </w:r>
      <w:r w:rsidRPr="008A02E5">
        <w:rPr>
          <w:rFonts w:ascii="Times New Roman" w:eastAsia="Times New Roman" w:hAnsi="Times New Roman" w:cs="Times New Roman"/>
          <w:b/>
          <w:bCs/>
          <w:caps/>
          <w:sz w:val="24"/>
          <w:szCs w:val="24"/>
          <w:lang w:eastAsia="pl-PL"/>
        </w:rPr>
        <w:br/>
        <w:t>Rady Miejskiej w Łodzi</w:t>
      </w:r>
    </w:p>
    <w:p w:rsidR="00EE5483" w:rsidRDefault="00EE5483" w:rsidP="00EE5483">
      <w:pPr>
        <w:autoSpaceDE w:val="0"/>
        <w:autoSpaceDN w:val="0"/>
        <w:adjustRightInd w:val="0"/>
        <w:spacing w:before="240" w:after="240" w:line="240" w:lineRule="auto"/>
        <w:jc w:val="cente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sz w:val="24"/>
          <w:szCs w:val="24"/>
          <w:lang w:eastAsia="pl-PL"/>
        </w:rPr>
        <w:t>z dnia                    2023 r.</w:t>
      </w:r>
    </w:p>
    <w:p w:rsidR="008A02E5" w:rsidRPr="008A02E5" w:rsidRDefault="008A02E5" w:rsidP="008A02E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A02E5">
        <w:rPr>
          <w:rFonts w:ascii="Times New Roman" w:eastAsia="Times New Roman" w:hAnsi="Times New Roman" w:cs="Times New Roman"/>
          <w:b/>
          <w:bCs/>
          <w:sz w:val="24"/>
          <w:szCs w:val="24"/>
          <w:lang w:eastAsia="pl-PL"/>
        </w:rPr>
        <w:t>w sprawie powołania Komitetu Audytu dla miasta Łodzi.</w:t>
      </w:r>
    </w:p>
    <w:p w:rsidR="005F1A05" w:rsidRDefault="005F1A05" w:rsidP="00EE5483">
      <w:pPr>
        <w:keepLines/>
        <w:autoSpaceDE w:val="0"/>
        <w:autoSpaceDN w:val="0"/>
        <w:adjustRightInd w:val="0"/>
        <w:spacing w:before="120" w:after="120" w:line="240" w:lineRule="auto"/>
        <w:ind w:firstLine="567"/>
        <w:jc w:val="both"/>
        <w:rPr>
          <w:rFonts w:ascii="Times New Roman" w:eastAsia="Times New Roman" w:hAnsi="Times New Roman" w:cs="Times New Roman"/>
          <w:sz w:val="24"/>
          <w:szCs w:val="24"/>
          <w:lang w:eastAsia="pl-PL"/>
        </w:rPr>
      </w:pPr>
    </w:p>
    <w:p w:rsidR="008A02E5" w:rsidRPr="008A02E5" w:rsidRDefault="008A02E5" w:rsidP="00EE5483">
      <w:pPr>
        <w:keepLines/>
        <w:autoSpaceDE w:val="0"/>
        <w:autoSpaceDN w:val="0"/>
        <w:adjustRightInd w:val="0"/>
        <w:spacing w:before="120" w:after="120" w:line="240" w:lineRule="auto"/>
        <w:ind w:firstLine="567"/>
        <w:jc w:val="both"/>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Na podstawie art. 18 ust. 2 pkt 15 ustawy z dnia 8 marca 1990 r. o samorządzie</w:t>
      </w:r>
      <w:r w:rsidR="00EE5483">
        <w:rPr>
          <w:rFonts w:ascii="Times New Roman" w:eastAsia="Times New Roman" w:hAnsi="Times New Roman" w:cs="Times New Roman"/>
          <w:sz w:val="24"/>
          <w:szCs w:val="24"/>
          <w:lang w:eastAsia="pl-PL"/>
        </w:rPr>
        <w:br/>
      </w:r>
      <w:r w:rsidRPr="008A02E5">
        <w:rPr>
          <w:rFonts w:ascii="Times New Roman" w:eastAsia="Times New Roman" w:hAnsi="Times New Roman" w:cs="Times New Roman"/>
          <w:sz w:val="24"/>
          <w:szCs w:val="24"/>
          <w:lang w:eastAsia="pl-PL"/>
        </w:rPr>
        <w:t xml:space="preserve">gminnym (Dz. U. z 2023 r. poz. 40, 572, 1463 i 1688) oraz art. 128 ust. 1 i 4 pkt 2 ustawy </w:t>
      </w:r>
      <w:r w:rsidR="00EE5483">
        <w:rPr>
          <w:rFonts w:ascii="Times New Roman" w:eastAsia="Times New Roman" w:hAnsi="Times New Roman" w:cs="Times New Roman"/>
          <w:sz w:val="24"/>
          <w:szCs w:val="24"/>
          <w:lang w:eastAsia="pl-PL"/>
        </w:rPr>
        <w:br/>
      </w:r>
      <w:r w:rsidRPr="008A02E5">
        <w:rPr>
          <w:rFonts w:ascii="Times New Roman" w:eastAsia="Times New Roman" w:hAnsi="Times New Roman" w:cs="Times New Roman"/>
          <w:sz w:val="24"/>
          <w:szCs w:val="24"/>
          <w:lang w:eastAsia="pl-PL"/>
        </w:rPr>
        <w:t>z dnia 11 maja 2017 r. o biegłych rewidentach, firmach audytorskich oraz nadzorze</w:t>
      </w:r>
      <w:r w:rsidR="00EE5483">
        <w:rPr>
          <w:rFonts w:ascii="Times New Roman" w:eastAsia="Times New Roman" w:hAnsi="Times New Roman" w:cs="Times New Roman"/>
          <w:sz w:val="24"/>
          <w:szCs w:val="24"/>
          <w:lang w:eastAsia="pl-PL"/>
        </w:rPr>
        <w:br/>
      </w:r>
      <w:r w:rsidRPr="008A02E5">
        <w:rPr>
          <w:rFonts w:ascii="Times New Roman" w:eastAsia="Times New Roman" w:hAnsi="Times New Roman" w:cs="Times New Roman"/>
          <w:sz w:val="24"/>
          <w:szCs w:val="24"/>
          <w:lang w:eastAsia="pl-PL"/>
        </w:rPr>
        <w:t xml:space="preserve">publicznym (Dz. U. z 2023 r. poz. 1015, 1723 i 1843), Rada Miejska w Łodzi </w:t>
      </w:r>
    </w:p>
    <w:p w:rsidR="008A02E5" w:rsidRPr="008A02E5" w:rsidRDefault="008A02E5" w:rsidP="008A02E5">
      <w:pPr>
        <w:autoSpaceDE w:val="0"/>
        <w:autoSpaceDN w:val="0"/>
        <w:adjustRightInd w:val="0"/>
        <w:spacing w:after="120" w:line="240" w:lineRule="auto"/>
        <w:jc w:val="center"/>
        <w:rPr>
          <w:rFonts w:ascii="Times New Roman" w:eastAsia="Times New Roman" w:hAnsi="Times New Roman" w:cs="Times New Roman"/>
          <w:b/>
          <w:bCs/>
          <w:sz w:val="24"/>
          <w:szCs w:val="24"/>
          <w:lang w:eastAsia="pl-PL"/>
        </w:rPr>
      </w:pPr>
    </w:p>
    <w:p w:rsidR="008A02E5" w:rsidRPr="008A02E5" w:rsidRDefault="008A02E5" w:rsidP="008A02E5">
      <w:pPr>
        <w:autoSpaceDE w:val="0"/>
        <w:autoSpaceDN w:val="0"/>
        <w:adjustRightInd w:val="0"/>
        <w:spacing w:after="120" w:line="240" w:lineRule="auto"/>
        <w:jc w:val="center"/>
        <w:rPr>
          <w:rFonts w:ascii="Times New Roman" w:eastAsia="Times New Roman" w:hAnsi="Times New Roman" w:cs="Times New Roman"/>
          <w:b/>
          <w:bCs/>
          <w:sz w:val="24"/>
          <w:szCs w:val="24"/>
          <w:lang w:eastAsia="pl-PL"/>
        </w:rPr>
      </w:pPr>
      <w:r w:rsidRPr="008A02E5">
        <w:rPr>
          <w:rFonts w:ascii="Times New Roman" w:eastAsia="Times New Roman" w:hAnsi="Times New Roman" w:cs="Times New Roman"/>
          <w:b/>
          <w:bCs/>
          <w:sz w:val="24"/>
          <w:szCs w:val="24"/>
          <w:lang w:eastAsia="pl-PL"/>
        </w:rPr>
        <w:t>uchwala, co następuje:</w:t>
      </w:r>
    </w:p>
    <w:p w:rsidR="008A02E5" w:rsidRPr="008A02E5" w:rsidRDefault="008A02E5" w:rsidP="008A02E5">
      <w:pPr>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 1. Powołuje się Komitet Audytu dla miasta Łodzi w składzie:</w:t>
      </w: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8A02E5" w:rsidRPr="008A02E5" w:rsidRDefault="008A02E5" w:rsidP="008A02E5">
      <w:pPr>
        <w:numPr>
          <w:ilvl w:val="0"/>
          <w:numId w:val="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p>
    <w:p w:rsidR="008A02E5" w:rsidRPr="008A02E5" w:rsidRDefault="008A02E5" w:rsidP="008A02E5">
      <w:pPr>
        <w:autoSpaceDE w:val="0"/>
        <w:autoSpaceDN w:val="0"/>
        <w:adjustRightInd w:val="0"/>
        <w:spacing w:after="0" w:line="240" w:lineRule="auto"/>
        <w:ind w:left="227" w:hanging="227"/>
        <w:jc w:val="both"/>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2) </w:t>
      </w:r>
    </w:p>
    <w:p w:rsidR="008A02E5" w:rsidRPr="008A02E5" w:rsidRDefault="008A02E5" w:rsidP="008A02E5">
      <w:pPr>
        <w:autoSpaceDE w:val="0"/>
        <w:autoSpaceDN w:val="0"/>
        <w:adjustRightInd w:val="0"/>
        <w:spacing w:after="0" w:line="240" w:lineRule="auto"/>
        <w:ind w:left="227" w:hanging="227"/>
        <w:jc w:val="both"/>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3) </w:t>
      </w:r>
    </w:p>
    <w:p w:rsidR="008A02E5" w:rsidRPr="008A02E5" w:rsidRDefault="008A02E5" w:rsidP="008A02E5">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 xml:space="preserve">§ 2. Przewodniczącego Komitetu Audytu dla miasta Łodzi powołują Członkowie </w:t>
      </w:r>
      <w:r w:rsidR="006C777C">
        <w:rPr>
          <w:rFonts w:ascii="Times New Roman" w:eastAsia="Times New Roman" w:hAnsi="Times New Roman" w:cs="Times New Roman"/>
          <w:sz w:val="24"/>
          <w:szCs w:val="24"/>
          <w:lang w:eastAsia="pl-PL"/>
        </w:rPr>
        <w:br/>
      </w:r>
      <w:bookmarkStart w:id="0" w:name="_GoBack"/>
      <w:bookmarkEnd w:id="0"/>
      <w:r w:rsidRPr="008A02E5">
        <w:rPr>
          <w:rFonts w:ascii="Times New Roman" w:eastAsia="Times New Roman" w:hAnsi="Times New Roman" w:cs="Times New Roman"/>
          <w:sz w:val="24"/>
          <w:szCs w:val="24"/>
          <w:lang w:eastAsia="pl-PL"/>
        </w:rPr>
        <w:t>Komitetu Audytu dla miasta Łodzi.</w:t>
      </w: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sz w:val="24"/>
          <w:szCs w:val="24"/>
          <w:lang w:eastAsia="pl-PL"/>
        </w:rPr>
      </w:pP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r w:rsidRPr="008A02E5">
        <w:rPr>
          <w:rFonts w:ascii="Times New Roman" w:eastAsia="Times New Roman" w:hAnsi="Times New Roman" w:cs="Times New Roman"/>
          <w:color w:val="000000"/>
          <w:sz w:val="24"/>
          <w:szCs w:val="24"/>
          <w:u w:color="000000"/>
          <w:lang w:eastAsia="pl-PL"/>
        </w:rPr>
        <w:t>§ 3. Uchwała wchodzi w życie z dniem podjęcia.</w:t>
      </w:r>
    </w:p>
    <w:p w:rsidR="008A02E5" w:rsidRPr="008A02E5" w:rsidRDefault="008A02E5" w:rsidP="008A02E5">
      <w:pPr>
        <w:keepLine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p>
    <w:tbl>
      <w:tblPr>
        <w:tblStyle w:val="Tabela-Prosty1"/>
        <w:tblW w:w="5000" w:type="pct"/>
        <w:tblBorders>
          <w:top w:val="none" w:sz="4" w:space="0" w:color="auto"/>
          <w:left w:val="none" w:sz="4" w:space="0" w:color="auto"/>
          <w:bottom w:val="none" w:sz="4" w:space="0" w:color="auto"/>
          <w:right w:val="none" w:sz="4" w:space="0" w:color="auto"/>
        </w:tblBorders>
        <w:tblCellMar>
          <w:left w:w="108" w:type="dxa"/>
          <w:right w:w="108" w:type="dxa"/>
        </w:tblCellMar>
        <w:tblLook w:val="04A0" w:firstRow="1" w:lastRow="0" w:firstColumn="1" w:lastColumn="0" w:noHBand="0" w:noVBand="1"/>
      </w:tblPr>
      <w:tblGrid>
        <w:gridCol w:w="4607"/>
        <w:gridCol w:w="4608"/>
      </w:tblGrid>
      <w:tr w:rsidR="008A02E5" w:rsidRPr="008A02E5">
        <w:tc>
          <w:tcPr>
            <w:tcW w:w="2500" w:type="pct"/>
            <w:tcBorders>
              <w:top w:val="none" w:sz="4" w:space="0" w:color="auto"/>
              <w:bottom w:val="none" w:sz="4" w:space="0" w:color="auto"/>
              <w:right w:val="none" w:sz="4" w:space="0" w:color="auto"/>
            </w:tcBorders>
            <w:tcMar>
              <w:top w:w="0" w:type="dxa"/>
              <w:left w:w="108" w:type="dxa"/>
              <w:bottom w:w="0" w:type="dxa"/>
              <w:right w:w="108" w:type="dxa"/>
            </w:tcMar>
          </w:tcPr>
          <w:p w:rsidR="008A02E5" w:rsidRPr="008A02E5" w:rsidRDefault="008A02E5" w:rsidP="008A02E5">
            <w:pPr>
              <w:keepLines/>
              <w:spacing w:before="120" w:after="120"/>
              <w:jc w:val="both"/>
              <w:rPr>
                <w:color w:val="000000"/>
                <w:sz w:val="24"/>
                <w:szCs w:val="24"/>
              </w:rPr>
            </w:pPr>
          </w:p>
        </w:tc>
        <w:tc>
          <w:tcPr>
            <w:tcW w:w="2500" w:type="pct"/>
            <w:tcBorders>
              <w:top w:val="none" w:sz="4" w:space="0" w:color="auto"/>
              <w:left w:val="none" w:sz="4" w:space="0" w:color="auto"/>
              <w:bottom w:val="none" w:sz="4" w:space="0" w:color="auto"/>
            </w:tcBorders>
            <w:tcMar>
              <w:top w:w="0" w:type="dxa"/>
              <w:left w:w="108" w:type="dxa"/>
              <w:bottom w:w="0" w:type="dxa"/>
              <w:right w:w="108" w:type="dxa"/>
            </w:tcMar>
          </w:tcPr>
          <w:p w:rsidR="00EE5483" w:rsidRPr="00EE5483" w:rsidRDefault="008A02E5" w:rsidP="008A02E5">
            <w:pPr>
              <w:keepLines/>
              <w:spacing w:before="120" w:after="120"/>
              <w:jc w:val="center"/>
              <w:rPr>
                <w:b/>
                <w:color w:val="000000"/>
                <w:sz w:val="24"/>
                <w:szCs w:val="24"/>
                <w:u w:color="000000"/>
              </w:rPr>
            </w:pPr>
            <w:r w:rsidRPr="00EE5483">
              <w:rPr>
                <w:b/>
                <w:color w:val="000000"/>
                <w:sz w:val="24"/>
                <w:szCs w:val="24"/>
                <w:u w:color="000000"/>
              </w:rPr>
              <w:fldChar w:fldCharType="begin"/>
            </w:r>
            <w:r w:rsidRPr="00EE5483">
              <w:rPr>
                <w:b/>
                <w:color w:val="000000"/>
                <w:sz w:val="24"/>
                <w:szCs w:val="24"/>
                <w:u w:color="000000"/>
              </w:rPr>
              <w:instrText>SIGNATURE_0_1_FUNCTION</w:instrText>
            </w:r>
            <w:r w:rsidRPr="00EE5483">
              <w:rPr>
                <w:b/>
                <w:color w:val="000000"/>
                <w:sz w:val="24"/>
                <w:szCs w:val="24"/>
                <w:u w:color="000000"/>
              </w:rPr>
              <w:fldChar w:fldCharType="separate"/>
            </w:r>
            <w:r w:rsidRPr="00EE5483">
              <w:rPr>
                <w:b/>
                <w:color w:val="000000"/>
                <w:sz w:val="24"/>
                <w:szCs w:val="24"/>
                <w:u w:color="000000"/>
              </w:rPr>
              <w:t>Przewodniczący</w:t>
            </w:r>
          </w:p>
          <w:p w:rsidR="008A02E5" w:rsidRPr="00EE5483" w:rsidRDefault="008A02E5" w:rsidP="008A02E5">
            <w:pPr>
              <w:keepLines/>
              <w:spacing w:before="120" w:after="120"/>
              <w:jc w:val="center"/>
              <w:rPr>
                <w:b/>
                <w:color w:val="000000"/>
                <w:sz w:val="24"/>
                <w:szCs w:val="24"/>
              </w:rPr>
            </w:pPr>
            <w:r w:rsidRPr="00EE5483">
              <w:rPr>
                <w:b/>
                <w:color w:val="000000"/>
                <w:sz w:val="24"/>
                <w:szCs w:val="24"/>
                <w:u w:color="000000"/>
              </w:rPr>
              <w:t>Rady Miejskiej w Łodzi</w:t>
            </w:r>
            <w:r w:rsidRPr="00EE5483">
              <w:rPr>
                <w:b/>
                <w:color w:val="000000"/>
                <w:sz w:val="24"/>
                <w:szCs w:val="24"/>
                <w:u w:color="000000"/>
              </w:rPr>
              <w:fldChar w:fldCharType="end"/>
            </w:r>
          </w:p>
          <w:p w:rsidR="008A02E5" w:rsidRPr="00EE5483" w:rsidRDefault="008A02E5" w:rsidP="008A02E5">
            <w:pPr>
              <w:keepLines/>
              <w:spacing w:before="120" w:after="120"/>
              <w:jc w:val="center"/>
              <w:rPr>
                <w:b/>
                <w:color w:val="000000"/>
                <w:sz w:val="24"/>
                <w:szCs w:val="24"/>
              </w:rPr>
            </w:pPr>
            <w:r w:rsidRPr="00EE5483">
              <w:rPr>
                <w:b/>
                <w:color w:val="000000"/>
                <w:sz w:val="24"/>
                <w:szCs w:val="24"/>
                <w:u w:color="000000"/>
              </w:rPr>
              <w:t xml:space="preserve"> </w:t>
            </w:r>
          </w:p>
          <w:p w:rsidR="008A02E5" w:rsidRPr="008A02E5" w:rsidRDefault="008A02E5" w:rsidP="008A02E5">
            <w:pPr>
              <w:keepLines/>
              <w:spacing w:before="120" w:after="120"/>
              <w:jc w:val="center"/>
              <w:rPr>
                <w:color w:val="000000"/>
                <w:sz w:val="24"/>
                <w:szCs w:val="24"/>
              </w:rPr>
            </w:pPr>
            <w:r w:rsidRPr="008A02E5">
              <w:rPr>
                <w:color w:val="000000"/>
                <w:sz w:val="24"/>
                <w:szCs w:val="24"/>
                <w:u w:color="000000"/>
              </w:rPr>
              <w:fldChar w:fldCharType="begin"/>
            </w:r>
            <w:r w:rsidRPr="008A02E5">
              <w:rPr>
                <w:color w:val="000000"/>
                <w:sz w:val="24"/>
                <w:szCs w:val="24"/>
                <w:u w:color="000000"/>
              </w:rPr>
              <w:instrText>SIGNATURE_0_1_FIRSTNAME</w:instrText>
            </w:r>
            <w:r w:rsidRPr="008A02E5">
              <w:rPr>
                <w:color w:val="000000"/>
                <w:sz w:val="24"/>
                <w:szCs w:val="24"/>
                <w:u w:color="000000"/>
              </w:rPr>
              <w:fldChar w:fldCharType="separate"/>
            </w:r>
            <w:r w:rsidRPr="008A02E5">
              <w:rPr>
                <w:b/>
                <w:bCs/>
                <w:color w:val="000000"/>
                <w:sz w:val="24"/>
                <w:szCs w:val="24"/>
                <w:u w:color="000000"/>
              </w:rPr>
              <w:t xml:space="preserve">Marcin </w:t>
            </w:r>
            <w:r w:rsidRPr="008A02E5">
              <w:rPr>
                <w:color w:val="000000"/>
                <w:sz w:val="24"/>
                <w:szCs w:val="24"/>
                <w:u w:color="000000"/>
              </w:rPr>
              <w:fldChar w:fldCharType="end"/>
            </w:r>
            <w:r w:rsidRPr="008A02E5">
              <w:rPr>
                <w:color w:val="000000"/>
                <w:sz w:val="24"/>
                <w:szCs w:val="24"/>
                <w:u w:color="000000"/>
              </w:rPr>
              <w:fldChar w:fldCharType="begin"/>
            </w:r>
            <w:r w:rsidRPr="008A02E5">
              <w:rPr>
                <w:color w:val="000000"/>
                <w:sz w:val="24"/>
                <w:szCs w:val="24"/>
                <w:u w:color="000000"/>
              </w:rPr>
              <w:instrText>SIGNATURE_0_1_LASTNAME</w:instrText>
            </w:r>
            <w:r w:rsidRPr="008A02E5">
              <w:rPr>
                <w:color w:val="000000"/>
                <w:sz w:val="24"/>
                <w:szCs w:val="24"/>
                <w:u w:color="000000"/>
              </w:rPr>
              <w:fldChar w:fldCharType="separate"/>
            </w:r>
            <w:r w:rsidRPr="008A02E5">
              <w:rPr>
                <w:b/>
                <w:bCs/>
                <w:color w:val="000000"/>
                <w:sz w:val="24"/>
                <w:szCs w:val="24"/>
                <w:u w:color="000000"/>
              </w:rPr>
              <w:t>GOŁASZEWSKI</w:t>
            </w:r>
            <w:r w:rsidRPr="008A02E5">
              <w:rPr>
                <w:color w:val="000000"/>
                <w:sz w:val="24"/>
                <w:szCs w:val="24"/>
                <w:u w:color="000000"/>
              </w:rPr>
              <w:fldChar w:fldCharType="end"/>
            </w:r>
          </w:p>
        </w:tc>
      </w:tr>
    </w:tbl>
    <w:p w:rsidR="008A02E5" w:rsidRPr="008A02E5" w:rsidRDefault="008A02E5" w:rsidP="008A02E5">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sz w:val="24"/>
          <w:szCs w:val="24"/>
          <w:lang w:eastAsia="pl-PL"/>
        </w:rPr>
      </w:pPr>
    </w:p>
    <w:p w:rsidR="008A02E5" w:rsidRPr="008A02E5" w:rsidRDefault="008A02E5" w:rsidP="008A02E5">
      <w:pPr>
        <w:autoSpaceDE w:val="0"/>
        <w:autoSpaceDN w:val="0"/>
        <w:adjustRightInd w:val="0"/>
        <w:spacing w:after="0" w:line="240" w:lineRule="auto"/>
        <w:jc w:val="both"/>
        <w:outlineLvl w:val="0"/>
        <w:rPr>
          <w:rFonts w:ascii="Times New Roman" w:eastAsia="Times New Roman" w:hAnsi="Times New Roman" w:cs="Times New Roman"/>
          <w:sz w:val="24"/>
          <w:szCs w:val="24"/>
          <w:lang w:eastAsia="pl-PL"/>
        </w:rPr>
      </w:pPr>
      <w:r w:rsidRPr="008A02E5">
        <w:rPr>
          <w:rFonts w:ascii="Times New Roman" w:eastAsia="Times New Roman" w:hAnsi="Times New Roman" w:cs="Times New Roman"/>
          <w:sz w:val="24"/>
          <w:szCs w:val="24"/>
          <w:lang w:eastAsia="pl-PL"/>
        </w:rPr>
        <w:t>Projektodawcą jest</w:t>
      </w:r>
    </w:p>
    <w:p w:rsidR="008A02E5" w:rsidRPr="008A02E5" w:rsidRDefault="008A02E5" w:rsidP="008A02E5">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pl-PL"/>
        </w:rPr>
      </w:pPr>
      <w:r w:rsidRPr="008A02E5">
        <w:rPr>
          <w:rFonts w:ascii="Times New Roman" w:eastAsia="Times New Roman" w:hAnsi="Times New Roman" w:cs="Times New Roman"/>
          <w:sz w:val="24"/>
          <w:szCs w:val="24"/>
          <w:lang w:eastAsia="pl-PL"/>
        </w:rPr>
        <w:t>Prezydent Miasta Łodzi</w:t>
      </w:r>
    </w:p>
    <w:p w:rsidR="00F24456" w:rsidRDefault="006C777C"/>
    <w:p w:rsidR="00AF4AF4" w:rsidRDefault="00AF4AF4"/>
    <w:p w:rsidR="00AF4AF4" w:rsidRDefault="00AF4AF4"/>
    <w:p w:rsidR="00AF4AF4" w:rsidRDefault="00AF4AF4"/>
    <w:p w:rsidR="00AF4AF4" w:rsidRDefault="00AF4AF4"/>
    <w:p w:rsidR="00AF4AF4" w:rsidRDefault="00AF4AF4"/>
    <w:p w:rsidR="00AF4AF4" w:rsidRDefault="00AF4AF4"/>
    <w:p w:rsidR="00AF4AF4" w:rsidRPr="00E44EE7" w:rsidRDefault="00AF4AF4" w:rsidP="00AF4AF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r w:rsidRPr="00E44EE7">
        <w:rPr>
          <w:rFonts w:ascii="Times New Roman" w:eastAsia="Times New Roman" w:hAnsi="Times New Roman" w:cs="Times New Roman"/>
          <w:b/>
          <w:bCs/>
          <w:sz w:val="24"/>
          <w:szCs w:val="24"/>
          <w:lang w:eastAsia="pl-PL"/>
        </w:rPr>
        <w:lastRenderedPageBreak/>
        <w:t>Uzasadnienie</w:t>
      </w:r>
    </w:p>
    <w:p w:rsidR="00AF4AF4" w:rsidRPr="00E44EE7" w:rsidRDefault="00AF4AF4" w:rsidP="00AF4AF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p>
    <w:p w:rsidR="00AF4AF4" w:rsidRDefault="00AF4AF4" w:rsidP="00AF4AF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r w:rsidRPr="00E44EE7">
        <w:rPr>
          <w:rFonts w:ascii="Times New Roman" w:eastAsia="Times New Roman" w:hAnsi="Times New Roman" w:cs="Times New Roman"/>
          <w:b/>
          <w:bCs/>
          <w:sz w:val="24"/>
          <w:szCs w:val="24"/>
          <w:lang w:eastAsia="pl-PL"/>
        </w:rPr>
        <w:t xml:space="preserve">do projektu uchwały w sprawie </w:t>
      </w:r>
      <w:r w:rsidRPr="00041A07">
        <w:rPr>
          <w:rFonts w:ascii="Times New Roman" w:eastAsia="Times New Roman" w:hAnsi="Times New Roman" w:cs="Times New Roman"/>
          <w:b/>
          <w:bCs/>
          <w:sz w:val="24"/>
          <w:szCs w:val="24"/>
          <w:lang w:eastAsia="pl-PL"/>
        </w:rPr>
        <w:t>powołania Komitetu Audytu dla miasta Łodzi</w:t>
      </w:r>
      <w:r w:rsidRPr="00E44EE7">
        <w:rPr>
          <w:rFonts w:ascii="Times New Roman" w:eastAsia="Times New Roman" w:hAnsi="Times New Roman" w:cs="Times New Roman"/>
          <w:b/>
          <w:bCs/>
          <w:sz w:val="24"/>
          <w:szCs w:val="24"/>
          <w:lang w:eastAsia="pl-PL"/>
        </w:rPr>
        <w:t xml:space="preserve"> </w:t>
      </w:r>
    </w:p>
    <w:p w:rsidR="00AF4AF4" w:rsidRDefault="00AF4AF4" w:rsidP="00AF4AF4">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pl-PL"/>
        </w:rPr>
      </w:pPr>
    </w:p>
    <w:p w:rsidR="00AF4AF4" w:rsidRPr="00E44EE7" w:rsidRDefault="00AF4AF4" w:rsidP="00AF4AF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pl-PL"/>
        </w:rPr>
      </w:pPr>
    </w:p>
    <w:p w:rsidR="00AF4AF4" w:rsidRDefault="00EC7F0A" w:rsidP="00EC7F0A">
      <w:pPr>
        <w:autoSpaceDE w:val="0"/>
        <w:autoSpaceDN w:val="0"/>
        <w:adjustRightInd w:val="0"/>
        <w:spacing w:after="120" w:line="276"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AF4AF4">
        <w:rPr>
          <w:rFonts w:ascii="Times New Roman" w:eastAsia="Times New Roman" w:hAnsi="Times New Roman" w:cs="Times New Roman"/>
          <w:sz w:val="24"/>
          <w:szCs w:val="24"/>
          <w:lang w:eastAsia="pl-PL"/>
        </w:rPr>
        <w:t>iasto Łódź podpisało w bieżącym roku umowy na emisję obligacji z bankami PEKAO SA i Bankiem PKO BP na łączna kwotę emisji  849.000.000 zł. Pozwoli to na wykonanie uchwały   Nr LXXII/2130/23 Rady Miejskiej w Łodzi z dnia 1 lutego 2023 r. w sprawie emisji obligacji komunalnych miasta Łodzi.</w:t>
      </w:r>
    </w:p>
    <w:p w:rsidR="00AF4AF4" w:rsidRDefault="00AF4AF4" w:rsidP="00EC7F0A">
      <w:pPr>
        <w:autoSpaceDE w:val="0"/>
        <w:autoSpaceDN w:val="0"/>
        <w:adjustRightInd w:val="0"/>
        <w:spacing w:after="120" w:line="27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Banki zaoferowały dwa warianty warunków finansowych: wariant </w:t>
      </w:r>
      <w:r w:rsidRPr="00D00EC5">
        <w:rPr>
          <w:rFonts w:ascii="Times New Roman" w:eastAsia="Times New Roman" w:hAnsi="Times New Roman" w:cs="Times New Roman"/>
          <w:sz w:val="24"/>
          <w:szCs w:val="24"/>
          <w:lang w:eastAsia="pl-PL"/>
        </w:rPr>
        <w:t>z wprowadz</w:t>
      </w:r>
      <w:r>
        <w:rPr>
          <w:rFonts w:ascii="Times New Roman" w:eastAsia="Times New Roman" w:hAnsi="Times New Roman" w:cs="Times New Roman"/>
          <w:sz w:val="24"/>
          <w:szCs w:val="24"/>
          <w:lang w:eastAsia="pl-PL"/>
        </w:rPr>
        <w:t>e</w:t>
      </w:r>
      <w:r w:rsidRPr="00D00EC5">
        <w:rPr>
          <w:rFonts w:ascii="Times New Roman" w:eastAsia="Times New Roman" w:hAnsi="Times New Roman" w:cs="Times New Roman"/>
          <w:sz w:val="24"/>
          <w:szCs w:val="24"/>
          <w:lang w:eastAsia="pl-PL"/>
        </w:rPr>
        <w:t>niem obligacji do obrotu na rynku regulowanym i wariant bez wprowadzenia obligacji do obrotu na rynku regulowanym</w:t>
      </w:r>
      <w:r>
        <w:rPr>
          <w:rFonts w:ascii="Times New Roman" w:eastAsia="Times New Roman" w:hAnsi="Times New Roman" w:cs="Times New Roman"/>
          <w:sz w:val="24"/>
          <w:szCs w:val="24"/>
          <w:lang w:eastAsia="pl-PL"/>
        </w:rPr>
        <w:t>. Opcja z wprowadzeniem obligacji do obrotu na rynku regulowanym ma dużo bardziej korzystne warunki finansowe. Zawarte umowy zawierają klauzulę o wprowadzeniu obligacji do obrotu regulowanego do dnia 31.03.2024 roku. Jeżeli do tego okresu to nie nastąpi, od następnego dnia zostaną podwyższone marże i w związku z tym koszty obsługi wyemitowanych obligacji znacznie wzrosną.</w:t>
      </w:r>
    </w:p>
    <w:p w:rsidR="00AF4AF4" w:rsidRDefault="00AF4AF4" w:rsidP="00EC7F0A">
      <w:pPr>
        <w:autoSpaceDE w:val="0"/>
        <w:autoSpaceDN w:val="0"/>
        <w:adjustRightInd w:val="0"/>
        <w:spacing w:after="120" w:line="276"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Wprowadzenie wyemitowanych przez miasto obligacji na rynek regulowany </w:t>
      </w:r>
      <w:proofErr w:type="spellStart"/>
      <w:r>
        <w:rPr>
          <w:rFonts w:ascii="Times New Roman" w:eastAsia="Times New Roman" w:hAnsi="Times New Roman" w:cs="Times New Roman"/>
          <w:sz w:val="24"/>
          <w:szCs w:val="24"/>
          <w:lang w:eastAsia="pl-PL"/>
        </w:rPr>
        <w:t>Catalyst</w:t>
      </w:r>
      <w:proofErr w:type="spellEnd"/>
      <w:r>
        <w:rPr>
          <w:rFonts w:ascii="Times New Roman" w:eastAsia="Times New Roman" w:hAnsi="Times New Roman" w:cs="Times New Roman"/>
          <w:sz w:val="24"/>
          <w:szCs w:val="24"/>
          <w:lang w:eastAsia="pl-PL"/>
        </w:rPr>
        <w:t xml:space="preserve"> prowadzony na platformach transakcyjnych Giełdy Papierów Wartościowych w Warszawie i </w:t>
      </w:r>
      <w:proofErr w:type="spellStart"/>
      <w:r>
        <w:rPr>
          <w:rFonts w:ascii="Times New Roman" w:eastAsia="Times New Roman" w:hAnsi="Times New Roman" w:cs="Times New Roman"/>
          <w:sz w:val="24"/>
          <w:szCs w:val="24"/>
          <w:lang w:eastAsia="pl-PL"/>
        </w:rPr>
        <w:t>BondSpot</w:t>
      </w:r>
      <w:proofErr w:type="spellEnd"/>
      <w:r>
        <w:rPr>
          <w:rFonts w:ascii="Times New Roman" w:eastAsia="Times New Roman" w:hAnsi="Times New Roman" w:cs="Times New Roman"/>
          <w:sz w:val="24"/>
          <w:szCs w:val="24"/>
          <w:lang w:eastAsia="pl-PL"/>
        </w:rPr>
        <w:t xml:space="preserve"> wiąże się z dodatkowymi obowiązkami dla miasta jak dodatkowa sprawozdawczość oraz powołanie Komitetu Audytu. </w:t>
      </w:r>
    </w:p>
    <w:p w:rsidR="00AF4AF4" w:rsidRDefault="00AF4AF4" w:rsidP="00EC7F0A">
      <w:pPr>
        <w:autoSpaceDE w:val="0"/>
        <w:autoSpaceDN w:val="0"/>
        <w:adjustRightInd w:val="0"/>
        <w:spacing w:after="120" w:line="276" w:lineRule="auto"/>
        <w:ind w:firstLine="567"/>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art. 128 ust. 1 ustawy z dnia 11 maja 2017 r. o biegłych rewidentach,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firmach audytorskich oraz nadzorze publicznym (</w:t>
      </w:r>
      <w:r w:rsidRPr="00460B03">
        <w:rPr>
          <w:rFonts w:ascii="Times New Roman" w:eastAsia="Times New Roman" w:hAnsi="Times New Roman" w:cs="Times New Roman"/>
          <w:sz w:val="24"/>
          <w:szCs w:val="24"/>
          <w:lang w:eastAsia="pl-PL"/>
        </w:rPr>
        <w:t>Dz. U. z 2023 r. poz.1015</w:t>
      </w:r>
      <w:r w:rsidRPr="00041A07">
        <w:rPr>
          <w:rFonts w:ascii="Times New Roman" w:eastAsia="Times New Roman" w:hAnsi="Times New Roman" w:cs="Times New Roman"/>
          <w:sz w:val="24"/>
          <w:szCs w:val="24"/>
          <w:lang w:eastAsia="pl-PL"/>
        </w:rPr>
        <w:t xml:space="preserve"> z </w:t>
      </w:r>
      <w:proofErr w:type="spellStart"/>
      <w:r w:rsidRPr="00041A07">
        <w:rPr>
          <w:rFonts w:ascii="Times New Roman" w:eastAsia="Times New Roman" w:hAnsi="Times New Roman" w:cs="Times New Roman"/>
          <w:sz w:val="24"/>
          <w:szCs w:val="24"/>
          <w:lang w:eastAsia="pl-PL"/>
        </w:rPr>
        <w:t>późn</w:t>
      </w:r>
      <w:proofErr w:type="spellEnd"/>
      <w:r w:rsidRPr="00041A07">
        <w:rPr>
          <w:rFonts w:ascii="Times New Roman" w:eastAsia="Times New Roman" w:hAnsi="Times New Roman" w:cs="Times New Roman"/>
          <w:sz w:val="24"/>
          <w:szCs w:val="24"/>
          <w:lang w:eastAsia="pl-PL"/>
        </w:rPr>
        <w:t>. zm.), w jednostkach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zainteresowania publicznego działa komitet audytu.</w:t>
      </w:r>
      <w:r>
        <w:rPr>
          <w:rFonts w:ascii="Times New Roman" w:eastAsia="Times New Roman" w:hAnsi="Times New Roman" w:cs="Times New Roman"/>
          <w:sz w:val="24"/>
          <w:szCs w:val="24"/>
          <w:lang w:eastAsia="pl-PL"/>
        </w:rPr>
        <w:t xml:space="preserve"> J</w:t>
      </w:r>
      <w:r w:rsidRPr="00041A07">
        <w:rPr>
          <w:rFonts w:ascii="Times New Roman" w:eastAsia="Times New Roman" w:hAnsi="Times New Roman" w:cs="Times New Roman"/>
          <w:sz w:val="24"/>
          <w:szCs w:val="24"/>
          <w:lang w:eastAsia="pl-PL"/>
        </w:rPr>
        <w:t>ednostkami zainteresowania</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publicznego są m.in. emitenci papierów wartościowych dopuszczonych do obrotu na rynku</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regulowanym państwa Unii Europejskiej, mający siedzibę na terenie Rzeczpospolitej Polskiej, których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sprawozdania finansowe objęte są obowiązkiem badania ustawowego.</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art. 2 pkt 9 lit. </w:t>
      </w:r>
      <w:r>
        <w:rPr>
          <w:rFonts w:ascii="Times New Roman" w:eastAsia="Times New Roman" w:hAnsi="Times New Roman" w:cs="Times New Roman"/>
          <w:sz w:val="24"/>
          <w:szCs w:val="24"/>
          <w:lang w:eastAsia="pl-PL"/>
        </w:rPr>
        <w:t>w/w ustawy).</w:t>
      </w:r>
    </w:p>
    <w:p w:rsidR="00AF4AF4" w:rsidRDefault="00AF4AF4" w:rsidP="00EC7F0A">
      <w:pPr>
        <w:autoSpaceDE w:val="0"/>
        <w:autoSpaceDN w:val="0"/>
        <w:adjustRightInd w:val="0"/>
        <w:spacing w:after="120" w:line="276"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Miasto Łódź </w:t>
      </w:r>
      <w:r w:rsidRPr="00041A07">
        <w:rPr>
          <w:rFonts w:ascii="Times New Roman" w:eastAsia="Times New Roman" w:hAnsi="Times New Roman" w:cs="Times New Roman"/>
          <w:sz w:val="24"/>
          <w:szCs w:val="24"/>
          <w:lang w:eastAsia="pl-PL"/>
        </w:rPr>
        <w:t>podlega obowiązkowemu badaniu</w:t>
      </w:r>
      <w:r>
        <w:rPr>
          <w:rFonts w:ascii="Times New Roman" w:eastAsia="Times New Roman" w:hAnsi="Times New Roman" w:cs="Times New Roman"/>
          <w:sz w:val="24"/>
          <w:szCs w:val="24"/>
          <w:lang w:eastAsia="pl-PL"/>
        </w:rPr>
        <w:t xml:space="preserve"> sprawozdań finansowych</w:t>
      </w:r>
      <w:r w:rsidRPr="00041A0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zatem zgodnie z w/w przepisami, w wyniku wprowadzenia obligacji miasta do obrotu regulowanego, Łódź stanie się jednostką zainteresowania publicznego i musi posiadać Komitet Audytu.</w:t>
      </w:r>
    </w:p>
    <w:p w:rsidR="00AF4AF4" w:rsidRDefault="00AF4AF4" w:rsidP="00EC7F0A">
      <w:pPr>
        <w:autoSpaceDE w:val="0"/>
        <w:autoSpaceDN w:val="0"/>
        <w:adjustRightInd w:val="0"/>
        <w:spacing w:after="120" w:line="276"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041A07">
        <w:rPr>
          <w:rFonts w:ascii="Times New Roman" w:eastAsia="Times New Roman" w:hAnsi="Times New Roman" w:cs="Times New Roman"/>
          <w:sz w:val="24"/>
          <w:szCs w:val="24"/>
          <w:lang w:eastAsia="pl-PL"/>
        </w:rPr>
        <w:t xml:space="preserve">złonkowie </w:t>
      </w:r>
      <w:r>
        <w:rPr>
          <w:rFonts w:ascii="Times New Roman" w:eastAsia="Times New Roman" w:hAnsi="Times New Roman" w:cs="Times New Roman"/>
          <w:sz w:val="24"/>
          <w:szCs w:val="24"/>
          <w:lang w:eastAsia="pl-PL"/>
        </w:rPr>
        <w:t>Komitetu Au</w:t>
      </w:r>
      <w:r w:rsidRPr="00041A07">
        <w:rPr>
          <w:rFonts w:ascii="Times New Roman" w:eastAsia="Times New Roman" w:hAnsi="Times New Roman" w:cs="Times New Roman"/>
          <w:sz w:val="24"/>
          <w:szCs w:val="24"/>
          <w:lang w:eastAsia="pl-PL"/>
        </w:rPr>
        <w:t>dytu są powoływani przez radę</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nadzorczą lub inny organ nadzorczy lub kontrolny spośród członków tego organu.</w:t>
      </w:r>
      <w:r>
        <w:rPr>
          <w:rFonts w:ascii="Times New Roman" w:eastAsia="Times New Roman" w:hAnsi="Times New Roman" w:cs="Times New Roman"/>
          <w:sz w:val="24"/>
          <w:szCs w:val="24"/>
          <w:lang w:eastAsia="pl-PL"/>
        </w:rPr>
        <w:t xml:space="preserve"> </w:t>
      </w:r>
      <w:r w:rsidRPr="00304746">
        <w:rPr>
          <w:rFonts w:ascii="Times New Roman" w:eastAsia="Times New Roman" w:hAnsi="Times New Roman" w:cs="Times New Roman"/>
          <w:sz w:val="24"/>
          <w:szCs w:val="24"/>
          <w:lang w:eastAsia="pl-PL"/>
        </w:rPr>
        <w:t xml:space="preserve">W skład komitetu audytu wchodzi przynajmniej 3 członków. Przynajmniej jeden członek </w:t>
      </w:r>
      <w:r>
        <w:rPr>
          <w:rFonts w:ascii="Times New Roman" w:eastAsia="Times New Roman" w:hAnsi="Times New Roman" w:cs="Times New Roman"/>
          <w:sz w:val="24"/>
          <w:szCs w:val="24"/>
          <w:lang w:eastAsia="pl-PL"/>
        </w:rPr>
        <w:t>K</w:t>
      </w:r>
      <w:r w:rsidRPr="00304746">
        <w:rPr>
          <w:rFonts w:ascii="Times New Roman" w:eastAsia="Times New Roman" w:hAnsi="Times New Roman" w:cs="Times New Roman"/>
          <w:sz w:val="24"/>
          <w:szCs w:val="24"/>
          <w:lang w:eastAsia="pl-PL"/>
        </w:rPr>
        <w:t xml:space="preserve">omitetu </w:t>
      </w:r>
      <w:r>
        <w:rPr>
          <w:rFonts w:ascii="Times New Roman" w:eastAsia="Times New Roman" w:hAnsi="Times New Roman" w:cs="Times New Roman"/>
          <w:sz w:val="24"/>
          <w:szCs w:val="24"/>
          <w:lang w:eastAsia="pl-PL"/>
        </w:rPr>
        <w:t>A</w:t>
      </w:r>
      <w:r w:rsidRPr="00304746">
        <w:rPr>
          <w:rFonts w:ascii="Times New Roman" w:eastAsia="Times New Roman" w:hAnsi="Times New Roman" w:cs="Times New Roman"/>
          <w:sz w:val="24"/>
          <w:szCs w:val="24"/>
          <w:lang w:eastAsia="pl-PL"/>
        </w:rPr>
        <w:t xml:space="preserve">udytu </w:t>
      </w:r>
      <w:r>
        <w:rPr>
          <w:rFonts w:ascii="Times New Roman" w:eastAsia="Times New Roman" w:hAnsi="Times New Roman" w:cs="Times New Roman"/>
          <w:sz w:val="24"/>
          <w:szCs w:val="24"/>
          <w:lang w:eastAsia="pl-PL"/>
        </w:rPr>
        <w:t xml:space="preserve">ma </w:t>
      </w:r>
      <w:r w:rsidRPr="00304746">
        <w:rPr>
          <w:rFonts w:ascii="Times New Roman" w:eastAsia="Times New Roman" w:hAnsi="Times New Roman" w:cs="Times New Roman"/>
          <w:sz w:val="24"/>
          <w:szCs w:val="24"/>
          <w:lang w:eastAsia="pl-PL"/>
        </w:rPr>
        <w:t>posiada</w:t>
      </w:r>
      <w:r>
        <w:rPr>
          <w:rFonts w:ascii="Times New Roman" w:eastAsia="Times New Roman" w:hAnsi="Times New Roman" w:cs="Times New Roman"/>
          <w:sz w:val="24"/>
          <w:szCs w:val="24"/>
          <w:lang w:eastAsia="pl-PL"/>
        </w:rPr>
        <w:t>ć</w:t>
      </w:r>
      <w:r w:rsidRPr="00304746">
        <w:rPr>
          <w:rFonts w:ascii="Times New Roman" w:eastAsia="Times New Roman" w:hAnsi="Times New Roman" w:cs="Times New Roman"/>
          <w:sz w:val="24"/>
          <w:szCs w:val="24"/>
          <w:lang w:eastAsia="pl-PL"/>
        </w:rPr>
        <w:t xml:space="preserve"> wiedzę i umiejętności w zakresie rachunkowości lub badania sprawozdań finansowych.</w:t>
      </w:r>
      <w:r>
        <w:rPr>
          <w:rFonts w:ascii="Times New Roman" w:eastAsia="Times New Roman" w:hAnsi="Times New Roman" w:cs="Times New Roman"/>
          <w:sz w:val="24"/>
          <w:szCs w:val="24"/>
          <w:lang w:eastAsia="pl-PL"/>
        </w:rPr>
        <w:t xml:space="preserve"> </w:t>
      </w:r>
      <w:r w:rsidRPr="00304746">
        <w:rPr>
          <w:rFonts w:ascii="Times New Roman" w:eastAsia="Times New Roman" w:hAnsi="Times New Roman" w:cs="Times New Roman"/>
          <w:sz w:val="24"/>
          <w:szCs w:val="24"/>
          <w:lang w:eastAsia="pl-PL"/>
        </w:rPr>
        <w:t>W przypadku jednostek zainteresowania publicznego będących jednostkami samorządu terytorialnego, w skład komitetu audytu może być powołana osoba niebędąca członkiem organu kontrolnego tej jednostki</w:t>
      </w:r>
      <w:r>
        <w:rPr>
          <w:rFonts w:ascii="Times New Roman" w:eastAsia="Times New Roman" w:hAnsi="Times New Roman" w:cs="Times New Roman"/>
          <w:sz w:val="24"/>
          <w:szCs w:val="24"/>
          <w:lang w:eastAsia="pl-PL"/>
        </w:rPr>
        <w:t xml:space="preserve"> ale tylko w celu spełnienia warunku posiadania przez jednego z członków wiedzy i umiejętności w zakresie rachunkowości lub  badania sprawozdań finansowych</w:t>
      </w:r>
      <w:r w:rsidRPr="00304746">
        <w:rPr>
          <w:rFonts w:ascii="Times New Roman" w:eastAsia="Times New Roman" w:hAnsi="Times New Roman" w:cs="Times New Roman"/>
          <w:sz w:val="24"/>
          <w:szCs w:val="24"/>
          <w:lang w:eastAsia="pl-PL"/>
        </w:rPr>
        <w:t>.</w:t>
      </w:r>
    </w:p>
    <w:p w:rsidR="00AF4AF4"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p>
    <w:p w:rsidR="00AF4AF4" w:rsidRPr="00304746"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p>
    <w:p w:rsidR="00AF4AF4"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lastRenderedPageBreak/>
        <w:t>Zgodnie z przepisem art. 129 ust. 6 ustawy z dnia 11 maja 2017 r. o biegłych rewidentach,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firmach audytorskich oraz nadzorze publicznym, przewodniczący </w:t>
      </w:r>
      <w:r>
        <w:rPr>
          <w:rFonts w:ascii="Times New Roman" w:eastAsia="Times New Roman" w:hAnsi="Times New Roman" w:cs="Times New Roman"/>
          <w:sz w:val="24"/>
          <w:szCs w:val="24"/>
          <w:lang w:eastAsia="pl-PL"/>
        </w:rPr>
        <w:t>K</w:t>
      </w:r>
      <w:r w:rsidRPr="00041A07">
        <w:rPr>
          <w:rFonts w:ascii="Times New Roman" w:eastAsia="Times New Roman" w:hAnsi="Times New Roman" w:cs="Times New Roman"/>
          <w:sz w:val="24"/>
          <w:szCs w:val="24"/>
          <w:lang w:eastAsia="pl-PL"/>
        </w:rPr>
        <w:t xml:space="preserve">omitetu </w:t>
      </w:r>
      <w:r>
        <w:rPr>
          <w:rFonts w:ascii="Times New Roman" w:eastAsia="Times New Roman" w:hAnsi="Times New Roman" w:cs="Times New Roman"/>
          <w:sz w:val="24"/>
          <w:szCs w:val="24"/>
          <w:lang w:eastAsia="pl-PL"/>
        </w:rPr>
        <w:t>A</w:t>
      </w:r>
      <w:r w:rsidRPr="00041A07">
        <w:rPr>
          <w:rFonts w:ascii="Times New Roman" w:eastAsia="Times New Roman" w:hAnsi="Times New Roman" w:cs="Times New Roman"/>
          <w:sz w:val="24"/>
          <w:szCs w:val="24"/>
          <w:lang w:eastAsia="pl-PL"/>
        </w:rPr>
        <w:t>udytu jest powoływany</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przez członków komitetu audytu lub radę nadzorczą lub inny organ nadzorczy lub kontrolny jednostki</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zainteresowania publicznego.</w:t>
      </w:r>
    </w:p>
    <w:p w:rsidR="00AF4AF4"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w:t>
      </w:r>
      <w:r w:rsidRPr="00041A07">
        <w:rPr>
          <w:rFonts w:ascii="Times New Roman" w:eastAsia="Times New Roman" w:hAnsi="Times New Roman" w:cs="Times New Roman"/>
          <w:sz w:val="24"/>
          <w:szCs w:val="24"/>
          <w:lang w:eastAsia="pl-PL"/>
        </w:rPr>
        <w:t>art. 192 ustawy z dnia 11 maja 2017 r. o biegłych rewidentach, firmach audytorskich oraz</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nadzorze publicznym </w:t>
      </w:r>
      <w:r>
        <w:rPr>
          <w:rFonts w:ascii="Times New Roman" w:eastAsia="Times New Roman" w:hAnsi="Times New Roman" w:cs="Times New Roman"/>
          <w:sz w:val="24"/>
          <w:szCs w:val="24"/>
          <w:lang w:eastAsia="pl-PL"/>
        </w:rPr>
        <w:t>niepowołanie K</w:t>
      </w:r>
      <w:r w:rsidRPr="00041A07">
        <w:rPr>
          <w:rFonts w:ascii="Times New Roman" w:eastAsia="Times New Roman" w:hAnsi="Times New Roman" w:cs="Times New Roman"/>
          <w:sz w:val="24"/>
          <w:szCs w:val="24"/>
          <w:lang w:eastAsia="pl-PL"/>
        </w:rPr>
        <w:t xml:space="preserve">omitetu </w:t>
      </w:r>
      <w:r>
        <w:rPr>
          <w:rFonts w:ascii="Times New Roman" w:eastAsia="Times New Roman" w:hAnsi="Times New Roman" w:cs="Times New Roman"/>
          <w:sz w:val="24"/>
          <w:szCs w:val="24"/>
          <w:lang w:eastAsia="pl-PL"/>
        </w:rPr>
        <w:t>A</w:t>
      </w:r>
      <w:r w:rsidRPr="00041A07">
        <w:rPr>
          <w:rFonts w:ascii="Times New Roman" w:eastAsia="Times New Roman" w:hAnsi="Times New Roman" w:cs="Times New Roman"/>
          <w:sz w:val="24"/>
          <w:szCs w:val="24"/>
          <w:lang w:eastAsia="pl-PL"/>
        </w:rPr>
        <w:t xml:space="preserve">udytu zagrożone jest karą administracyjną. </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Zgodnie z przepisem art. 130 ust. 1 ustawy z dnia 11 maja 2017 r. o biegłych rewidentach,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firmach audytorskich oraz nadzorze publicznym, do zadań </w:t>
      </w:r>
      <w:r>
        <w:rPr>
          <w:rFonts w:ascii="Times New Roman" w:eastAsia="Times New Roman" w:hAnsi="Times New Roman" w:cs="Times New Roman"/>
          <w:sz w:val="24"/>
          <w:szCs w:val="24"/>
          <w:lang w:eastAsia="pl-PL"/>
        </w:rPr>
        <w:t>K</w:t>
      </w:r>
      <w:r w:rsidRPr="00041A07">
        <w:rPr>
          <w:rFonts w:ascii="Times New Roman" w:eastAsia="Times New Roman" w:hAnsi="Times New Roman" w:cs="Times New Roman"/>
          <w:sz w:val="24"/>
          <w:szCs w:val="24"/>
          <w:lang w:eastAsia="pl-PL"/>
        </w:rPr>
        <w:t xml:space="preserve">omitetu </w:t>
      </w:r>
      <w:r>
        <w:rPr>
          <w:rFonts w:ascii="Times New Roman" w:eastAsia="Times New Roman" w:hAnsi="Times New Roman" w:cs="Times New Roman"/>
          <w:sz w:val="24"/>
          <w:szCs w:val="24"/>
          <w:lang w:eastAsia="pl-PL"/>
        </w:rPr>
        <w:t>A</w:t>
      </w:r>
      <w:r w:rsidRPr="00041A07">
        <w:rPr>
          <w:rFonts w:ascii="Times New Roman" w:eastAsia="Times New Roman" w:hAnsi="Times New Roman" w:cs="Times New Roman"/>
          <w:sz w:val="24"/>
          <w:szCs w:val="24"/>
          <w:lang w:eastAsia="pl-PL"/>
        </w:rPr>
        <w:t>udytu należy w</w:t>
      </w:r>
      <w:r>
        <w:rPr>
          <w:rFonts w:ascii="Times New Roman" w:eastAsia="Times New Roman" w:hAnsi="Times New Roman" w:cs="Times New Roman"/>
          <w:sz w:val="24"/>
          <w:szCs w:val="24"/>
          <w:lang w:eastAsia="pl-PL"/>
        </w:rPr>
        <w:t> </w:t>
      </w:r>
      <w:r w:rsidRPr="00041A07">
        <w:rPr>
          <w:rFonts w:ascii="Times New Roman" w:eastAsia="Times New Roman" w:hAnsi="Times New Roman" w:cs="Times New Roman"/>
          <w:sz w:val="24"/>
          <w:szCs w:val="24"/>
          <w:lang w:eastAsia="pl-PL"/>
        </w:rPr>
        <w:t>szczególności:</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1) monitorowanie:</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a) procesu sprawozdawczości finansowej,</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b) skuteczności systemów kontroli wewnętrznej i systemów zarządzania ryzykiem oraz audytu</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wewnętrznego, w tym w zakresie sprawozdawczości finansowej,</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c) wykonywania czynności rewizji finansowej, w szczególności przeprowadzania przez firmę</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audytorską badania, z uwzględnieniem wszelkich wniosków i ustaleń </w:t>
      </w:r>
      <w:r>
        <w:rPr>
          <w:rFonts w:ascii="Times New Roman" w:eastAsia="Times New Roman" w:hAnsi="Times New Roman" w:cs="Times New Roman"/>
          <w:sz w:val="24"/>
          <w:szCs w:val="24"/>
          <w:lang w:eastAsia="pl-PL"/>
        </w:rPr>
        <w:t>Agencji</w:t>
      </w:r>
      <w:r w:rsidRPr="00041A0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(Polska Agencja Nadzoru Audytowego) </w:t>
      </w:r>
      <w:r w:rsidRPr="00041A07">
        <w:rPr>
          <w:rFonts w:ascii="Times New Roman" w:eastAsia="Times New Roman" w:hAnsi="Times New Roman" w:cs="Times New Roman"/>
          <w:sz w:val="24"/>
          <w:szCs w:val="24"/>
          <w:lang w:eastAsia="pl-PL"/>
        </w:rPr>
        <w:t>wynikających z kontroli przeprowadzonej w firmie audytorskiej;</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2) kontrolowanie i monitorowanie niezależności biegłego rewidenta i firmy audytorskiej, w</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szczególności w przypadku, gdy na rzecz jednostki zainteresowania publicznego świadczone są</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przez firmę audytorską inne usługi niż badanie;</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3) informowanie rady nadzorczej lub innego organu nadzorczego lub kontrolnego jednostki</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zainteresowania publicznego o wynikach badania oraz wyjaśnianie, w jaki sposób badanie to</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przyczyniło się do rzetelności sprawozdawczości finansowej w jednostce zainteresowania</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publicznego, a także jaka była rola </w:t>
      </w:r>
      <w:r>
        <w:rPr>
          <w:rFonts w:ascii="Times New Roman" w:eastAsia="Times New Roman" w:hAnsi="Times New Roman" w:cs="Times New Roman"/>
          <w:sz w:val="24"/>
          <w:szCs w:val="24"/>
          <w:lang w:eastAsia="pl-PL"/>
        </w:rPr>
        <w:t>K</w:t>
      </w:r>
      <w:r w:rsidRPr="00041A07">
        <w:rPr>
          <w:rFonts w:ascii="Times New Roman" w:eastAsia="Times New Roman" w:hAnsi="Times New Roman" w:cs="Times New Roman"/>
          <w:sz w:val="24"/>
          <w:szCs w:val="24"/>
          <w:lang w:eastAsia="pl-PL"/>
        </w:rPr>
        <w:t xml:space="preserve">omitetu </w:t>
      </w:r>
      <w:r>
        <w:rPr>
          <w:rFonts w:ascii="Times New Roman" w:eastAsia="Times New Roman" w:hAnsi="Times New Roman" w:cs="Times New Roman"/>
          <w:sz w:val="24"/>
          <w:szCs w:val="24"/>
          <w:lang w:eastAsia="pl-PL"/>
        </w:rPr>
        <w:t>A</w:t>
      </w:r>
      <w:r w:rsidRPr="00041A07">
        <w:rPr>
          <w:rFonts w:ascii="Times New Roman" w:eastAsia="Times New Roman" w:hAnsi="Times New Roman" w:cs="Times New Roman"/>
          <w:sz w:val="24"/>
          <w:szCs w:val="24"/>
          <w:lang w:eastAsia="pl-PL"/>
        </w:rPr>
        <w:t>udytu w procesie badania;</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4) dokonywanie oceny niezależności biegłego rewidenta oraz wyrażanie zgody na świadczenie</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przez niego dozwolonych usług niebędących badaniem w jednostce zainteresowania publicznego;</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5) opracowywanie polityki wyboru firmy audytorskiej do przeprowadzania badania;</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6) opracowywanie polityki świadczenia przez firmę audytorską przeprowadzającą badanie, przez</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podmioty powiązane z tą firmą audytorską oraz przez członka sieci firmy audytorskiej dozwolonych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usług niebędących badaniem;</w:t>
      </w:r>
    </w:p>
    <w:p w:rsidR="00AF4AF4" w:rsidRPr="00041A07"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7) określanie procedury wyboru firmy audytorskiej przez jednostkę zainteresowania publicznego;</w:t>
      </w:r>
    </w:p>
    <w:p w:rsidR="00AF4AF4" w:rsidRDefault="00AF4AF4" w:rsidP="00EC7F0A">
      <w:pPr>
        <w:autoSpaceDE w:val="0"/>
        <w:autoSpaceDN w:val="0"/>
        <w:adjustRightInd w:val="0"/>
        <w:spacing w:after="120" w:line="276" w:lineRule="auto"/>
        <w:ind w:right="-142" w:firstLine="851"/>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przedstawianie radzie nadzorczej lub innemu organowi nadzorczemu </w:t>
      </w:r>
      <w:r>
        <w:rPr>
          <w:rFonts w:ascii="Times New Roman" w:eastAsia="Times New Roman" w:hAnsi="Times New Roman" w:cs="Times New Roman"/>
          <w:sz w:val="24"/>
          <w:szCs w:val="24"/>
          <w:lang w:eastAsia="pl-PL"/>
        </w:rPr>
        <w:t>l</w:t>
      </w:r>
      <w:r w:rsidRPr="00041A07">
        <w:rPr>
          <w:rFonts w:ascii="Times New Roman" w:eastAsia="Times New Roman" w:hAnsi="Times New Roman" w:cs="Times New Roman"/>
          <w:sz w:val="24"/>
          <w:szCs w:val="24"/>
          <w:lang w:eastAsia="pl-PL"/>
        </w:rPr>
        <w:t>ub</w:t>
      </w:r>
      <w:r w:rsidR="00EC7F0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Pr="00041A07">
        <w:rPr>
          <w:rFonts w:ascii="Times New Roman" w:eastAsia="Times New Roman" w:hAnsi="Times New Roman" w:cs="Times New Roman"/>
          <w:sz w:val="24"/>
          <w:szCs w:val="24"/>
          <w:lang w:eastAsia="pl-PL"/>
        </w:rPr>
        <w:t>ontrolnemu, lub</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 xml:space="preserve">organowi, o którym mowa w art. 66 ust. 4 ustawy z dnia 29 września 1994 </w:t>
      </w:r>
      <w:r w:rsidR="00EC7F0A">
        <w:rPr>
          <w:rFonts w:ascii="Times New Roman" w:eastAsia="Times New Roman" w:hAnsi="Times New Roman" w:cs="Times New Roman"/>
          <w:sz w:val="24"/>
          <w:szCs w:val="24"/>
          <w:lang w:eastAsia="pl-PL"/>
        </w:rPr>
        <w:t xml:space="preserve">r. </w:t>
      </w:r>
      <w:r w:rsidRPr="00041A07">
        <w:rPr>
          <w:rFonts w:ascii="Times New Roman" w:eastAsia="Times New Roman" w:hAnsi="Times New Roman" w:cs="Times New Roman"/>
          <w:sz w:val="24"/>
          <w:szCs w:val="24"/>
          <w:lang w:eastAsia="pl-PL"/>
        </w:rPr>
        <w:t>o</w:t>
      </w:r>
      <w:r w:rsidR="00EC7F0A">
        <w:rPr>
          <w:rFonts w:ascii="Times New Roman" w:eastAsia="Times New Roman" w:hAnsi="Times New Roman" w:cs="Times New Roman"/>
          <w:sz w:val="24"/>
          <w:szCs w:val="24"/>
          <w:lang w:eastAsia="pl-PL"/>
        </w:rPr>
        <w:t> </w:t>
      </w:r>
      <w:r w:rsidRPr="00041A07">
        <w:rPr>
          <w:rFonts w:ascii="Times New Roman" w:eastAsia="Times New Roman" w:hAnsi="Times New Roman" w:cs="Times New Roman"/>
          <w:sz w:val="24"/>
          <w:szCs w:val="24"/>
          <w:lang w:eastAsia="pl-PL"/>
        </w:rPr>
        <w:t>rachunkowości</w:t>
      </w:r>
      <w:r>
        <w:rPr>
          <w:rFonts w:ascii="Times New Roman" w:eastAsia="Times New Roman" w:hAnsi="Times New Roman" w:cs="Times New Roman"/>
          <w:sz w:val="24"/>
          <w:szCs w:val="24"/>
          <w:lang w:eastAsia="pl-PL"/>
        </w:rPr>
        <w:br/>
      </w:r>
    </w:p>
    <w:p w:rsidR="00AF4AF4" w:rsidRPr="00041A07" w:rsidRDefault="00AF4AF4" w:rsidP="00AF4AF4">
      <w:pPr>
        <w:autoSpaceDE w:val="0"/>
        <w:autoSpaceDN w:val="0"/>
        <w:adjustRightInd w:val="0"/>
        <w:spacing w:after="120" w:line="276" w:lineRule="auto"/>
        <w:jc w:val="both"/>
        <w:rPr>
          <w:rFonts w:ascii="Times New Roman" w:eastAsia="Times New Roman" w:hAnsi="Times New Roman" w:cs="Times New Roman"/>
          <w:sz w:val="24"/>
          <w:szCs w:val="24"/>
          <w:lang w:eastAsia="pl-PL"/>
        </w:rPr>
      </w:pPr>
      <w:r w:rsidRPr="00041A07">
        <w:rPr>
          <w:rFonts w:ascii="Times New Roman" w:eastAsia="Times New Roman" w:hAnsi="Times New Roman" w:cs="Times New Roman"/>
          <w:sz w:val="24"/>
          <w:szCs w:val="24"/>
          <w:lang w:eastAsia="pl-PL"/>
        </w:rPr>
        <w:lastRenderedPageBreak/>
        <w:t xml:space="preserve">rekomendacji, o której mowa w art. 16 ust. 2 </w:t>
      </w:r>
      <w:r>
        <w:rPr>
          <w:rFonts w:ascii="Times New Roman" w:eastAsia="Times New Roman" w:hAnsi="Times New Roman" w:cs="Times New Roman"/>
          <w:sz w:val="24"/>
          <w:szCs w:val="24"/>
          <w:lang w:eastAsia="pl-PL"/>
        </w:rPr>
        <w:t>R</w:t>
      </w:r>
      <w:r w:rsidRPr="00041A07">
        <w:rPr>
          <w:rFonts w:ascii="Times New Roman" w:eastAsia="Times New Roman" w:hAnsi="Times New Roman" w:cs="Times New Roman"/>
          <w:sz w:val="24"/>
          <w:szCs w:val="24"/>
          <w:lang w:eastAsia="pl-PL"/>
        </w:rPr>
        <w:t xml:space="preserve">ozporządzenia </w:t>
      </w:r>
      <w:r>
        <w:rPr>
          <w:rFonts w:ascii="Times New Roman" w:eastAsia="Times New Roman" w:hAnsi="Times New Roman" w:cs="Times New Roman"/>
          <w:sz w:val="24"/>
          <w:szCs w:val="24"/>
          <w:lang w:eastAsia="pl-PL"/>
        </w:rPr>
        <w:t xml:space="preserve">Parlamentu Europejskiego i Rady (UE) </w:t>
      </w:r>
      <w:r w:rsidRPr="00041A07">
        <w:rPr>
          <w:rFonts w:ascii="Times New Roman" w:eastAsia="Times New Roman" w:hAnsi="Times New Roman" w:cs="Times New Roman"/>
          <w:sz w:val="24"/>
          <w:szCs w:val="24"/>
          <w:lang w:eastAsia="pl-PL"/>
        </w:rPr>
        <w:t>nr 537/2014, zgodnie z politykami, o</w:t>
      </w:r>
      <w:r>
        <w:rPr>
          <w:rFonts w:ascii="Times New Roman" w:eastAsia="Times New Roman" w:hAnsi="Times New Roman" w:cs="Times New Roman"/>
          <w:sz w:val="24"/>
          <w:szCs w:val="24"/>
          <w:lang w:eastAsia="pl-PL"/>
        </w:rPr>
        <w:t> </w:t>
      </w:r>
      <w:r w:rsidRPr="00041A07">
        <w:rPr>
          <w:rFonts w:ascii="Times New Roman" w:eastAsia="Times New Roman" w:hAnsi="Times New Roman" w:cs="Times New Roman"/>
          <w:sz w:val="24"/>
          <w:szCs w:val="24"/>
          <w:lang w:eastAsia="pl-PL"/>
        </w:rPr>
        <w:t>których mowa w pkt 5 i 6;</w:t>
      </w:r>
    </w:p>
    <w:p w:rsidR="00AF4AF4"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r w:rsidRPr="005E2595">
        <w:rPr>
          <w:rFonts w:ascii="Times New Roman" w:eastAsia="Times New Roman" w:hAnsi="Times New Roman" w:cs="Times New Roman"/>
          <w:sz w:val="24"/>
          <w:szCs w:val="24"/>
          <w:lang w:eastAsia="pl-PL"/>
        </w:rPr>
        <w:t>9) przedkładanie zaleceń mających na celu zapewnienie rzetelności procesu sprawozdawczości finansowej w jednostce zainteresowania publicznego.</w:t>
      </w:r>
      <w:r w:rsidRPr="00041A07">
        <w:rPr>
          <w:rFonts w:ascii="Times New Roman" w:eastAsia="Times New Roman" w:hAnsi="Times New Roman" w:cs="Times New Roman"/>
          <w:sz w:val="24"/>
          <w:szCs w:val="24"/>
          <w:lang w:eastAsia="pl-PL"/>
        </w:rPr>
        <w:t xml:space="preserve">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Kryteria, które winny zostać spełnione przez większość członków komitetu audytu, w tym jego przewodniczącego zawierają przepisy art. 129 ustawy o biegłych rewidentach</w:t>
      </w:r>
      <w:r>
        <w:rPr>
          <w:rFonts w:ascii="Times New Roman" w:eastAsia="Times New Roman" w:hAnsi="Times New Roman" w:cs="Times New Roman"/>
          <w:sz w:val="24"/>
          <w:szCs w:val="24"/>
          <w:lang w:eastAsia="pl-PL"/>
        </w:rPr>
        <w:t xml:space="preserve"> </w:t>
      </w:r>
      <w:r w:rsidRPr="00041A07">
        <w:rPr>
          <w:rFonts w:ascii="Times New Roman" w:eastAsia="Times New Roman" w:hAnsi="Times New Roman" w:cs="Times New Roman"/>
          <w:sz w:val="24"/>
          <w:szCs w:val="24"/>
          <w:lang w:eastAsia="pl-PL"/>
        </w:rPr>
        <w:t>firmach audytorskich oraz nadzorze publicznym</w:t>
      </w:r>
      <w:r w:rsidRPr="000B1611">
        <w:rPr>
          <w:rFonts w:ascii="Times New Roman" w:eastAsia="Times New Roman" w:hAnsi="Times New Roman" w:cs="Times New Roman"/>
          <w:sz w:val="24"/>
          <w:szCs w:val="24"/>
          <w:lang w:eastAsia="pl-PL"/>
        </w:rPr>
        <w:t>.</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Z regulacji określonej w art. 129 ust. 3 ustawy o biegłych rewidentach </w:t>
      </w:r>
      <w:r w:rsidRPr="00041A07">
        <w:rPr>
          <w:rFonts w:ascii="Times New Roman" w:eastAsia="Times New Roman" w:hAnsi="Times New Roman" w:cs="Times New Roman"/>
          <w:sz w:val="24"/>
          <w:szCs w:val="24"/>
          <w:lang w:eastAsia="pl-PL"/>
        </w:rPr>
        <w:t>firmach audytorskich oraz nadzorze publicznym</w:t>
      </w:r>
      <w:r>
        <w:rPr>
          <w:rFonts w:ascii="Times New Roman" w:eastAsia="Times New Roman" w:hAnsi="Times New Roman" w:cs="Times New Roman"/>
          <w:sz w:val="24"/>
          <w:szCs w:val="24"/>
          <w:lang w:eastAsia="pl-PL"/>
        </w:rPr>
        <w:t xml:space="preserve"> wynika</w:t>
      </w:r>
      <w:r w:rsidRPr="000B1611">
        <w:rPr>
          <w:rFonts w:ascii="Times New Roman" w:eastAsia="Times New Roman" w:hAnsi="Times New Roman" w:cs="Times New Roman"/>
          <w:sz w:val="24"/>
          <w:szCs w:val="24"/>
          <w:lang w:eastAsia="pl-PL"/>
        </w:rPr>
        <w:t xml:space="preserve">, że większość członków komitetu audytu, w tym jej Przewodniczący, jest niezależna od danej jednostki zainteresowania publicznego.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Ustawodawca, w treści art. 129 ust. 3 </w:t>
      </w:r>
      <w:r>
        <w:rPr>
          <w:rFonts w:ascii="Times New Roman" w:eastAsia="Times New Roman" w:hAnsi="Times New Roman" w:cs="Times New Roman"/>
          <w:sz w:val="24"/>
          <w:szCs w:val="24"/>
          <w:lang w:eastAsia="pl-PL"/>
        </w:rPr>
        <w:t xml:space="preserve">w/w </w:t>
      </w:r>
      <w:r w:rsidRPr="000B1611">
        <w:rPr>
          <w:rFonts w:ascii="Times New Roman" w:eastAsia="Times New Roman" w:hAnsi="Times New Roman" w:cs="Times New Roman"/>
          <w:sz w:val="24"/>
          <w:szCs w:val="24"/>
          <w:lang w:eastAsia="pl-PL"/>
        </w:rPr>
        <w:t xml:space="preserve">ustawy określił, że: „członek komitetu audytu jest niezależny od danej jednostki zainteresowania publicznego, jeżeli spełnia następujące kryteria: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1) nie należy, ani w okresie ostatnich 5 lat od dnia powołania nie należał do kadry kierowniczej wyższego szczebla, w tym nie jest ani nie był członkiem zarządu lub innego organu zarządzającego danej jednostki zainteresowania publicznego lub jednostki z nią powiązanej;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2) nie jest ani nie był, w okresie ostatnich 3 lat od dnia powołania, pracownikiem danej jednostki zainteresowania publicznego lub jednostki z nią powiązanej, z wyjątkiem sytuacji gdy członkiem komitetu audytu jest pracownik nienależący do kadry kierowniczej wyższego szczebla, który został wybrany do rady nadzorczej lub innego organu nadzorczego lub kontrolnego danej jednostki zainteresowania publicznego jako przedstawiciel pracowników;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3) nie sprawuje kontroli w rozumieniu art. 3 ust. 1 pkt 37 lit. a-e ustawy z dnia 29 września 1994r. o rachunkowości lub nie reprezentuje osób lub podmiotów sprawujących kontrolę nad daną jednostką zainteresowania publicznego;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4) nie otrzymuje lub nie otrzymał dodatkowego wynagrodzenia, w znacznej wysokości, od danej jednostki zainteresowania publicznego lub jednostki z nią powiązanej, z wyjątkiem wynagrodzenia, jakie otrzymał jako członek rady nadzorczej lub innego organu nadzorczego lub kontrolnego, w tym komitetu audytu;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5) nie utrzymuje ani w okresie ostatniego roku od dnia powołania nie utrzymywał istotnych stosunków gospodarczych z daną jednostką zainteresowania publicznego lub jednostką z nią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6) nie jest i w okresie ostatnich 2 lat od dnia powołania nie był: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a) właścicielem, wspólnikiem (w tym komplementariuszem) lub akcjonariuszem obecnej lub poprzedniej firmy audytorskiej przeprowadzającej badanie sprawozdania finansowego danej jednostki zainteresowania publicznego lub jednostki z nią powiązanej lub </w:t>
      </w:r>
    </w:p>
    <w:p w:rsidR="00AF4AF4"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lastRenderedPageBreak/>
        <w:t xml:space="preserve">b) członkiem rady nadzorczej lub innego organu nadzorczego lub kontrolnego obecnej lub poprzedniej firmy audytorskiej przeprowadzającej badanie sprawozdania finansowego danej jednostki zainteresowania publicznego lub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c) pracownikiem lub osobą należącą do kadry kierowniczej wyższego szczebla, w tym członkiem zarządu lub innego organu zarządzającego obecnej lub poprzedniej firmy audytorskiej przeprowadzającej badanie sprawozdania finansowego danej jednostki zainteresowania publicznego lub jednostki z nią powiązanej lub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d) inną osobą fizyczną, z której usług korzystała lub którą nadzorowała obecna lub poprzednia firma audytorska lub biegły rewident działający w jej imieniu;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7) nie jest członkiem zarządu lub innego organu zarządzającego jednostki, w której członkiem rady nadzorczej lub innego organu nadzorczego lub kontrolnego jest członek zarządu lub innego organu zarządzającego danej jednostki zainteresowania publicznego;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 xml:space="preserve">8) nie jest członkiem rady nadzorczej lub innego organu nadzorczego lub kontrolnego danej jednostki zainteresowania publicznego dłużej niż 12 lat;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9) nie jest małżonkiem, osobą pozostającą we wspólnym pożyciu, krewnym lub powinowatym w</w:t>
      </w:r>
      <w:r>
        <w:rPr>
          <w:rFonts w:ascii="Times New Roman" w:eastAsia="Times New Roman" w:hAnsi="Times New Roman" w:cs="Times New Roman"/>
          <w:sz w:val="24"/>
          <w:szCs w:val="24"/>
          <w:lang w:eastAsia="pl-PL"/>
        </w:rPr>
        <w:t> </w:t>
      </w:r>
      <w:r w:rsidRPr="000B1611">
        <w:rPr>
          <w:rFonts w:ascii="Times New Roman" w:eastAsia="Times New Roman" w:hAnsi="Times New Roman" w:cs="Times New Roman"/>
          <w:sz w:val="24"/>
          <w:szCs w:val="24"/>
          <w:lang w:eastAsia="pl-PL"/>
        </w:rPr>
        <w:t xml:space="preserve">linii prostej, a w linii bocznej do czwartego stopnia - członka zarządu lub innego organu zarządzającego danej jednostki zainteresowania publicznego lub osoby, o której mowa w pkt 1-8; </w:t>
      </w:r>
    </w:p>
    <w:p w:rsidR="00AF4AF4" w:rsidRPr="000B1611"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sidRPr="000B1611">
        <w:rPr>
          <w:rFonts w:ascii="Times New Roman" w:eastAsia="Times New Roman" w:hAnsi="Times New Roman" w:cs="Times New Roman"/>
          <w:sz w:val="24"/>
          <w:szCs w:val="24"/>
          <w:lang w:eastAsia="pl-PL"/>
        </w:rPr>
        <w:t>10) nie pozostaje w stosunku przysposobienia, opieki lub kurateli z członkiem zarządu lub innego organu zarządzającego danej jednostki zainteresowania publicznego lub osobą, o której mowa w</w:t>
      </w:r>
      <w:r>
        <w:rPr>
          <w:rFonts w:ascii="Times New Roman" w:eastAsia="Times New Roman" w:hAnsi="Times New Roman" w:cs="Times New Roman"/>
          <w:sz w:val="24"/>
          <w:szCs w:val="24"/>
          <w:lang w:eastAsia="pl-PL"/>
        </w:rPr>
        <w:t> </w:t>
      </w:r>
      <w:r w:rsidRPr="000B1611">
        <w:rPr>
          <w:rFonts w:ascii="Times New Roman" w:eastAsia="Times New Roman" w:hAnsi="Times New Roman" w:cs="Times New Roman"/>
          <w:sz w:val="24"/>
          <w:szCs w:val="24"/>
          <w:lang w:eastAsia="pl-PL"/>
        </w:rPr>
        <w:t>pkt 1-8.”</w:t>
      </w:r>
    </w:p>
    <w:p w:rsidR="00AF4AF4" w:rsidRDefault="00AF4AF4" w:rsidP="00AF4AF4">
      <w:pPr>
        <w:pStyle w:val="Default"/>
        <w:jc w:val="both"/>
        <w:rPr>
          <w:sz w:val="20"/>
          <w:szCs w:val="20"/>
        </w:rPr>
      </w:pPr>
      <w:r>
        <w:rPr>
          <w:rFonts w:eastAsia="Times New Roman"/>
          <w:lang w:eastAsia="pl-PL"/>
        </w:rPr>
        <w:t xml:space="preserve">W związku z planowanym na początek 2024 roku wprowadzeniem wyemitowanych w bieżącym roku serii obligacji na rynek regulowany (nie dotyczy to jednej serii obligacji </w:t>
      </w:r>
      <w:r w:rsidRPr="00257F1D">
        <w:t>LODZ092335</w:t>
      </w:r>
      <w:r>
        <w:t xml:space="preserve">), </w:t>
      </w:r>
      <w:r>
        <w:rPr>
          <w:sz w:val="20"/>
          <w:szCs w:val="20"/>
        </w:rPr>
        <w:t xml:space="preserve"> </w:t>
      </w:r>
    </w:p>
    <w:p w:rsidR="00AF4AF4"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powołanie komitetu audytu w tym roku pozwoli na rozpoczęcie procedur związanych z przygotowaniem stosownych wniosków i pozwoleń w celu rozpoczęcia notowań obligacji miasta Łodzi na rynku regulowanym do dnia określonego w zawartych umowach. </w:t>
      </w:r>
    </w:p>
    <w:p w:rsidR="00AF4AF4"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p>
    <w:p w:rsidR="00AF4AF4"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p>
    <w:p w:rsidR="00AF4AF4" w:rsidRDefault="00AF4AF4" w:rsidP="00AF4AF4">
      <w:pPr>
        <w:tabs>
          <w:tab w:val="left" w:pos="426"/>
          <w:tab w:val="left" w:pos="709"/>
        </w:tabs>
        <w:spacing w:line="300" w:lineRule="exact"/>
        <w:jc w:val="both"/>
        <w:rPr>
          <w:rFonts w:ascii="Times New Roman" w:eastAsia="Times New Roman" w:hAnsi="Times New Roman" w:cs="Times New Roman"/>
          <w:sz w:val="24"/>
          <w:szCs w:val="24"/>
          <w:lang w:eastAsia="pl-PL"/>
        </w:rPr>
      </w:pPr>
      <w:r>
        <w:rPr>
          <w:noProof/>
          <w:lang w:eastAsia="pl-PL"/>
        </w:rPr>
        <w:drawing>
          <wp:inline distT="0" distB="0" distL="0" distR="0" wp14:anchorId="4DAFB3C5" wp14:editId="689068CD">
            <wp:extent cx="1979930" cy="803275"/>
            <wp:effectExtent l="0" t="0" r="1270" b="0"/>
            <wp:docPr id="3" name="Obraz 3" descr="https://gpwcatalyst.pl/html/images/logo_CATALY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pwcatalyst.pl/html/images/logo_CATALYS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9930" cy="803275"/>
                    </a:xfrm>
                    <a:prstGeom prst="rect">
                      <a:avLst/>
                    </a:prstGeom>
                    <a:noFill/>
                    <a:ln>
                      <a:noFill/>
                    </a:ln>
                  </pic:spPr>
                </pic:pic>
              </a:graphicData>
            </a:graphic>
          </wp:inline>
        </w:drawing>
      </w:r>
      <w:r>
        <w:rPr>
          <w:rFonts w:ascii="Times New Roman" w:eastAsia="Times New Roman" w:hAnsi="Times New Roman" w:cs="Times New Roman"/>
          <w:sz w:val="24"/>
          <w:szCs w:val="24"/>
          <w:lang w:eastAsia="pl-PL"/>
        </w:rPr>
        <w:t xml:space="preserve">  </w:t>
      </w:r>
    </w:p>
    <w:p w:rsidR="00AF4AF4" w:rsidRDefault="00AF4AF4" w:rsidP="00AF4AF4">
      <w:pPr>
        <w:autoSpaceDE w:val="0"/>
        <w:autoSpaceDN w:val="0"/>
        <w:adjustRightInd w:val="0"/>
        <w:spacing w:after="120" w:line="276" w:lineRule="auto"/>
        <w:ind w:firstLine="851"/>
        <w:jc w:val="both"/>
        <w:rPr>
          <w:rFonts w:ascii="Times New Roman" w:eastAsia="Times New Roman" w:hAnsi="Times New Roman" w:cs="Times New Roman"/>
          <w:sz w:val="24"/>
          <w:szCs w:val="24"/>
          <w:lang w:eastAsia="pl-PL"/>
        </w:rPr>
      </w:pPr>
    </w:p>
    <w:p w:rsidR="00AF4AF4" w:rsidRDefault="00AF4AF4"/>
    <w:sectPr w:rsidR="00AF4AF4" w:rsidSect="00EC7F0A">
      <w:endnotePr>
        <w:numFmt w:val="decimal"/>
      </w:endnotePr>
      <w:pgSz w:w="11906" w:h="16838"/>
      <w:pgMar w:top="1417" w:right="1274"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24AC6"/>
    <w:multiLevelType w:val="hybridMultilevel"/>
    <w:tmpl w:val="FFFFFFFF"/>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E5"/>
    <w:rsid w:val="00187B2B"/>
    <w:rsid w:val="002800CD"/>
    <w:rsid w:val="00460288"/>
    <w:rsid w:val="005F1A05"/>
    <w:rsid w:val="006C777C"/>
    <w:rsid w:val="008A02E5"/>
    <w:rsid w:val="00AF4AF4"/>
    <w:rsid w:val="00C57821"/>
    <w:rsid w:val="00EC7F0A"/>
    <w:rsid w:val="00EE5483"/>
    <w:rsid w:val="00F0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2730"/>
  <w15:chartTrackingRefBased/>
  <w15:docId w15:val="{8302A00D-4117-4392-A80A-6C267C28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A02E5"/>
    <w:pPr>
      <w:autoSpaceDE w:val="0"/>
      <w:autoSpaceDN w:val="0"/>
      <w:adjustRightInd w:val="0"/>
      <w:spacing w:after="0" w:line="240" w:lineRule="auto"/>
      <w:ind w:left="720"/>
      <w:contextualSpacing/>
    </w:pPr>
    <w:rPr>
      <w:rFonts w:ascii="Times New Roman" w:eastAsia="Times New Roman" w:hAnsi="Times New Roman" w:cs="Times New Roman"/>
      <w:sz w:val="24"/>
      <w:szCs w:val="24"/>
      <w:lang w:eastAsia="pl-PL"/>
    </w:rPr>
  </w:style>
  <w:style w:type="table" w:styleId="Tabela-Prosty1">
    <w:name w:val="Table Simple 1"/>
    <w:basedOn w:val="Standardowy"/>
    <w:uiPriority w:val="99"/>
    <w:rsid w:val="008A02E5"/>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AF4A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4271">
      <w:bodyDiv w:val="1"/>
      <w:marLeft w:val="0"/>
      <w:marRight w:val="0"/>
      <w:marTop w:val="0"/>
      <w:marBottom w:val="0"/>
      <w:divBdr>
        <w:top w:val="none" w:sz="0" w:space="0" w:color="auto"/>
        <w:left w:val="none" w:sz="0" w:space="0" w:color="auto"/>
        <w:bottom w:val="none" w:sz="0" w:space="0" w:color="auto"/>
        <w:right w:val="none" w:sz="0" w:space="0" w:color="auto"/>
      </w:divBdr>
    </w:div>
    <w:div w:id="19160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1596</Words>
  <Characters>9578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Lewandowski</dc:creator>
  <cp:keywords/>
  <dc:description/>
  <cp:lastModifiedBy>Piotr Lewandowski</cp:lastModifiedBy>
  <cp:revision>7</cp:revision>
  <dcterms:created xsi:type="dcterms:W3CDTF">2023-10-31T13:16:00Z</dcterms:created>
  <dcterms:modified xsi:type="dcterms:W3CDTF">2023-10-31T14:02:00Z</dcterms:modified>
</cp:coreProperties>
</file>