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551C3F">
      <w:pPr>
        <w:ind w:left="5669"/>
        <w:jc w:val="left"/>
      </w:pPr>
      <w:r>
        <w:t>Druk Nr</w:t>
      </w:r>
    </w:p>
    <w:p w:rsidR="00A77B3E" w:rsidRDefault="00551C3F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551C3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51C3F">
      <w:pPr>
        <w:spacing w:before="280" w:after="280"/>
        <w:rPr>
          <w:b/>
          <w:caps/>
        </w:rPr>
      </w:pPr>
      <w:r>
        <w:rPr>
          <w:b/>
        </w:rPr>
        <w:t>z dnia .................... 2023 r.</w:t>
      </w:r>
    </w:p>
    <w:p w:rsidR="00A77B3E" w:rsidRDefault="00551C3F">
      <w:pPr>
        <w:keepNext/>
        <w:spacing w:after="280"/>
      </w:pPr>
      <w:r>
        <w:rPr>
          <w:b/>
        </w:rPr>
        <w:t>w sprawie ustalenia wysokości opłat za usuwanie i przechowywanie pojazdów usuniętych z dróg na terenie miasta Łodzi w 2024 roku.</w:t>
      </w:r>
    </w:p>
    <w:p w:rsidR="00A77B3E" w:rsidRDefault="00551C3F">
      <w:pPr>
        <w:keepLines/>
        <w:spacing w:before="120" w:after="120"/>
        <w:ind w:firstLine="567"/>
        <w:jc w:val="both"/>
      </w:pPr>
      <w:r>
        <w:t xml:space="preserve">Na </w:t>
      </w:r>
      <w:r>
        <w:t>podstawie art. 12 pkt 7 i art. 40 ustawy z dnia 5 czerwca 1998 r. o samorządzie powiatowym (Dz. U. z 2022 r. poz. 1526 oraz z 2023 r. poz. 572) oraz art. 130a ust. 6 ustawy z dnia 20 czerwca 1997 r. Prawo o ruchu drogowym (Dz. U. z 2023 r. poz. 1047, 1053,</w:t>
      </w:r>
      <w:r>
        <w:t xml:space="preserve"> 1088, 1123, 1193, 1234, 1394, 1720 i 2029) Rada Miejska w Łodzi</w:t>
      </w:r>
    </w:p>
    <w:p w:rsidR="00A77B3E" w:rsidRDefault="00551C3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51C3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</w:t>
      </w:r>
      <w:r>
        <w:t xml:space="preserve">Za usunięcie pojazdu z drogi na terenie miasta Łodzi w 2024 roku, w przypadkach określonych w art. 130a ust. 1-2 ustawy z dnia 20 czerwca 1997 r. – Prawo </w:t>
      </w:r>
      <w:r>
        <w:br/>
        <w:t>o ruc</w:t>
      </w:r>
      <w:r>
        <w:t>hu drogowym, ustala się opłaty w wysokości: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rower lub motorower – 166,00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motocykl – 324,00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pojazd o dopuszczalnej masie całkowitej do 3,5 t – 697,00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pojazd o dopuszczalnej masie całkowitej powyżej 3,5 t do 7,5 t – 871,00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pojazd o dopuszczalnej masie całkowitej powyżej 7,5 t do 16 t – 1230,00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pojazd o dopuszczalnej masie całkowitej powyżej 16 t – 1813,00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pojazd przewożący materiały niebezpieczne – 2205,00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hulajnoga elektryczna lub urządzenie transportu </w:t>
      </w:r>
      <w:r>
        <w:rPr>
          <w:color w:val="000000"/>
          <w:u w:color="000000"/>
        </w:rPr>
        <w:t>osobistego – 166,00 zł.</w:t>
      </w:r>
    </w:p>
    <w:p w:rsidR="00A77B3E" w:rsidRDefault="00551C3F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każdą dobę przechowywania na parkingu strzeżonym pojazdu, o którym mowa w ust. 1, ustala się opłaty w wysokości: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rower lub motorower – 32,00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motocykl – 43,00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pojazd o dopuszczalnej masie całkowitej do 3,5 t – </w:t>
      </w:r>
      <w:r>
        <w:rPr>
          <w:color w:val="000000"/>
          <w:u w:color="000000"/>
        </w:rPr>
        <w:t>60,00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pojazd o dopuszczalnej masie całkowitej powyżej 3,5 t do 7,5 t – 79,00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pojazd o dopuszczalnej masie całkowitej powyżej 7,5 t do 16 t – 112,00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pojazd o dopuszczalnej masie całkowitej powyżej 16 t – 199,00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pojazd przewożący </w:t>
      </w:r>
      <w:r>
        <w:rPr>
          <w:color w:val="000000"/>
          <w:u w:color="000000"/>
        </w:rPr>
        <w:t>materiały niebezpieczne – 290,00 zł;</w:t>
      </w:r>
    </w:p>
    <w:p w:rsidR="00A77B3E" w:rsidRDefault="00551C3F">
      <w:pPr>
        <w:ind w:left="283" w:hanging="283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hulajnoga elektryczna lub urządzenie transportu osobistego – 32,00 zł.</w:t>
      </w:r>
    </w:p>
    <w:p w:rsidR="00A77B3E" w:rsidRDefault="00551C3F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odstąpienia od usunięcia pojazdu, o którym mowa w ust. 1, jeżeli wydanie dyspozycji usunięcia spowodowało powstanie kosztów, wysok</w:t>
      </w:r>
      <w:r>
        <w:rPr>
          <w:color w:val="000000"/>
          <w:u w:color="000000"/>
        </w:rPr>
        <w:t>ość kosztów wynosi 50 % opłaty określonej w ust. 1.</w:t>
      </w:r>
    </w:p>
    <w:p w:rsidR="00A77B3E" w:rsidRDefault="00551C3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551C3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 sprawach pojazdów, które zostały usunięte lub została wydana dyspozycja ich usunięcia przed dniem wejścia w życie niniejszej uchwały s</w:t>
      </w:r>
      <w:r>
        <w:rPr>
          <w:color w:val="000000"/>
          <w:u w:color="000000"/>
        </w:rPr>
        <w:t>tosuje się przepisy dotychczasowe.</w:t>
      </w:r>
    </w:p>
    <w:p w:rsidR="00A77B3E" w:rsidRDefault="00551C3F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lastRenderedPageBreak/>
        <w:t>§ 4. </w:t>
      </w:r>
      <w:r>
        <w:rPr>
          <w:color w:val="000000"/>
          <w:u w:color="000000"/>
        </w:rPr>
        <w:t>Traci moc uchwała LXVII/1983/22 Rady Miejskiej w Łodzi z dnia 12 października 2022 r. w sprawie ustalenia wysokości opłat za usuwanie i przechowywanie pojazdów usuniętych z dróg na terenie miasta Łodzi w 2023 roku (D</w:t>
      </w:r>
      <w:r>
        <w:rPr>
          <w:color w:val="000000"/>
          <w:u w:color="000000"/>
        </w:rPr>
        <w:t>z. Urz. Woj. Łódzkiego poz. 6172).</w:t>
      </w:r>
    </w:p>
    <w:p w:rsidR="00A77B3E" w:rsidRDefault="00551C3F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po upływie 14 dni od dnia ogłoszenia w Dzienniku Urzędowym Województwa Łódzkiego, jednak nie wcześniej niż z dniem 1 stycznia 2024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34F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5" w:rsidRDefault="00C34F0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5" w:rsidRDefault="00551C3F">
            <w:pPr>
              <w:keepLines/>
              <w:spacing w:before="400" w:after="4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A77B3E" w:rsidRDefault="00551C3F">
      <w:pPr>
        <w:rPr>
          <w:color w:val="000000"/>
          <w:u w:color="000000"/>
        </w:rPr>
      </w:pPr>
      <w:r>
        <w:rPr>
          <w:b/>
        </w:rPr>
        <w:t>Uzasadnienie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projektu uchwały Rady Miejskiej w Łodzi w sprawie ustalenia wysokości opłat </w:t>
      </w:r>
      <w:r>
        <w:rPr>
          <w:b/>
          <w:color w:val="000000"/>
          <w:u w:color="000000"/>
        </w:rPr>
        <w:br/>
        <w:t>za usuwanie i przechowywanie pojazdów usuniętych z dróg na terenie miasta Łodzi w 2024 roku.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Zgodnie </w:t>
      </w:r>
      <w:r>
        <w:rPr>
          <w:color w:val="000000"/>
          <w:u w:color="000000"/>
        </w:rPr>
        <w:t xml:space="preserve">z przepisem art. 130a ust. 6 ustawy z dnia 20 czerwca 1997 r. – </w:t>
      </w:r>
      <w:r>
        <w:rPr>
          <w:i/>
          <w:color w:val="000000"/>
          <w:u w:color="000000"/>
        </w:rPr>
        <w:t xml:space="preserve">Prawo o ruchu drogowym, </w:t>
      </w:r>
      <w:r>
        <w:rPr>
          <w:color w:val="000000"/>
          <w:u w:color="000000"/>
        </w:rPr>
        <w:t>dalej zwaną PRD, rada powiatu, biorąc pod uwagę konieczność sprawnej realizacji zadań polegających na usuwaniu pojazdów z drogi w przypadkach wskazanych w tej ustawie o</w:t>
      </w:r>
      <w:r>
        <w:rPr>
          <w:color w:val="000000"/>
          <w:u w:color="000000"/>
        </w:rPr>
        <w:t>raz koszty usuwania i przechowywania pojazdów na obszarze powiatu, ustala corocznie, w drodze uchwały, wysokość opłat za usunięcie i przechowywanie pojazdów na parkingu strzeżonym oraz wysokość kosztów w razie odstąpienia od usunięcia pojazdu, jeżeli wydan</w:t>
      </w:r>
      <w:r>
        <w:rPr>
          <w:color w:val="000000"/>
          <w:u w:color="000000"/>
        </w:rPr>
        <w:t>ie dyspozycji usunięcia pojazdu spowodowało powstanie tych kosztów. Opłaty te stanowią dochód własny powiatu.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Maksymalna wysokość stawek kwotowych tych opłat oraz kosztów określona została w art. 130a ust. 6a PRD. Ich wysokość ulega corocznie zmianie w sto</w:t>
      </w:r>
      <w:r>
        <w:rPr>
          <w:color w:val="000000"/>
          <w:u w:color="000000"/>
        </w:rPr>
        <w:t>pniu odpowiadającym wskaźnikowi cen towarów i usług konsumpcyjnych w okresie pierwszego półrocza roku, w którym stawki ulegają zmianie, w stosunku do analogicznego okresu roku poprzedniego i jest ogłaszana na każdy rok kalendarzowy przez ministra właściweg</w:t>
      </w:r>
      <w:r>
        <w:rPr>
          <w:color w:val="000000"/>
          <w:u w:color="000000"/>
        </w:rPr>
        <w:t>o do spraw finansów publicznych, w drodze obwieszczenia, w Dzienniku Urzędowym Rzeczypospolitej Polskiej „Monitor Polski". Na tej podstawie Minister Finansów wydał obwieszczenie z dnia 2 sierpnia 2023 r. w sprawie ogłoszenia obowiązujących w 2024 r. maksym</w:t>
      </w:r>
      <w:r>
        <w:rPr>
          <w:color w:val="000000"/>
          <w:u w:color="000000"/>
        </w:rPr>
        <w:t>alnych stawek opłat</w:t>
      </w:r>
      <w:r>
        <w:rPr>
          <w:color w:val="000000"/>
          <w:u w:color="000000"/>
        </w:rPr>
        <w:br/>
        <w:t>za usunięcie pojazdu z drogi i jego parkowanie na parkingu strzeżonym (M.P. poz. 805), dalej zwane Obwieszczeniem.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1</w:t>
      </w:r>
      <w:r>
        <w:rPr>
          <w:color w:val="000000"/>
          <w:u w:color="000000"/>
        </w:rPr>
        <w:t xml:space="preserve"> przedstawia porównanie stawek obowiązujących w roku bieżącym, z proponowanymi w niniejszej uchwale stawkami w</w:t>
      </w:r>
      <w:r>
        <w:rPr>
          <w:color w:val="000000"/>
          <w:u w:color="000000"/>
        </w:rPr>
        <w:t xml:space="preserve"> roku 2024. 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80"/>
        <w:gridCol w:w="1413"/>
        <w:gridCol w:w="1458"/>
      </w:tblGrid>
      <w:tr w:rsidR="00C34F05">
        <w:trPr>
          <w:trHeight w:val="126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opłaty za usunięcie pojazdu z drogi na terenie miasta Łodzi w przypadkach określonych w art. 130a ust. 1-2 ustawy z dnia 20 czerwca 1997 r. Prawo o ruchu drogowym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2023 r.</w:t>
            </w:r>
          </w:p>
          <w:p w:rsidR="00C34F05" w:rsidRDefault="00551C3F">
            <w:r>
              <w:t xml:space="preserve">(kwoty </w:t>
            </w:r>
          </w:p>
          <w:p w:rsidR="00C34F05" w:rsidRDefault="00551C3F">
            <w:r>
              <w:t>w PLN)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2024 r.</w:t>
            </w:r>
          </w:p>
          <w:p w:rsidR="00C34F05" w:rsidRDefault="00551C3F">
            <w:r>
              <w:t xml:space="preserve">(kwoty </w:t>
            </w:r>
          </w:p>
          <w:p w:rsidR="00C34F05" w:rsidRDefault="00551C3F">
            <w:r>
              <w:t>w PLN)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rower lub motorower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166,00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motocykl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281,00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324,00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pojazd o DMC</w:t>
            </w:r>
            <w:r>
              <w:rPr>
                <w:rStyle w:val="Odwoanieprzypisudolnego"/>
                <w:color w:val="000000"/>
                <w:sz w:val="20"/>
                <w:u w:color="000000"/>
              </w:rPr>
              <w:footnoteReference w:customMarkFollows="1" w:id="1"/>
              <w:t>1)</w:t>
            </w:r>
            <w:r>
              <w:rPr>
                <w:color w:val="000000"/>
                <w:u w:color="000000"/>
              </w:rPr>
              <w:t>do 3,5 t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697,00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pojazd o DMC powyżej 3,5 t do 7,5 t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757,00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871,00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pojazd o DMC powyżej 7,5 t do 16 t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1 069,00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1 230,00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pojazd o DMC powyżej 16 t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1 218,00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1 813,00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pojazd </w:t>
            </w:r>
            <w:r>
              <w:t>przewożący materiały niebezpieczne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1 917,00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2 205,00</w:t>
            </w:r>
          </w:p>
        </w:tc>
      </w:tr>
      <w:tr w:rsidR="00C34F05">
        <w:trPr>
          <w:trHeight w:val="315"/>
        </w:trPr>
        <w:tc>
          <w:tcPr>
            <w:tcW w:w="62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hulajnoga elektryczna lub urządzenie transportu osobistego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166,00</w:t>
            </w:r>
          </w:p>
        </w:tc>
      </w:tr>
      <w:tr w:rsidR="00C34F05">
        <w:trPr>
          <w:trHeight w:val="945"/>
        </w:trPr>
        <w:tc>
          <w:tcPr>
            <w:tcW w:w="927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opłaty za każdą dobę przechowywania na parkingu strzeżonym pojazdu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 2023 r.</w:t>
            </w:r>
          </w:p>
          <w:p w:rsidR="00C34F05" w:rsidRDefault="00551C3F">
            <w:r>
              <w:t xml:space="preserve">(kwoty </w:t>
            </w:r>
          </w:p>
          <w:p w:rsidR="00C34F05" w:rsidRDefault="00551C3F">
            <w:r>
              <w:t>w PLN)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 2024 r.</w:t>
            </w:r>
          </w:p>
          <w:p w:rsidR="00C34F05" w:rsidRDefault="00551C3F">
            <w:r>
              <w:t xml:space="preserve">(kwoty </w:t>
            </w:r>
          </w:p>
          <w:p w:rsidR="00C34F05" w:rsidRDefault="00551C3F">
            <w:r>
              <w:t>w PLN)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rower lub motorower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motocykl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43,00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pojazd o DMC do 3,5 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60,00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pojazd o DMC powyżej 3,5 t do 7,5 t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53,00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79,00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pojazd o DMC powyżej 7,5 t do 16 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112,00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pojazd o DMC powyżej 16 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139,00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199,00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pojazd przewożący </w:t>
            </w:r>
            <w:r>
              <w:t>materiały niebezpieczne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290,00</w:t>
            </w:r>
          </w:p>
        </w:tc>
      </w:tr>
      <w:tr w:rsidR="00C34F05">
        <w:trPr>
          <w:trHeight w:val="315"/>
        </w:trPr>
        <w:tc>
          <w:tcPr>
            <w:tcW w:w="640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hulajnoga elektryczna lub urządzenie transportu osobistego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32,00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Opłaty przewidziane w niniejszej uchwale kształtują się na poziomie maksymalnych stawek opłat za usunięcie pojazdu z drogi i jego parkowanie na </w:t>
      </w:r>
      <w:r>
        <w:rPr>
          <w:color w:val="000000"/>
          <w:u w:color="000000"/>
        </w:rPr>
        <w:t>parkingu strzeżonym przewidzianych w Obwieszczeniu. Podkreślić należy jednak, że nawet ustalenie stawek opłat za usuwanie i przechowywanie pojazdów w wysokości stawek maksymalnych nie zapewni Miastu Łódź dochodów pozwalających na pokrycie kosztów realizacj</w:t>
      </w:r>
      <w:r>
        <w:rPr>
          <w:color w:val="000000"/>
          <w:u w:color="000000"/>
        </w:rPr>
        <w:t>i tych zadań.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2 </w:t>
      </w:r>
      <w:r>
        <w:rPr>
          <w:color w:val="000000"/>
          <w:u w:color="000000"/>
        </w:rPr>
        <w:t xml:space="preserve">zawiera zestawienie uzyskanych dochodów i poniesionych kosztów realizacji zadania w roku 2022, w okresie od 1 stycznia 2023 r. do 31 lipca 2023 r. oraz prognozę dochodów i kosztów na rok 2024, przy uwzględnieniu stawek </w:t>
      </w:r>
      <w:r>
        <w:rPr>
          <w:color w:val="000000"/>
          <w:u w:color="000000"/>
        </w:rPr>
        <w:t>maksymalnych określonych w Obwieszczeniu.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776"/>
        <w:gridCol w:w="1427"/>
        <w:gridCol w:w="1427"/>
        <w:gridCol w:w="1700"/>
        <w:gridCol w:w="1639"/>
      </w:tblGrid>
      <w:tr w:rsidR="00C34F05">
        <w:trPr>
          <w:trHeight w:val="495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2022 r.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od 01 stycznia 2023 r. do 31 lipca 2023 r.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Kalkulacja 2024 r. - stawki z umowy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Kalkulacja - stawki maksymalne</w:t>
            </w:r>
          </w:p>
        </w:tc>
      </w:tr>
      <w:tr w:rsidR="00C34F05">
        <w:trPr>
          <w:trHeight w:val="300"/>
        </w:trPr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Liczba usuniętych pojazdów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art.130a PRD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936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468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1 000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1 000</w:t>
            </w:r>
          </w:p>
        </w:tc>
      </w:tr>
      <w:tr w:rsidR="00C34F05">
        <w:trPr>
          <w:trHeight w:val="300"/>
        </w:trPr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art.50a PRD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200</w:t>
            </w:r>
          </w:p>
        </w:tc>
      </w:tr>
      <w:tr w:rsidR="00C34F05">
        <w:trPr>
          <w:trHeight w:val="315"/>
        </w:trPr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OGÓŁEM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1 200</w:t>
            </w:r>
          </w:p>
        </w:tc>
      </w:tr>
      <w:tr w:rsidR="00C34F05">
        <w:trPr>
          <w:trHeight w:val="48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Dochody</w:t>
            </w:r>
          </w:p>
          <w:p w:rsidR="00C34F05" w:rsidRDefault="00551C3F">
            <w:r>
              <w:t>(kwoty w PLN)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opłaty za usuwanie i przechowywanie pojazdów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459 588,40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200 916,54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757 000,00</w:t>
            </w:r>
          </w:p>
        </w:tc>
      </w:tr>
      <w:tr w:rsidR="00C34F05">
        <w:trPr>
          <w:trHeight w:val="30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z tytułu przekazania pojazdów do </w:t>
            </w:r>
            <w:r>
              <w:lastRenderedPageBreak/>
              <w:t>demontażu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lastRenderedPageBreak/>
              <w:t>218 166,97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110 300,00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226 902,86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226 902,86</w:t>
            </w:r>
          </w:p>
        </w:tc>
      </w:tr>
      <w:tr w:rsidR="00C34F05">
        <w:trPr>
          <w:trHeight w:val="31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DOCHODY OGÓŁEM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677 755,37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311 216,54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557 902,86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983 902,86</w:t>
            </w:r>
          </w:p>
        </w:tc>
      </w:tr>
      <w:tr w:rsidR="00C34F05">
        <w:trPr>
          <w:trHeight w:val="48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Koszty</w:t>
            </w:r>
          </w:p>
          <w:p w:rsidR="00C34F05" w:rsidRDefault="00551C3F">
            <w:r>
              <w:t>(kwoty w PLN)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usuwania pojazdów na podstawie art.130a PRD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312 075,60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139 918,65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320 000,00</w:t>
            </w:r>
          </w:p>
        </w:tc>
      </w:tr>
      <w:tr w:rsidR="00C34F05">
        <w:trPr>
          <w:trHeight w:val="52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z tytułu usuwania pojazdów (w tym pojazdy usuwane na podstawie art. 50a PRD </w:t>
            </w:r>
            <w:r>
              <w:t>(tzw. "wraki")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64 169,10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32 373,60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64 000,00</w:t>
            </w:r>
          </w:p>
        </w:tc>
      </w:tr>
      <w:tr w:rsidR="00C34F05">
        <w:trPr>
          <w:trHeight w:val="30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ochrony i prowadzenia parkingu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318 267,64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207 809,98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463 119,38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463 119,38</w:t>
            </w:r>
          </w:p>
        </w:tc>
      </w:tr>
      <w:tr w:rsidR="00C34F05">
        <w:trPr>
          <w:trHeight w:val="48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najmu gruntu pod parking (ul. Telefoniczna)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33 366,36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13 609,64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C34F05">
        <w:trPr>
          <w:trHeight w:val="30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z tytułu najmu gruntu pod </w:t>
            </w:r>
            <w:r>
              <w:t>parking (ul. Pilska)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153 548,36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360 000,00</w:t>
            </w:r>
          </w:p>
        </w:tc>
      </w:tr>
      <w:tr w:rsidR="00C34F05">
        <w:trPr>
          <w:trHeight w:val="48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przygotowania gruntu pod parking (ul. Pilska)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153 999,00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C34F05">
        <w:trPr>
          <w:trHeight w:val="48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z tytułu spraw sądowych (opłaty sądowe, komornicze)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72 328,58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36 220,47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80 000,00</w:t>
            </w:r>
          </w:p>
        </w:tc>
      </w:tr>
      <w:tr w:rsidR="00C34F05">
        <w:trPr>
          <w:trHeight w:val="48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z tytułu wyceny </w:t>
            </w:r>
            <w:r>
              <w:t>pojazdów (dot. tylko pojazdów usuwanych na podstawie art. 130a PRD)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12 915,00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3 198,00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15 000,00</w:t>
            </w:r>
          </w:p>
        </w:tc>
      </w:tr>
      <w:tr w:rsidR="00C34F05">
        <w:trPr>
          <w:trHeight w:val="31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KOSZTY OGÓŁEM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813 122,28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740 677,70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1 302 119,38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1 302 119,38</w:t>
            </w:r>
          </w:p>
        </w:tc>
      </w:tr>
      <w:tr w:rsidR="00C34F05">
        <w:trPr>
          <w:trHeight w:val="315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BILANS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-135 366,91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-429 461,16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-744 216,53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-318 216,53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związku z powyższym w celu</w:t>
      </w:r>
      <w:r>
        <w:rPr>
          <w:color w:val="000000"/>
          <w:u w:color="000000"/>
        </w:rPr>
        <w:t xml:space="preserve"> ustalenia kosztów rzeczywistych usunięcia pojazdu z drogi na terenie Powiatu Miasta Łodzi dokonano analizy rynku.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3</w:t>
      </w:r>
      <w:r>
        <w:rPr>
          <w:color w:val="000000"/>
          <w:u w:color="000000"/>
        </w:rPr>
        <w:t xml:space="preserve"> zawiera dane dotyczące kosztów usunięcia pojazdów z dróg znajdujących się na terenie Powiatu Miasta Łodzi (ceny brutto), które po</w:t>
      </w:r>
      <w:r>
        <w:rPr>
          <w:color w:val="000000"/>
          <w:u w:color="000000"/>
        </w:rPr>
        <w:t xml:space="preserve">zyskano telefonicznie od firm </w:t>
      </w:r>
      <w:r>
        <w:rPr>
          <w:color w:val="000000"/>
          <w:u w:color="000000"/>
        </w:rPr>
        <w:lastRenderedPageBreak/>
        <w:t>zajmujących się holowaniem pojazdów na terenie Powiatu Miasta Łodzi oraz z umowy na usuwanie (holowanie) pojazdów z dróg znajdujących się na terenie Miasta Łodzi, zawartej pomiędzy Miastem Łódź – Zarządem Dróg i Transportu a f</w:t>
      </w:r>
      <w:r>
        <w:rPr>
          <w:color w:val="000000"/>
          <w:u w:color="000000"/>
        </w:rPr>
        <w:t>irmą Landcar Sp. z o.o. Sp. K. z siedzibą w Starowej Górze (umowa została zawarta na okres od dnia 1 października 2023 r. do dnia 31 grudnia 2025 r.).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337"/>
        <w:gridCol w:w="1338"/>
        <w:gridCol w:w="1383"/>
        <w:gridCol w:w="1533"/>
        <w:gridCol w:w="1323"/>
        <w:gridCol w:w="1067"/>
      </w:tblGrid>
      <w:tr w:rsidR="00C34F05">
        <w:trPr>
          <w:trHeight w:val="1629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firmy / rodzaj pojazdu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Drogowa „Turbo”; Łódź, ul. Julianowska 9</w:t>
            </w:r>
          </w:p>
          <w:p w:rsidR="00C34F05" w:rsidRDefault="00551C3F">
            <w:r>
              <w:rPr>
                <w:sz w:val="16"/>
              </w:rPr>
              <w:t>(kwoty w PLN)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P.H</w:t>
            </w:r>
            <w:r>
              <w:rPr>
                <w:b/>
                <w:sz w:val="16"/>
              </w:rPr>
              <w:t xml:space="preserve">.U. Autoholik; Łódź, </w:t>
            </w:r>
          </w:p>
          <w:p w:rsidR="00C34F05" w:rsidRDefault="00551C3F">
            <w:r>
              <w:rPr>
                <w:b/>
                <w:sz w:val="16"/>
              </w:rPr>
              <w:t>ul. Berka Joselewicza 16</w:t>
            </w:r>
          </w:p>
          <w:p w:rsidR="00C34F05" w:rsidRDefault="00551C3F">
            <w:r>
              <w:rPr>
                <w:sz w:val="16"/>
              </w:rPr>
              <w:t>(kwoty w PLN)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autopomoc.eu; Łódź, </w:t>
            </w:r>
          </w:p>
          <w:p w:rsidR="00C34F05" w:rsidRDefault="00551C3F">
            <w:r>
              <w:rPr>
                <w:b/>
                <w:sz w:val="16"/>
              </w:rPr>
              <w:t>ul. Brukowa 8</w:t>
            </w:r>
          </w:p>
          <w:p w:rsidR="00C34F05" w:rsidRDefault="00551C3F">
            <w:r>
              <w:rPr>
                <w:sz w:val="16"/>
              </w:rPr>
              <w:t>(kwoty w PLN)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Serwis Auto Habenda (www.habenda.</w:t>
            </w:r>
          </w:p>
          <w:p w:rsidR="00C34F05" w:rsidRDefault="00551C3F">
            <w:r>
              <w:rPr>
                <w:b/>
                <w:sz w:val="16"/>
              </w:rPr>
              <w:t>com.pl); Łódź, al. Jana Pawła II 19</w:t>
            </w:r>
          </w:p>
          <w:p w:rsidR="00C34F05" w:rsidRDefault="00551C3F">
            <w:r>
              <w:rPr>
                <w:sz w:val="16"/>
              </w:rPr>
              <w:t>(kwoty w PLN)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Pomoc Drogowa Laweta Radan Auto (www.laweta. entro.pl); Łódź, </w:t>
            </w:r>
          </w:p>
          <w:p w:rsidR="00C34F05" w:rsidRDefault="00551C3F">
            <w:r>
              <w:rPr>
                <w:b/>
                <w:sz w:val="16"/>
              </w:rPr>
              <w:t>ul. Karpia 70</w:t>
            </w:r>
          </w:p>
          <w:p w:rsidR="00C34F05" w:rsidRDefault="00551C3F">
            <w:r>
              <w:rPr>
                <w:sz w:val="16"/>
              </w:rPr>
              <w:t>(kwoty w PLN)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Landcar 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Sp. z o.o. </w:t>
            </w:r>
          </w:p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Sp. K.</w:t>
            </w:r>
          </w:p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(kwoty </w:t>
            </w:r>
          </w:p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PLN)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rower lub motorower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319,68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motocykl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319,68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pojazd o DMC</w:t>
            </w:r>
          </w:p>
          <w:p w:rsidR="00C34F05" w:rsidRDefault="00551C3F">
            <w:pPr>
              <w:jc w:val="left"/>
            </w:pPr>
            <w:r>
              <w:rPr>
                <w:sz w:val="16"/>
              </w:rPr>
              <w:t>do 3,5 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 </w:t>
            </w:r>
            <w:r>
              <w:rPr>
                <w:sz w:val="16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300,00 do 650,00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319,68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pojazd o DMC powyżej 3,5 t </w:t>
            </w:r>
          </w:p>
          <w:p w:rsidR="00C34F05" w:rsidRDefault="00551C3F">
            <w:pPr>
              <w:jc w:val="left"/>
            </w:pPr>
            <w:r>
              <w:rPr>
                <w:sz w:val="16"/>
              </w:rPr>
              <w:t>do 7,5 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od 550,00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1537,50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pojazd o DMC powyżej 7,5 t </w:t>
            </w:r>
          </w:p>
          <w:p w:rsidR="00C34F05" w:rsidRDefault="00551C3F">
            <w:pPr>
              <w:jc w:val="left"/>
            </w:pPr>
            <w:r>
              <w:rPr>
                <w:sz w:val="16"/>
              </w:rPr>
              <w:t>do 16 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1537,50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pojazd </w:t>
            </w:r>
            <w:r>
              <w:rPr>
                <w:sz w:val="16"/>
              </w:rPr>
              <w:t>o DMC powyżej 16 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2460,00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pojazd przewożący materiały niebezpieczne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hulajnoga elektryczna lub urządzenie transportu </w:t>
            </w:r>
            <w:r>
              <w:rPr>
                <w:sz w:val="16"/>
              </w:rPr>
              <w:t>osobistego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brak danych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C34F05" w:rsidRDefault="00C34F05"/>
          <w:p w:rsidR="00C34F05" w:rsidRDefault="00C34F05"/>
          <w:p w:rsidR="00C34F05" w:rsidRDefault="00C34F05"/>
          <w:p w:rsidR="00C34F05" w:rsidRDefault="00C34F05"/>
          <w:p w:rsidR="00C34F05" w:rsidRDefault="00551C3F">
            <w:r>
              <w:rPr>
                <w:sz w:val="16"/>
              </w:rPr>
              <w:t>143,91</w:t>
            </w:r>
          </w:p>
        </w:tc>
      </w:tr>
      <w:tr w:rsidR="00C34F05">
        <w:trPr>
          <w:trHeight w:val="28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źródło pozyskania danych: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telefonicznie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telefonicznie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telefonicznie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telefonicznie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telefonicznie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zawarta umowa na holowanie pojazdów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Z uzyskanych informacji wynika, że koszt </w:t>
      </w:r>
      <w:r>
        <w:rPr>
          <w:color w:val="000000"/>
          <w:u w:color="000000"/>
        </w:rPr>
        <w:t>usunięcia jednego pojazdu o dopuszczalnej masie całkowitej do 3,5 t, czyli najczęściej usuwanego, kształtuje się w granicach od 200,00 zł brutto do 650,00 zł brutto. Jednocześnie z informacji uzyskanych od firm wynika, że nie ma stałych cenników dla tego t</w:t>
      </w:r>
      <w:r>
        <w:rPr>
          <w:color w:val="000000"/>
          <w:u w:color="000000"/>
        </w:rPr>
        <w:t>ypu usług, bowiem ceny zależą od wielu czynników, takich jak: pora dnia, dzień tygodnia, stan techniczny i gabaryty pojazdu czy odległość holowania. W związku z powyższym oraz zbyt małym zakresem dostępnych danych (skąpe informacje o kosztach usuwania poja</w:t>
      </w:r>
      <w:r>
        <w:rPr>
          <w:color w:val="000000"/>
          <w:u w:color="000000"/>
        </w:rPr>
        <w:t>zdów o dopuszczalnej masie całkowitej powyżej 3,5 t) pozyskane informacje nie mogą stanowić rzetelnej podstawy do ustalenia wysokości opłat za usuwanie pojazdów na terenie Powiatu Miasta Łodzi.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celu ustalenia opłat za parkowanie pojazdów na parkingach </w:t>
      </w:r>
      <w:r>
        <w:rPr>
          <w:color w:val="000000"/>
          <w:u w:color="000000"/>
        </w:rPr>
        <w:t>strzeżonych na obszarze Powiatu Miasta Łodzi dokonano analizy rynku.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4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zawiera dane dotyczące kosztów przechowywania pojazdów na parkingach strzeżonych na obszarze Powiatu Miasta Łodzi, które pozyskano z dedykowanych stron internetowych lub telef</w:t>
      </w:r>
      <w:r>
        <w:rPr>
          <w:color w:val="000000"/>
          <w:u w:color="000000"/>
        </w:rPr>
        <w:t>onicznie od firm zajmujących się prowadzeniem i ochroną parkingów strzeżonych (ceny brutto). Analiza rynku wykazała, że ceny za jedną dobę parkowania pojazdu o dopuszczalnej masie całkowitej do 3,5 t na parkingu strzeżonym, czyli najczęściej usuwanego, wah</w:t>
      </w:r>
      <w:r>
        <w:rPr>
          <w:color w:val="000000"/>
          <w:u w:color="000000"/>
        </w:rPr>
        <w:t xml:space="preserve">ają się od 25,00 zł brutto do 70,00 zł brutto. Brak jest wystarczających informacji dotyczących przechowywania rowerów/motorów, motocykli, hulajnóg </w:t>
      </w:r>
      <w:r>
        <w:rPr>
          <w:color w:val="000000"/>
          <w:u w:color="000000"/>
        </w:rPr>
        <w:lastRenderedPageBreak/>
        <w:t>elektrycznych, urządzeń transportu osobistego oraz pojazdów o dopuszczalnej masie całkowitej powyżej 3,5 t.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029"/>
        <w:gridCol w:w="1698"/>
        <w:gridCol w:w="2314"/>
        <w:gridCol w:w="1788"/>
      </w:tblGrid>
      <w:tr w:rsidR="00C34F05">
        <w:trPr>
          <w:trHeight w:val="2175"/>
        </w:trPr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firmy (parking)</w:t>
            </w:r>
          </w:p>
          <w:p w:rsidR="00C34F05" w:rsidRDefault="00551C3F">
            <w:pPr>
              <w:jc w:val="left"/>
            </w:pPr>
            <w:r>
              <w:rPr>
                <w:b/>
                <w:sz w:val="20"/>
              </w:rPr>
              <w:t>/ rodzaj pojazdu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P.H.U. Ciechomex:  Łódź, ul. Przybyszewskiego 28 (www.parkingiwlodzi.pl)</w:t>
            </w:r>
          </w:p>
          <w:p w:rsidR="00C34F05" w:rsidRDefault="00551C3F">
            <w:r>
              <w:rPr>
                <w:sz w:val="20"/>
              </w:rPr>
              <w:t>(kwoty w PLN)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Parking: Łódź, </w:t>
            </w:r>
          </w:p>
          <w:p w:rsidR="00C34F05" w:rsidRDefault="00551C3F">
            <w:r>
              <w:rPr>
                <w:b/>
                <w:sz w:val="20"/>
              </w:rPr>
              <w:t>ul. Pienista 32 (www.parking-lotnisko-lodz.pl)</w:t>
            </w:r>
          </w:p>
          <w:p w:rsidR="00C34F05" w:rsidRDefault="00551C3F">
            <w:r>
              <w:rPr>
                <w:sz w:val="20"/>
              </w:rPr>
              <w:t>(kwoty w PLN)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Parking strzeżony 24h w centrum Łodzi prz</w:t>
            </w:r>
            <w:r>
              <w:rPr>
                <w:b/>
                <w:sz w:val="20"/>
              </w:rPr>
              <w:t>y ul. Narutowicza (https://parking.lodz.pl/)</w:t>
            </w:r>
          </w:p>
          <w:p w:rsidR="00C34F05" w:rsidRDefault="00551C3F">
            <w:r>
              <w:rPr>
                <w:sz w:val="20"/>
              </w:rPr>
              <w:t>(kwoty w PLN)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Parking strzeżony: </w:t>
            </w:r>
          </w:p>
          <w:p w:rsidR="00C34F05" w:rsidRDefault="00551C3F">
            <w:r>
              <w:rPr>
                <w:b/>
                <w:sz w:val="20"/>
              </w:rPr>
              <w:t>Łódź,  ul. Sienkiewicza 81 (www.offparking)</w:t>
            </w:r>
          </w:p>
          <w:p w:rsidR="00C34F05" w:rsidRDefault="00551C3F">
            <w:r>
              <w:rPr>
                <w:sz w:val="20"/>
              </w:rPr>
              <w:t>(kwoty w PLN)</w:t>
            </w:r>
          </w:p>
        </w:tc>
      </w:tr>
      <w:tr w:rsidR="00C34F05">
        <w:trPr>
          <w:trHeight w:val="330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rower lub motorower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</w:tr>
      <w:tr w:rsidR="00C34F05">
        <w:trPr>
          <w:trHeight w:val="28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motocykl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brak </w:t>
            </w:r>
            <w:r>
              <w:rPr>
                <w:sz w:val="20"/>
              </w:rPr>
              <w:t>danych</w:t>
            </w:r>
          </w:p>
        </w:tc>
      </w:tr>
      <w:tr w:rsidR="00C34F05">
        <w:trPr>
          <w:trHeight w:val="28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pojazd o DMC do 3,5 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69,00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70,00</w:t>
            </w:r>
          </w:p>
        </w:tc>
      </w:tr>
      <w:tr w:rsidR="00C34F05">
        <w:trPr>
          <w:trHeight w:val="52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pojazd o DMC powyżej 3,5 t do 7,5 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</w:tr>
      <w:tr w:rsidR="00C34F05">
        <w:trPr>
          <w:trHeight w:val="596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pojazd o DMC powyżej 7,5 t do 16 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</w:tr>
      <w:tr w:rsidR="00C34F05">
        <w:trPr>
          <w:trHeight w:val="28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pojazd o DMC powyżej 16 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</w:t>
            </w:r>
            <w:r>
              <w:rPr>
                <w:sz w:val="20"/>
              </w:rPr>
              <w:t xml:space="preserve"> danych</w:t>
            </w:r>
          </w:p>
        </w:tc>
      </w:tr>
      <w:tr w:rsidR="00C34F05">
        <w:trPr>
          <w:trHeight w:val="68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pojazd przewożący materiały niebezpieczne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</w:tr>
      <w:tr w:rsidR="00C34F05">
        <w:trPr>
          <w:trHeight w:val="81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hulajnoga elektryczna lub urządzenie transportu osobistego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brak danych</w:t>
            </w:r>
          </w:p>
        </w:tc>
      </w:tr>
      <w:tr w:rsidR="00C34F05">
        <w:trPr>
          <w:trHeight w:val="815"/>
        </w:trPr>
        <w:tc>
          <w:tcPr>
            <w:tcW w:w="14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źródło pozyskania danych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strona internetowa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strona internetowa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strona internetowa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strona internetowa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Zarząd Dróg i Transportu administruje parkingiem strzeżonym, na który usuwane są pojazdy z dróg znajdujących się na terenie Miasta Łodzi. Koszty dzierżawy terenu w Łodzi przy ul. Pilskiej 2-4, na kt</w:t>
      </w:r>
      <w:r>
        <w:rPr>
          <w:color w:val="000000"/>
          <w:u w:color="000000"/>
        </w:rPr>
        <w:t>órym znajduje się ww. całodobowy parking strzeżony, wynoszą</w:t>
      </w:r>
      <w:r>
        <w:rPr>
          <w:color w:val="000000"/>
          <w:u w:color="000000"/>
        </w:rPr>
        <w:br/>
        <w:t>35 000,00 zł brutto miesięcznie (stawka obowiązuje do 31 grudnia 2023 r., następnie będzie wynosiła 30 000,00 zł brutto), natomiast koszty związane z jego prowadzeniem i ochroną wynoszą 30 887,76 </w:t>
      </w:r>
      <w:r>
        <w:rPr>
          <w:color w:val="000000"/>
          <w:u w:color="000000"/>
        </w:rPr>
        <w:t>zł brutto miesięcznie.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5 </w:t>
      </w:r>
      <w:r>
        <w:rPr>
          <w:color w:val="000000"/>
          <w:u w:color="000000"/>
        </w:rPr>
        <w:t>przedstawia liczbę pojazdów usuniętych z art. 50a PRD oraz art. 130a PRD w okresie od 1 stycznia 2019 do 31 lipca 2023 r.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413"/>
        <w:gridCol w:w="1443"/>
        <w:gridCol w:w="1563"/>
        <w:gridCol w:w="1473"/>
        <w:gridCol w:w="1849"/>
      </w:tblGrid>
      <w:tr w:rsidR="00C34F05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pojazdów usuniętych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2019 r.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2020 r.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2021r.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w 2022 r.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w okresie od 1 </w:t>
            </w:r>
            <w:r>
              <w:rPr>
                <w:b/>
              </w:rPr>
              <w:t>stycznia 2023 r. do 31 lipca 2023 r.</w:t>
            </w:r>
          </w:p>
        </w:tc>
      </w:tr>
      <w:tr w:rsidR="00C34F05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t>na podstawie art.130a PRD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1011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876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1018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936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468</w:t>
            </w:r>
          </w:p>
        </w:tc>
      </w:tr>
      <w:tr w:rsidR="00C34F05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t>na podstawie art.50a PRD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183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134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224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222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112</w:t>
            </w:r>
          </w:p>
        </w:tc>
      </w:tr>
      <w:tr w:rsidR="00C34F05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1194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1010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1242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1158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580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lastRenderedPageBreak/>
        <w:t>Tabela nr 6</w:t>
      </w:r>
      <w:r>
        <w:rPr>
          <w:color w:val="000000"/>
          <w:u w:color="000000"/>
        </w:rPr>
        <w:t xml:space="preserve"> przedstawia zestawienie dochodów i ponoszonych kosztów z tytułu usuwanie i </w:t>
      </w:r>
      <w:r>
        <w:rPr>
          <w:color w:val="000000"/>
          <w:u w:color="000000"/>
        </w:rPr>
        <w:t>przechowywanie pojazdów na parkingu strzeżonym w okresie od 1 stycznia 2019 r. do 31 lipca 2023 r., brane pod uwagę przez Radę Miejską w Łodzi przy ustaleniu wysokości opłat za usuwanie i przechowywanie pojazdów na parkingu strzeżonym w roku 2024 na obszar</w:t>
      </w:r>
      <w:r>
        <w:rPr>
          <w:color w:val="000000"/>
          <w:u w:color="000000"/>
        </w:rPr>
        <w:t>ze Powiatu Miasta Łodzi.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 zestawienia tego wynika, m.in. że w każdym roku badanego okresu koszty związane z usuwaniem pojazdów z drogi i ich przechowywaniem na parkingu strzeżonym przewyższają dochody uzyskiwane z tego tytułu. Analiza finansowa opierała s</w:t>
      </w:r>
      <w:r>
        <w:rPr>
          <w:color w:val="000000"/>
          <w:u w:color="000000"/>
        </w:rPr>
        <w:t>ię na zestawieniu dochodów i rzeczywistych kosztów jakie poniósł Powiat Miasto Łódź w okresie od 1 stycznia 2019 r. do 31 lipca 2023 r. realizując przedmiotowe zadanie, w tym uwzględniając: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- dochody z tytułu opłat za usuwanie i przechowywanie pojazdów, z </w:t>
      </w:r>
      <w:r>
        <w:rPr>
          <w:color w:val="000000"/>
          <w:u w:color="000000"/>
        </w:rPr>
        <w:t>tytułu przekazania pojazdów do demontażu, z tytułu sprzedaży pojazdów określone na podstawie wpłat dokonanych z tytułu usunięcia i przechowywania pojazdu, skutecznej egzekucji należności</w:t>
      </w:r>
      <w:r>
        <w:rPr>
          <w:color w:val="000000"/>
          <w:u w:color="000000"/>
        </w:rPr>
        <w:br/>
        <w:t>na podstawie wystawionych decyzji, wpłat za pojazdy przekazane do dem</w:t>
      </w:r>
      <w:r>
        <w:rPr>
          <w:color w:val="000000"/>
          <w:u w:color="000000"/>
        </w:rPr>
        <w:t>ontażu, wpłat z tytułu sprzedaży pojazdów,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- koszty związane z usuwaniem i przechowywaniem pojazdów (z wyłączeniem kosztów organizacyjnych, pracowniczych, obsługi prawnej i księgowej) do których należą m.in.: wydatki na usuwanie pojazdów, wydatki na prowad</w:t>
      </w:r>
      <w:r>
        <w:rPr>
          <w:color w:val="000000"/>
          <w:u w:color="000000"/>
        </w:rPr>
        <w:t>zenie i ochronę parkingu strzeżonego, wydatki z tytułu najmu gruntu pod parking strzeżony, wydatki z tytułu spraw sądowych, wydatki z tytułu wyceny pojazdów.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Tabela nr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43"/>
        <w:gridCol w:w="2540"/>
        <w:gridCol w:w="2360"/>
        <w:gridCol w:w="1879"/>
      </w:tblGrid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lata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dochody z tytułu opłaty za usuwanie i przechowywanie pojazdów oraz z tytułu przekazania pojazdów do demontażu, sprzedaży pojazdów </w:t>
            </w:r>
          </w:p>
          <w:p w:rsidR="00C34F05" w:rsidRDefault="00551C3F">
            <w:r>
              <w:t>(kwoty w PLN)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związane z usuwaniem i przechowywaniem pojazdów z wyłączeniem kosztów organizacyjnych, pracowniczych, ob</w:t>
            </w:r>
            <w:r>
              <w:rPr>
                <w:b/>
              </w:rPr>
              <w:t xml:space="preserve">sługi prawnej i księgowej </w:t>
            </w:r>
          </w:p>
          <w:p w:rsidR="00C34F05" w:rsidRDefault="00551C3F">
            <w:r>
              <w:t>(kwoty w PLN)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rPr>
                <w:b/>
              </w:rPr>
              <w:t>różnica pomiędzy poniesionymi kosztami a osiągniętymi dochodami</w:t>
            </w:r>
          </w:p>
          <w:p w:rsidR="00C34F05" w:rsidRDefault="00551C3F">
            <w:r>
              <w:t>(kwoty w PLN)</w:t>
            </w:r>
          </w:p>
        </w:tc>
      </w:tr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2019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547 443,71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653 599,59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106 155,88</w:t>
            </w:r>
          </w:p>
        </w:tc>
      </w:tr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2020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440 222,68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646 625,63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206 402,95</w:t>
            </w:r>
          </w:p>
        </w:tc>
      </w:tr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2021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570 788,39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792 093,26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221 304,87</w:t>
            </w:r>
          </w:p>
        </w:tc>
      </w:tr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2022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677 </w:t>
            </w:r>
            <w:r>
              <w:t>755,37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813 122,28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135 366,91</w:t>
            </w:r>
          </w:p>
        </w:tc>
      </w:tr>
      <w:tr w:rsidR="00C34F05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 xml:space="preserve">2023 </w:t>
            </w:r>
          </w:p>
          <w:p w:rsidR="00C34F05" w:rsidRDefault="00551C3F">
            <w:r>
              <w:t>(od 1 stycznia 2023 r. do 31lipca 2023 r.)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311 216,54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740 677,70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551C3F">
            <w:pPr>
              <w:rPr>
                <w:color w:val="000000"/>
                <w:u w:color="000000"/>
              </w:rPr>
            </w:pPr>
            <w:r>
              <w:t>429 461,16</w:t>
            </w:r>
          </w:p>
        </w:tc>
      </w:tr>
    </w:tbl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Biorąc pod uwagę fakt, że zgodnie z PRD opłaty za usuwanie i przechowywanie pojazdów stanowią dochód własny powiatu, ustalając stawki należy </w:t>
      </w:r>
      <w:r>
        <w:rPr>
          <w:color w:val="000000"/>
          <w:u w:color="000000"/>
        </w:rPr>
        <w:t>również uwzględnić koszty, jakie powiat będzie ponosił w związku z wykonywaniem tego zadania w 2024 r. Należy w tym miejscu zauważyć, że wysokość kosztów poniesionych przez powiat zależy nie tylko od liczby i rodzaju usuniętych pojazdów, w tym okresu ich p</w:t>
      </w:r>
      <w:r>
        <w:rPr>
          <w:color w:val="000000"/>
          <w:u w:color="000000"/>
        </w:rPr>
        <w:t>rzechowywania na parkingu strzeżonym, ale przede wszystkim od faktu czy zostaną one odebrane przez właścicieli/osoby uprawnione w określonym terminie oraz czy zajdzie konieczność wdrożenia przedłużającego się postępowania o orzeczenie przez Sąd przepadku p</w:t>
      </w:r>
      <w:r>
        <w:rPr>
          <w:color w:val="000000"/>
          <w:u w:color="000000"/>
        </w:rPr>
        <w:t xml:space="preserve">ojazdu na rzecz powiatu. W takich przypadkach wartość przejmowanego pojazdu jest najczęściej znikoma (bardzo często są to pojazdy powypadkowe) i zdecydowana większość pojazdów, które stały </w:t>
      </w:r>
      <w:r>
        <w:rPr>
          <w:color w:val="000000"/>
          <w:u w:color="000000"/>
        </w:rPr>
        <w:lastRenderedPageBreak/>
        <w:t>się własnością Miasta Łodzi jest przekazywana do demontażu. Egzekuc</w:t>
      </w:r>
      <w:r>
        <w:rPr>
          <w:color w:val="000000"/>
          <w:u w:color="000000"/>
        </w:rPr>
        <w:t>ja kosztów od właścicieli pojazdów w takich przypadkach okazuje się z różnych powodów nieskuteczna. Dodatkowymi kosztami ponoszonymi przez powiat, związanymi z usuwaniem i przechowywaniem pojazdów są również: koszty postępowania sądowego oraz konieczność z</w:t>
      </w:r>
      <w:r>
        <w:rPr>
          <w:color w:val="000000"/>
          <w:u w:color="000000"/>
        </w:rPr>
        <w:t>apewnienia osobowej i sprzętowej obsługi tego zadania przez pracowników urzędu. To również jest koszt, który należy uwzględnić jako jeden z istotnych elementów wpływających na określenie kwot na dany rok w zakresie realizacji przedmiotowego zadania.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Przy o</w:t>
      </w:r>
      <w:r>
        <w:rPr>
          <w:color w:val="000000"/>
          <w:u w:color="000000"/>
        </w:rPr>
        <w:t>kreśleniu kosztów w przypadku odstąpienia od usunięcia pojazdu wzięto pod uwagę koszt dojazdu do miejsca zdarzenia oraz podejmowane czynności: załadunek i wyładunek pojazdu. Na wysokość kosztów wpływ ma również czas pracy kierowcy, zużycie paliwa oraz zaan</w:t>
      </w:r>
      <w:r>
        <w:rPr>
          <w:color w:val="000000"/>
          <w:u w:color="000000"/>
        </w:rPr>
        <w:t>gażowanie specjalistycznego sprzętu.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Ustalone opłaty są wynikiem analizy opartej tylko na przesłankach ustawowych,</w:t>
      </w:r>
      <w:r>
        <w:rPr>
          <w:color w:val="000000"/>
          <w:u w:color="000000"/>
        </w:rPr>
        <w:br/>
        <w:t>tj. potrzebie sprawnej realizacji zadań w zakresie usuwania pojazdów z drogi oraz rzeczywistych kosztach usuwania i przechowywania pojazdów n</w:t>
      </w:r>
      <w:r>
        <w:rPr>
          <w:color w:val="000000"/>
          <w:u w:color="000000"/>
        </w:rPr>
        <w:t>a obszarze Powiatu Miasta Łodzi.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Przy kalkulacji opłat oraz kosztów, o których mowa w uchwale, należy uwzględnić z jednej strony konieczność zapewnienia sprawnej realizacji zadań, z drugiej zaś wysokość kosztów usuwania i przechowywania pojazdów na obszarz</w:t>
      </w:r>
      <w:r>
        <w:rPr>
          <w:color w:val="000000"/>
          <w:u w:color="000000"/>
        </w:rPr>
        <w:t>e Powiatu Miasta Łodzi. Koszty związane z usuwaniem pojazdów z drogi i ich parkowaniem na parkingu strzeżonym oraz wysokość kosztów powstałych w razie odstąpienia od usunięcia pojazdu przewyższają dochody uzyskiwane z tego tytułu, a zatem konieczne jest po</w:t>
      </w:r>
      <w:r>
        <w:rPr>
          <w:color w:val="000000"/>
          <w:u w:color="000000"/>
        </w:rPr>
        <w:t>dwyższenie wysokości tych opłat na rok 2024, aby zapewnić środki niezbędne dla pokrycia kosztów ponoszonych przez Powiat Miasto Łódź w związku z realizacją zadania nałożonego przez PRD.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Ustawodawca przekazując powiatom jako zadanie własne, zadanie usuwania</w:t>
      </w:r>
      <w:r>
        <w:rPr>
          <w:color w:val="000000"/>
          <w:u w:color="000000"/>
        </w:rPr>
        <w:t xml:space="preserve"> pojazdów oraz prowadzenia parkingu strzeżonego dla pojazdów usuniętych w przypadkach, o których mowa w art. 130a ust. 1-2 PRD, nie zapewnił na ten cel żadnych środków, poza wpływami z opłat ustalonych przez radę powiatu w uchwale podjętej na podstawie art</w:t>
      </w:r>
      <w:r>
        <w:rPr>
          <w:color w:val="000000"/>
          <w:u w:color="000000"/>
        </w:rPr>
        <w:t>. 130a ust. 6 PRD. Powiat nie tylko nie zarabia na realizacji przedmiotowego zadania, lecz ponosi w związku z jego realizacją straty.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Celem zadania publicznego polegającego na usuwaniu pojazdów z dróg w trybie art. 130a PRD jest zapewnienie odpowiedniego p</w:t>
      </w:r>
      <w:r>
        <w:rPr>
          <w:color w:val="000000"/>
          <w:u w:color="000000"/>
        </w:rPr>
        <w:t>oziomu bezpieczeństwa w ruchu drogowym. Jeżeli chodzi o podstawy usuwania pojazdów na terenie Powiatu Miasta Łodzi, to dominują wśród nich: pozostawienie pojazdu w miejscu, gdzie jest to zabronione i utrudnia ruch lub zagraża bezpieczeństwu bądź też zatrzy</w:t>
      </w:r>
      <w:r>
        <w:rPr>
          <w:color w:val="000000"/>
          <w:u w:color="000000"/>
        </w:rPr>
        <w:t xml:space="preserve">manie pojazdu, który z różnych względów - związanych zarówno z pojazdem, tzn. jego stan techniczny zagraża bezpieczeństwu ruchu drogowego, jak i z osobą nim kierującą (osoba znajdująca się w stanie nietrzeźwości lub w stanie po użyciu alkoholu albo środka </w:t>
      </w:r>
      <w:r>
        <w:rPr>
          <w:color w:val="000000"/>
          <w:u w:color="000000"/>
        </w:rPr>
        <w:t>działającego podobnie do alkoholu, nieposiadająca uprawnień do kierowania pojazdem) - nie powinien się w danym miejscu lub okolicznościach poruszać. Zabudowa Miasta Łodzi charakteryzuje się wąskimi ulicami, często w jezdni znajduje się torowisko tramwajowe</w:t>
      </w:r>
      <w:r>
        <w:rPr>
          <w:color w:val="000000"/>
          <w:u w:color="000000"/>
        </w:rPr>
        <w:t xml:space="preserve">. Pozostawienie pojazdu w miejscu niedozwolonym powoduje paraliż komunikacyjny danego odcinka drogi, ponieważ brak przejazdu dla tramwaju jest przyczyną blokowania całego odcinka drogi. Łódź jest miastem nastawionym na priorytet dla transportu zbiorowego, </w:t>
      </w:r>
      <w:r>
        <w:rPr>
          <w:color w:val="000000"/>
          <w:u w:color="000000"/>
        </w:rPr>
        <w:t>gdzie kluczowym czynnikiem dla prawidłowego funkcjonowania komunikacji miejskiej jest punktualność środków transportu zbiorowego, dlatego też wprowadza element prewencyjny.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wyroku z 23 czerwca 2021 r. sygn. akt III OSK 3740/21 Naczelny Sąd </w:t>
      </w:r>
      <w:r>
        <w:rPr>
          <w:color w:val="000000"/>
          <w:u w:color="000000"/>
        </w:rPr>
        <w:t>Administracyjny dokonując oceny spełnienia kryterium „konieczności sprawnej realizacji zadań" uznał, że do kosztów wykonania tych zadań należą również koszty postępowania sądowego oraz koszty związane z obsługą etatu wykonawczego, obsługi prawnej i księgow</w:t>
      </w:r>
      <w:r>
        <w:rPr>
          <w:color w:val="000000"/>
          <w:u w:color="000000"/>
        </w:rPr>
        <w:t>ej w urzędzie. Dalej Naczelny Sąd Administracyjny w ww. orzeczeniu zauważył,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lastRenderedPageBreak/>
        <w:t xml:space="preserve">że „… ustalenie przedmiotowych opłat w wysokości odpowiadającej jedynie cenom usług odholowania i parkowania pojazdów świadczonych przez inne podmioty na terenie powiatu, mogłoby </w:t>
      </w:r>
      <w:r>
        <w:rPr>
          <w:color w:val="000000"/>
          <w:u w:color="000000"/>
        </w:rPr>
        <w:t>uniemożliwić powiatowi skuteczną realizację całego zadania. Ceny te bowiem nie uwzględniają konieczności sprawnego wykonywania zadania w rozumieniu ustawy, gdyż innymi kryteriami kierują się często podmioty prywatne, a innymi musi kierować się powiat reali</w:t>
      </w:r>
      <w:r>
        <w:rPr>
          <w:color w:val="000000"/>
          <w:u w:color="000000"/>
        </w:rPr>
        <w:t xml:space="preserve">zując to zadanie publiczne. Podkreślenia wymaga, że uchwała w przedmiocie ustalenia opłat za usuwanie i przechowywanie pojazdów jest podejmowana na kolejny rok kalendarzowy. Zatem jedynym wyznacznikiem mogą być tu dane z lat ubiegłych, przy czym nie muszą </w:t>
      </w:r>
      <w:r>
        <w:rPr>
          <w:color w:val="000000"/>
          <w:u w:color="000000"/>
        </w:rPr>
        <w:t>one wcale być adekwatne do roku kolejnego. Realizacja tego zadania to również inne koszty, które ponosi podczas jego realizacji powiat.”.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kolei zgodnie ze stanowiskiem Naczelnego Sądu Administracyjnego przyjętym w wyroku z 21 stycznia 2020 r. sygn. akt I</w:t>
      </w:r>
      <w:r>
        <w:rPr>
          <w:color w:val="000000"/>
          <w:u w:color="000000"/>
        </w:rPr>
        <w:t> OSK 1585/18: „Jedną z tych przesłanek są koszty realizacji zadań powiatu w zakresie usuwania, przechowywania i dalszego postępowania z pojazdami. Z treści tego przepisu nie sposób jednak odczytać, że nie chodzi przy tym o wszystkie rodzajowo koszty, jakie</w:t>
      </w:r>
      <w:r>
        <w:rPr>
          <w:color w:val="000000"/>
          <w:u w:color="000000"/>
        </w:rPr>
        <w:t xml:space="preserve"> w związku z usunięciem i przechowywaniem pojazdu powstają po stronie powiatu. Druga przesłanka to skuteczność podejmowanych działań. Pozyskane przez powiat środki muszą pozwolić realizować zadanie </w:t>
      </w:r>
      <w:r>
        <w:rPr>
          <w:i/>
          <w:color w:val="000000"/>
          <w:u w:color="000000"/>
        </w:rPr>
        <w:t>skutecznie</w:t>
      </w:r>
      <w:r>
        <w:rPr>
          <w:color w:val="000000"/>
          <w:u w:color="000000"/>
        </w:rPr>
        <w:t xml:space="preserve">. Skuteczność wiąże się tu w sposób bezpośredni </w:t>
      </w:r>
      <w:r>
        <w:rPr>
          <w:color w:val="000000"/>
          <w:u w:color="000000"/>
        </w:rPr>
        <w:t>z wysokością opłaty. Doświadczenie życiowe wskazuje, że skuteczne działania wymaga zapewnienia odpowiednio wysokiego finansowania. Można również wysunąć tezę, iż przedmiotowe opłaty pełnią funkcję prewencyjną. Mają zniechęcać właścicieli pojazdów do działa</w:t>
      </w:r>
      <w:r>
        <w:rPr>
          <w:color w:val="000000"/>
          <w:u w:color="000000"/>
        </w:rPr>
        <w:t>ń, które będą skutkować usunięciem pojazdów z drogi publicznej. Zatem wysokie opłaty, poprzez swoją funkcję prewencyjną, mogą przyczyniać się do skutecznej realizacji zadań powiatu we wskazanym zakresie”.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ze stanowiskiem Naczelnego Sądu Administrac</w:t>
      </w:r>
      <w:r>
        <w:rPr>
          <w:color w:val="000000"/>
          <w:u w:color="000000"/>
        </w:rPr>
        <w:t>yjnego przyjętym w wyroku</w:t>
      </w:r>
      <w:r>
        <w:rPr>
          <w:color w:val="000000"/>
          <w:u w:color="000000"/>
        </w:rPr>
        <w:br/>
        <w:t>z 8 lutego 2023 r. sygn. akt I OSK 939/19: „… nie można utożsamiać obowiązku wzięcia pod uwagę kosztów usług na terenie powiatu z koniecznością dostosowania do nich wysokości ustalanych stawek za usunięcie i przechowywanie pojazdu</w:t>
      </w:r>
      <w:r>
        <w:rPr>
          <w:color w:val="000000"/>
          <w:u w:color="000000"/>
        </w:rPr>
        <w:t>. Koszty te stanowią tylko element opłaty, która przy zachowaniu obu kryteriów może zostać ustalona ponad tę wysokość osiągając nawet poziom maksymalnych stawek określonych w obwieszczeniu, o ile organ wykaże zasadność takiego działania. Jak wskazuje się w</w:t>
      </w:r>
      <w:r>
        <w:rPr>
          <w:color w:val="000000"/>
          <w:u w:color="000000"/>
        </w:rPr>
        <w:t> orzecznictwie sądów administracyjnych oprócz wynagrodzeń płaconych firmom zewnętrznym za przechowywanie pojazdów, rzeczywistymi kosztami powiatu są także koszty organizacyjne, pracownicze, obsługi prawnej czy księgowej.”.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wyroku z 11 stycznia 2022 r. sy</w:t>
      </w:r>
      <w:r>
        <w:rPr>
          <w:color w:val="000000"/>
          <w:u w:color="000000"/>
        </w:rPr>
        <w:t xml:space="preserve">gn. akt I OSK 658/19 Naczelny Sąd Administracyjny zauważył, że: „… dokonując wykładni art. 130a ust. 6 ustawy należy brać pod uwagę oba kryteria wskazane w tym przepisie, a sam fakt, że ustalone w uchwale rady powiatu stawki opłat i kosztów nie są tożsame </w:t>
      </w:r>
      <w:r>
        <w:rPr>
          <w:color w:val="000000"/>
          <w:u w:color="000000"/>
        </w:rPr>
        <w:t>ze stawkami wynikającymi z zawartych przez powiat z podmiotami zewnętrznymi umów nie oznacza, że taka uchwała jest sprzeczna z prawem. Zatem jednym z warunków prawidłowego procesu legislacyjnego jest rozważanie przez radę powiatu obu kryteriów. Oznacza to,</w:t>
      </w:r>
      <w:r>
        <w:rPr>
          <w:color w:val="000000"/>
          <w:u w:color="000000"/>
        </w:rPr>
        <w:t xml:space="preserve"> że z materiałów procesu legislacyjnego dotyczących podjęcia uchwały na podstawie art. 130a ust. 6 ustawy Prawo drogowe powinno wynikać,</w:t>
      </w:r>
      <w:r>
        <w:rPr>
          <w:color w:val="000000"/>
          <w:u w:color="000000"/>
        </w:rPr>
        <w:br/>
        <w:t>że organ stanowiący powiatu brał pod uwagę oba te kryteria w procesie stanowienia prawa.”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ze stanowiskiem Nacze</w:t>
      </w:r>
      <w:r>
        <w:rPr>
          <w:color w:val="000000"/>
          <w:u w:color="000000"/>
        </w:rPr>
        <w:t>lnego Sądu Administracyjnego przyjętym w wyroku z 27 kwietnia 2020 r. sygn. akt I OSK 973/19: „Jak już wcześniej wskazano, stwierdzenie nieważności uchwały, o której mowa w art. 130a ust. 6 p.r.d. może nastąpić, jeśli istotnie narusza ona prawo. Takim isto</w:t>
      </w:r>
      <w:r>
        <w:rPr>
          <w:color w:val="000000"/>
          <w:u w:color="000000"/>
        </w:rPr>
        <w:t>tnym naruszeniem prawa może być brak uwzględnienia skuteczności realizacji zadań. Wskazywałaby na to zbyt niska stawka opłat, gdyż nie ulega wątpliwości, iż niedofinansowanie realizacji zadania na skuteczność taką może wpłynąć.”</w:t>
      </w:r>
    </w:p>
    <w:p w:rsidR="00A77B3E" w:rsidRDefault="00551C3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Biorąc powyższe pod uwagę, </w:t>
      </w:r>
      <w:r>
        <w:rPr>
          <w:color w:val="000000"/>
          <w:u w:color="000000"/>
        </w:rPr>
        <w:t xml:space="preserve">stwierdzić należy, iż opłaty przewidziane w niniejszej uchwale nie mają charakteru sankcji, lecz mają na celu zapewnienie sprawnej realizacji przez </w:t>
      </w:r>
      <w:r>
        <w:rPr>
          <w:color w:val="000000"/>
          <w:u w:color="000000"/>
        </w:rPr>
        <w:lastRenderedPageBreak/>
        <w:t>Powiat Miasto Łódź zadania określonego w art. 130a PRD  bez ponoszenia nadmiernych strat finansowych.</w:t>
      </w:r>
    </w:p>
    <w:sectPr w:rsidR="00A77B3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3F" w:rsidRDefault="00551C3F">
      <w:r>
        <w:separator/>
      </w:r>
    </w:p>
  </w:endnote>
  <w:endnote w:type="continuationSeparator" w:id="0">
    <w:p w:rsidR="00551C3F" w:rsidRDefault="005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C34F0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34F05" w:rsidRDefault="00C34F05">
          <w:pPr>
            <w:jc w:val="left"/>
            <w:rPr>
              <w:sz w:val="20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34F05" w:rsidRDefault="00C34F05">
          <w:pPr>
            <w:jc w:val="right"/>
            <w:rPr>
              <w:sz w:val="20"/>
            </w:rPr>
          </w:pPr>
        </w:p>
      </w:tc>
    </w:tr>
  </w:tbl>
  <w:p w:rsidR="00C34F05" w:rsidRDefault="00C34F05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3F" w:rsidRDefault="00551C3F">
      <w:r>
        <w:separator/>
      </w:r>
    </w:p>
  </w:footnote>
  <w:footnote w:type="continuationSeparator" w:id="0">
    <w:p w:rsidR="00551C3F" w:rsidRDefault="00551C3F">
      <w:r>
        <w:continuationSeparator/>
      </w:r>
    </w:p>
  </w:footnote>
  <w:footnote w:id="1">
    <w:p w:rsidR="00C34F05" w:rsidRDefault="00551C3F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1) </w:t>
      </w:r>
      <w:r>
        <w:t>DMC - dopuszczalna masa całkowita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51C3F"/>
    <w:rsid w:val="00A77B3E"/>
    <w:rsid w:val="00AD4B30"/>
    <w:rsid w:val="00C34F0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3519</Words>
  <Characters>21116</Characters>
  <Application>Microsoft Office Word</Application>
  <DocSecurity>0</DocSecurity>
  <Lines>175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ustalenia wysokości opłat za usuwanie i^przechowywanie pojazdów usuniętych z^dróg na terenie miasta Łodzi w^2024 roku.</dc:subject>
  <dc:creator>mzbicinska</dc:creator>
  <cp:lastModifiedBy>Marta Zbicińska</cp:lastModifiedBy>
  <cp:revision>2</cp:revision>
  <dcterms:created xsi:type="dcterms:W3CDTF">2023-11-03T13:32:00Z</dcterms:created>
  <dcterms:modified xsi:type="dcterms:W3CDTF">2023-11-03T13:32:00Z</dcterms:modified>
  <cp:category>Akt prawny</cp:category>
</cp:coreProperties>
</file>