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690BA" w14:textId="3F8C6E2A" w:rsidR="00A77B3E" w:rsidRDefault="00E5720C">
      <w:pPr>
        <w:ind w:left="6803"/>
        <w:jc w:val="left"/>
      </w:pPr>
      <w:r>
        <w:t>Druk Nr</w:t>
      </w:r>
      <w:r w:rsidR="00F03945">
        <w:t xml:space="preserve"> 247/2023</w:t>
      </w:r>
    </w:p>
    <w:p w14:paraId="28FAF87A" w14:textId="77777777" w:rsidR="00A77B3E" w:rsidRDefault="00A77B3E">
      <w:pPr>
        <w:ind w:left="6803"/>
        <w:jc w:val="left"/>
      </w:pPr>
    </w:p>
    <w:p w14:paraId="3F1B300B" w14:textId="2A409D0F" w:rsidR="00A77B3E" w:rsidRDefault="00E5720C">
      <w:pPr>
        <w:ind w:left="6803"/>
        <w:jc w:val="left"/>
      </w:pPr>
      <w:r>
        <w:t>Projekt z dnia</w:t>
      </w:r>
      <w:r w:rsidR="00F03945">
        <w:t xml:space="preserve"> 03.11.2023 R.</w:t>
      </w:r>
    </w:p>
    <w:p w14:paraId="110EFA07" w14:textId="77777777" w:rsidR="00A77B3E" w:rsidRDefault="00A77B3E">
      <w:pPr>
        <w:ind w:left="6803"/>
        <w:jc w:val="left"/>
      </w:pPr>
    </w:p>
    <w:p w14:paraId="069AA4D4" w14:textId="77777777" w:rsidR="00A77B3E" w:rsidRDefault="00E5720C">
      <w:pPr>
        <w:jc w:val="center"/>
        <w:rPr>
          <w:b/>
          <w:caps/>
        </w:rPr>
      </w:pPr>
      <w:r>
        <w:rPr>
          <w:b/>
          <w:caps/>
        </w:rPr>
        <w:t>Uchwała Nr Rady Miejskiej w Łodzi</w:t>
      </w:r>
      <w:r>
        <w:rPr>
          <w:b/>
          <w:caps/>
        </w:rPr>
        <w:br/>
        <w:t>Rady Miejskiej w Łodzi</w:t>
      </w:r>
    </w:p>
    <w:p w14:paraId="75B21B06" w14:textId="77777777" w:rsidR="00A77B3E" w:rsidRDefault="00E5720C">
      <w:pPr>
        <w:spacing w:before="160" w:after="280"/>
        <w:jc w:val="center"/>
        <w:rPr>
          <w:b/>
          <w:caps/>
        </w:rPr>
      </w:pPr>
      <w:r>
        <w:rPr>
          <w:b/>
        </w:rPr>
        <w:t>z dnia .................... 2023 r.</w:t>
      </w:r>
    </w:p>
    <w:p w14:paraId="4CC3B65B" w14:textId="77777777" w:rsidR="00A77B3E" w:rsidRDefault="00E5720C">
      <w:pPr>
        <w:keepNext/>
        <w:spacing w:after="360"/>
        <w:jc w:val="center"/>
      </w:pPr>
      <w:bookmarkStart w:id="0" w:name="_GoBack"/>
      <w:r>
        <w:rPr>
          <w:b/>
        </w:rPr>
        <w:t xml:space="preserve">w sprawie wspólnej obsługi informatycznej jednostek organizacyjnych Miasta Łodzi zaliczanych do sektora finansów </w:t>
      </w:r>
      <w:r>
        <w:rPr>
          <w:b/>
        </w:rPr>
        <w:t>publicznych</w:t>
      </w:r>
      <w:bookmarkEnd w:id="0"/>
      <w:r>
        <w:rPr>
          <w:b/>
        </w:rPr>
        <w:t>.</w:t>
      </w:r>
    </w:p>
    <w:p w14:paraId="0B37A099" w14:textId="77777777" w:rsidR="00A77B3E" w:rsidRDefault="00E5720C">
      <w:pPr>
        <w:keepLines/>
        <w:spacing w:before="120" w:after="240"/>
        <w:ind w:firstLine="567"/>
      </w:pPr>
      <w:r>
        <w:t>Na podstawie art. 10a pkt 1 oraz art. 10b ust. 2 ustawy z dnia 8 marca 1990 r. o samorządzie gminnym (Dz. U. z 2023 r. poz. 40, 457, 1463 i 1688) oraz art. 6a i 6b ustawy z dnia 5 czerwca 1998 r. o samorządzie powiatowym (Dz. U. z 2022 r. poz.</w:t>
      </w:r>
      <w:r>
        <w:t> 1526 oraz z 2023 r. poz. 572), Rada Miejska w Łodzi</w:t>
      </w:r>
    </w:p>
    <w:p w14:paraId="7018B165" w14:textId="77777777" w:rsidR="00A77B3E" w:rsidRDefault="00E5720C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14:paraId="7E5A6926" w14:textId="77777777" w:rsidR="00A77B3E" w:rsidRDefault="00E5720C">
      <w:pPr>
        <w:keepLines/>
        <w:spacing w:before="240" w:after="120"/>
        <w:ind w:firstLine="567"/>
      </w:pPr>
      <w:r>
        <w:t>§ 1. Wprowadza się wspólną obsługę informatyczną jednostek organizacyjnych Miasta Łodzi zaliczanych do sektora finansów publicznych.</w:t>
      </w:r>
    </w:p>
    <w:p w14:paraId="6D80C193" w14:textId="77777777" w:rsidR="00A77B3E" w:rsidRDefault="00E5720C">
      <w:pPr>
        <w:keepLines/>
        <w:spacing w:before="240" w:after="120"/>
        <w:ind w:firstLine="567"/>
      </w:pPr>
      <w:r>
        <w:t>§ 2. Ustanawia się Urząd Miasta Łodzi jako jedn</w:t>
      </w:r>
      <w:r>
        <w:t>ostkę obsługującą.</w:t>
      </w:r>
    </w:p>
    <w:p w14:paraId="7F8F1E75" w14:textId="77777777" w:rsidR="00A77B3E" w:rsidRDefault="00E5720C">
      <w:pPr>
        <w:keepLines/>
        <w:spacing w:before="240" w:after="120"/>
        <w:ind w:firstLine="567"/>
      </w:pPr>
      <w:r>
        <w:t>§ 3. Wspólna obsługa, o której mowa w § 1, prowadzona będzie dla jednostek wymienionych w załączniku nr 1 do niniejszej uchwały, zwanych dalej jednostkami obsługiwanymi.</w:t>
      </w:r>
    </w:p>
    <w:p w14:paraId="30906AA9" w14:textId="77777777" w:rsidR="00A77B3E" w:rsidRDefault="00E5720C">
      <w:pPr>
        <w:keepLines/>
        <w:spacing w:before="240" w:after="120"/>
        <w:ind w:firstLine="567"/>
      </w:pPr>
      <w:r>
        <w:t xml:space="preserve">§ 4. W ramach wspólnej obsługi Urząd Miasta Łodzi prowadzić będzie </w:t>
      </w:r>
      <w:r>
        <w:t>sprawy w zakresie obsługi informatycznej polegającej na:</w:t>
      </w:r>
    </w:p>
    <w:p w14:paraId="2F58AE7C" w14:textId="77777777" w:rsidR="00A77B3E" w:rsidRDefault="00E5720C">
      <w:pPr>
        <w:keepLines/>
        <w:spacing w:before="120" w:after="120"/>
        <w:ind w:firstLine="340"/>
      </w:pPr>
      <w:r>
        <w:t>1. </w:t>
      </w:r>
      <w:r>
        <w:tab/>
        <w:t>Zapewnienie  obsługi serwisowej i wsparcia technicznego dla centralnego systemu finansowo-księgowego w celu realizacji w nim zadań przez jednostki z zakresu: sprawozdawczości budżetowej, planowan</w:t>
      </w:r>
      <w:r>
        <w:t>ia i monitorowania budżetu, księgi głównej, rozrachunków, rejestru umów i zobowiązań, fakturowania, ewidencji majątku,</w:t>
      </w:r>
    </w:p>
    <w:p w14:paraId="782AA3C2" w14:textId="77777777" w:rsidR="00A77B3E" w:rsidRDefault="00E5720C">
      <w:pPr>
        <w:keepLines/>
        <w:spacing w:before="120" w:after="120"/>
        <w:ind w:firstLine="340"/>
      </w:pPr>
      <w:r>
        <w:t>2. zapewnieniu dostępu do sieci Internet;</w:t>
      </w:r>
    </w:p>
    <w:p w14:paraId="16D94C14" w14:textId="77777777" w:rsidR="00A77B3E" w:rsidRDefault="00E5720C">
      <w:pPr>
        <w:keepLines/>
        <w:spacing w:before="120" w:after="120"/>
        <w:ind w:firstLine="340"/>
      </w:pPr>
      <w:r>
        <w:t>3. udostępnieniu systemu do ochrony antywirusowej stacji roboczych;</w:t>
      </w:r>
    </w:p>
    <w:p w14:paraId="294865D2" w14:textId="77777777" w:rsidR="00A77B3E" w:rsidRDefault="00E5720C">
      <w:pPr>
        <w:keepLines/>
        <w:spacing w:before="120" w:after="120"/>
        <w:ind w:firstLine="340"/>
      </w:pPr>
      <w:r>
        <w:t>4. ochronie sieci przed zag</w:t>
      </w:r>
      <w:r>
        <w:t>rożeniami z sieci Internet;</w:t>
      </w:r>
    </w:p>
    <w:p w14:paraId="5976F8DD" w14:textId="77777777" w:rsidR="00A77B3E" w:rsidRDefault="00E5720C">
      <w:pPr>
        <w:keepLines/>
        <w:spacing w:before="120" w:after="120"/>
        <w:ind w:firstLine="340"/>
      </w:pPr>
      <w:r>
        <w:t>5. udostepnieniu systemu poczty elektronicznej;</w:t>
      </w:r>
    </w:p>
    <w:p w14:paraId="44360C61" w14:textId="77777777" w:rsidR="00A77B3E" w:rsidRDefault="00E5720C">
      <w:pPr>
        <w:keepLines/>
        <w:spacing w:before="120" w:after="120"/>
        <w:ind w:firstLine="340"/>
      </w:pPr>
      <w:r>
        <w:t>6. udostępnieniu infrastruktury serwerowej dla systemów jednostek organizacyjnych Gminy Łódź,</w:t>
      </w:r>
    </w:p>
    <w:p w14:paraId="6885B3C3" w14:textId="77777777" w:rsidR="00A77B3E" w:rsidRDefault="00E5720C">
      <w:pPr>
        <w:keepLines/>
        <w:spacing w:before="120" w:after="120"/>
        <w:ind w:firstLine="340"/>
      </w:pPr>
      <w:r>
        <w:t>7. udostępnienie systemu centralnego wydruku,</w:t>
      </w:r>
    </w:p>
    <w:p w14:paraId="6C4E2777" w14:textId="77777777" w:rsidR="00A77B3E" w:rsidRDefault="00E5720C">
      <w:pPr>
        <w:keepLines/>
        <w:spacing w:before="120" w:after="120"/>
        <w:ind w:firstLine="340"/>
      </w:pPr>
      <w:r>
        <w:t>8. udostępniania platformy serwera www o</w:t>
      </w:r>
      <w:r>
        <w:t>raz BIP.</w:t>
      </w:r>
    </w:p>
    <w:p w14:paraId="0D4CE217" w14:textId="77777777" w:rsidR="00A77B3E" w:rsidRDefault="00E5720C">
      <w:pPr>
        <w:keepLines/>
        <w:spacing w:before="240" w:after="120"/>
        <w:ind w:firstLine="567"/>
      </w:pPr>
      <w:r>
        <w:t>§ 5. Wykonanie uchwały powierza się Prezydentowi Miasta.</w:t>
      </w:r>
    </w:p>
    <w:p w14:paraId="598A4886" w14:textId="77777777" w:rsidR="00A77B3E" w:rsidRDefault="00E5720C">
      <w:pPr>
        <w:keepNext/>
        <w:keepLines/>
        <w:spacing w:before="240" w:after="120"/>
        <w:ind w:firstLine="567"/>
      </w:pPr>
      <w:r>
        <w:lastRenderedPageBreak/>
        <w:t>§ 6. Uchwała wchodzi w życie z dniem podjęcia.</w:t>
      </w:r>
    </w:p>
    <w:p w14:paraId="290D110D" w14:textId="77777777" w:rsidR="00A77B3E" w:rsidRDefault="00A77B3E">
      <w:pPr>
        <w:keepNext/>
        <w:keepLines/>
        <w:spacing w:before="240" w:after="120"/>
        <w:ind w:firstLine="567"/>
      </w:pPr>
    </w:p>
    <w:p w14:paraId="7553E76D" w14:textId="77777777" w:rsidR="00A77B3E" w:rsidRDefault="00E5720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4482"/>
        <w:gridCol w:w="4902"/>
      </w:tblGrid>
      <w:tr w:rsidR="00702C8C" w14:paraId="0F55CA59" w14:textId="77777777">
        <w:trPr>
          <w:gridBefore w:val="1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E23A48" w14:textId="77777777" w:rsidR="00702C8C" w:rsidRDefault="00702C8C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E2B566" w14:textId="77777777" w:rsidR="00702C8C" w:rsidRDefault="00E5720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  <w:tr w:rsidR="00702C8C" w14:paraId="47059ED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065F6" w14:textId="77777777" w:rsidR="00A77B3E" w:rsidRDefault="00E5720C">
            <w:pPr>
              <w:jc w:val="left"/>
            </w:pPr>
            <w:r>
              <w:t>Projektodawcą jest</w:t>
            </w:r>
          </w:p>
          <w:p w14:paraId="66947FF5" w14:textId="77777777" w:rsidR="00702C8C" w:rsidRDefault="00E5720C">
            <w:pPr>
              <w:jc w:val="left"/>
            </w:pPr>
            <w:r>
              <w:t>Prezydent Miasta Łodzi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DC1ED" w14:textId="77777777" w:rsidR="00A77B3E" w:rsidRDefault="00A77B3E">
            <w:pPr>
              <w:jc w:val="center"/>
            </w:pPr>
          </w:p>
        </w:tc>
      </w:tr>
    </w:tbl>
    <w:p w14:paraId="3DAAFCEA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567" w:right="850" w:bottom="283" w:left="850" w:header="708" w:footer="708" w:gutter="0"/>
          <w:cols w:space="708"/>
          <w:docGrid w:linePitch="360"/>
        </w:sectPr>
      </w:pPr>
    </w:p>
    <w:p w14:paraId="63B564F0" w14:textId="77777777" w:rsidR="00A77B3E" w:rsidRDefault="00E5720C">
      <w:pPr>
        <w:spacing w:before="120" w:after="360"/>
        <w:ind w:left="12012"/>
        <w:jc w:val="left"/>
      </w:pPr>
      <w:r>
        <w:lastRenderedPageBreak/>
        <w:t>Załącznik Nr 1</w:t>
      </w:r>
      <w:r>
        <w:br/>
        <w:t>do uchwały Nr</w:t>
      </w:r>
      <w:r>
        <w:br/>
        <w:t>Rady Miejskiej w Łodzi</w:t>
      </w:r>
      <w:r>
        <w:br/>
        <w:t>z dnia</w:t>
      </w:r>
    </w:p>
    <w:p w14:paraId="40EE336A" w14:textId="77777777" w:rsidR="00A77B3E" w:rsidRDefault="00E5720C">
      <w:pPr>
        <w:spacing w:before="240" w:after="120"/>
        <w:ind w:left="283" w:firstLine="227"/>
        <w:jc w:val="center"/>
        <w:rPr>
          <w:sz w:val="22"/>
        </w:rPr>
      </w:pPr>
      <w:r>
        <w:rPr>
          <w:sz w:val="22"/>
        </w:rPr>
        <w:t xml:space="preserve">Zestawienie jednostek organizacyjnych Gminy Łódź objętych wspólną obsługą informatyczną wraz z zakresem </w:t>
      </w:r>
      <w:r>
        <w:rPr>
          <w:sz w:val="22"/>
        </w:rPr>
        <w:t>obsługi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73"/>
        <w:gridCol w:w="1998"/>
        <w:gridCol w:w="1562"/>
        <w:gridCol w:w="1427"/>
        <w:gridCol w:w="1427"/>
        <w:gridCol w:w="1562"/>
        <w:gridCol w:w="1427"/>
        <w:gridCol w:w="1562"/>
        <w:gridCol w:w="1142"/>
        <w:gridCol w:w="1082"/>
      </w:tblGrid>
      <w:tr w:rsidR="00702C8C" w14:paraId="6178133F" w14:textId="77777777">
        <w:trPr>
          <w:trHeight w:val="448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73663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b/>
                <w:sz w:val="12"/>
              </w:rPr>
              <w:t>L.p</w:t>
            </w:r>
            <w:r>
              <w:rPr>
                <w:sz w:val="12"/>
              </w:rPr>
              <w:t>.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E3561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b/>
                <w:sz w:val="12"/>
              </w:rPr>
              <w:t>Nazwa jednostki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293AA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b/>
                <w:sz w:val="12"/>
              </w:rPr>
              <w:t>Adres siedziby głównej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7E143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b/>
                <w:sz w:val="12"/>
              </w:rPr>
              <w:t>System finansowo-księgowy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98E99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b/>
                <w:sz w:val="12"/>
              </w:rPr>
              <w:t>Dostęp do sieci Internet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05375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b/>
                <w:sz w:val="12"/>
              </w:rPr>
              <w:t>Ochrona antywirusowa stacji roboczych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E7B1C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b/>
                <w:sz w:val="12"/>
              </w:rPr>
              <w:t>Ochrona sieci przed zagrożeniami z sieci Internet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59F37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b/>
                <w:sz w:val="12"/>
              </w:rPr>
              <w:t>Poczta elektroniczna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9C3BE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b/>
                <w:sz w:val="12"/>
              </w:rPr>
              <w:t>Infrastruktura serwerowa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723CB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b/>
                <w:sz w:val="12"/>
              </w:rPr>
              <w:t>Wydruk centralny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4FF6E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b/>
                <w:sz w:val="12"/>
              </w:rPr>
              <w:t xml:space="preserve">Serwer www i </w:t>
            </w:r>
            <w:proofErr w:type="spellStart"/>
            <w:r>
              <w:rPr>
                <w:b/>
                <w:sz w:val="12"/>
              </w:rPr>
              <w:t>bip</w:t>
            </w:r>
            <w:proofErr w:type="spellEnd"/>
          </w:p>
        </w:tc>
      </w:tr>
      <w:tr w:rsidR="00702C8C" w14:paraId="08EAE085" w14:textId="77777777">
        <w:trPr>
          <w:trHeight w:val="448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7547E" w14:textId="77777777" w:rsidR="00A77B3E" w:rsidRDefault="00E5720C">
            <w:pPr>
              <w:jc w:val="right"/>
              <w:rPr>
                <w:sz w:val="22"/>
              </w:rPr>
            </w:pPr>
            <w:r>
              <w:rPr>
                <w:sz w:val="12"/>
              </w:rPr>
              <w:t>1.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1423D" w14:textId="77777777" w:rsidR="00A77B3E" w:rsidRDefault="00E5720C">
            <w:pPr>
              <w:rPr>
                <w:sz w:val="22"/>
              </w:rPr>
            </w:pPr>
            <w:r>
              <w:rPr>
                <w:sz w:val="12"/>
              </w:rPr>
              <w:t>Miejska Pracownia Urbanistyczna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6D72F" w14:textId="77777777" w:rsidR="00A77B3E" w:rsidRDefault="00E5720C">
            <w:pPr>
              <w:rPr>
                <w:sz w:val="22"/>
              </w:rPr>
            </w:pPr>
            <w:r>
              <w:rPr>
                <w:sz w:val="12"/>
              </w:rPr>
              <w:t>al. Tadeusza Kościuszki 19, 90-418 Łódź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9E251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C18C4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EDACB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C4B15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913FC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08818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1E547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57F20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sz w:val="12"/>
              </w:rPr>
              <w:t>X</w:t>
            </w:r>
          </w:p>
        </w:tc>
      </w:tr>
      <w:tr w:rsidR="00702C8C" w14:paraId="6935B5EB" w14:textId="77777777">
        <w:trPr>
          <w:trHeight w:val="448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40564" w14:textId="77777777" w:rsidR="00A77B3E" w:rsidRDefault="00E5720C">
            <w:pPr>
              <w:jc w:val="right"/>
              <w:rPr>
                <w:sz w:val="22"/>
              </w:rPr>
            </w:pPr>
            <w:r>
              <w:rPr>
                <w:sz w:val="12"/>
              </w:rPr>
              <w:t>2.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F9436" w14:textId="77777777" w:rsidR="00A77B3E" w:rsidRDefault="00E5720C">
            <w:pPr>
              <w:rPr>
                <w:sz w:val="22"/>
              </w:rPr>
            </w:pPr>
            <w:r>
              <w:rPr>
                <w:sz w:val="12"/>
              </w:rPr>
              <w:t xml:space="preserve">Zarząd Zieleni Miejskiej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5AF03" w14:textId="77777777" w:rsidR="00A77B3E" w:rsidRDefault="00E5720C">
            <w:pPr>
              <w:rPr>
                <w:sz w:val="22"/>
              </w:rPr>
            </w:pPr>
            <w:r>
              <w:rPr>
                <w:sz w:val="12"/>
              </w:rPr>
              <w:t xml:space="preserve">ul. </w:t>
            </w:r>
            <w:proofErr w:type="spellStart"/>
            <w:r>
              <w:rPr>
                <w:sz w:val="12"/>
              </w:rPr>
              <w:t>Retkińska</w:t>
            </w:r>
            <w:proofErr w:type="spellEnd"/>
            <w:r>
              <w:rPr>
                <w:sz w:val="12"/>
              </w:rPr>
              <w:t xml:space="preserve"> 41, 94-004 Łódź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7E64D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AD424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93D73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72C7B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2645E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14363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3139E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46865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sz w:val="12"/>
              </w:rPr>
              <w:t>X</w:t>
            </w:r>
          </w:p>
        </w:tc>
      </w:tr>
      <w:tr w:rsidR="00702C8C" w14:paraId="3ECBC4CE" w14:textId="77777777">
        <w:trPr>
          <w:trHeight w:val="448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E04C" w14:textId="77777777" w:rsidR="00A77B3E" w:rsidRDefault="00E5720C">
            <w:pPr>
              <w:jc w:val="right"/>
              <w:rPr>
                <w:sz w:val="22"/>
              </w:rPr>
            </w:pPr>
            <w:r>
              <w:rPr>
                <w:sz w:val="12"/>
              </w:rPr>
              <w:t>3.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99AF9" w14:textId="77777777" w:rsidR="00A77B3E" w:rsidRDefault="00E5720C">
            <w:pPr>
              <w:rPr>
                <w:sz w:val="22"/>
              </w:rPr>
            </w:pPr>
            <w:r>
              <w:rPr>
                <w:sz w:val="12"/>
              </w:rPr>
              <w:t>Centrum Świadczeń Socjalnych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B3AB8" w14:textId="77777777" w:rsidR="00A77B3E" w:rsidRDefault="00E5720C">
            <w:pPr>
              <w:rPr>
                <w:sz w:val="22"/>
              </w:rPr>
            </w:pPr>
            <w:r>
              <w:rPr>
                <w:sz w:val="12"/>
              </w:rPr>
              <w:t>ul. Urzędnicza 45, 91-304 Łódź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86CDA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4B007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1C54C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ADCC2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3EAC0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18D5D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8D273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E38F5" w14:textId="77777777" w:rsidR="00A77B3E" w:rsidRDefault="00E5720C">
            <w:pPr>
              <w:jc w:val="center"/>
              <w:rPr>
                <w:sz w:val="22"/>
              </w:rPr>
            </w:pPr>
            <w:r>
              <w:rPr>
                <w:sz w:val="12"/>
              </w:rPr>
              <w:t>X</w:t>
            </w:r>
          </w:p>
        </w:tc>
      </w:tr>
    </w:tbl>
    <w:p w14:paraId="2A49D659" w14:textId="77777777" w:rsidR="00A77B3E" w:rsidRDefault="00A77B3E">
      <w:pPr>
        <w:rPr>
          <w:sz w:val="22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567" w:right="850" w:bottom="283" w:left="850" w:header="708" w:footer="708" w:gutter="0"/>
          <w:cols w:space="708"/>
          <w:docGrid w:linePitch="360"/>
        </w:sectPr>
      </w:pPr>
    </w:p>
    <w:p w14:paraId="6DB0E10E" w14:textId="77777777" w:rsidR="00702C8C" w:rsidRDefault="00702C8C">
      <w:pPr>
        <w:rPr>
          <w:szCs w:val="20"/>
        </w:rPr>
      </w:pPr>
    </w:p>
    <w:p w14:paraId="35B6D64A" w14:textId="77777777" w:rsidR="00702C8C" w:rsidRDefault="00E5720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247A6A1" w14:textId="77777777" w:rsidR="00702C8C" w:rsidRDefault="00E5720C">
      <w:pPr>
        <w:spacing w:before="120" w:after="120"/>
        <w:ind w:left="283" w:firstLine="1"/>
        <w:jc w:val="center"/>
        <w:rPr>
          <w:b/>
          <w:szCs w:val="20"/>
        </w:rPr>
      </w:pPr>
      <w:r>
        <w:rPr>
          <w:b/>
          <w:szCs w:val="20"/>
        </w:rPr>
        <w:t>do projektu uchwały sprawie wspólnej obsługi informatycznej jednostek organizacyjnych Gminy Łódź zaliczanych do sektora finansów publicznych.</w:t>
      </w:r>
    </w:p>
    <w:p w14:paraId="51D04ED8" w14:textId="77777777" w:rsidR="00702C8C" w:rsidRDefault="00E5720C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Miasto Łódź, jako jednostka samorządu terytorialnego, posiada wiele jednostek organizacyjnych. Jednostki te, realizując swoje zadania muszą wykorzystywać rozwiązania IT wspierające ich pracę. Pomimo iż poszczególne jednostki realizując swoje zadania wykorz</w:t>
      </w:r>
      <w:r>
        <w:rPr>
          <w:szCs w:val="20"/>
        </w:rPr>
        <w:t xml:space="preserve">ystują różne rozwiązania IT (aplikacje) charakterystyczne dla ich zakresu merytorycznego, to jednak w każdej z nich muszą funkcjonować rozwiązania tożsame, które zapewniają między innymi: dostęp do sieci Internet, ochronę sieci jednostki przed </w:t>
      </w:r>
      <w:proofErr w:type="spellStart"/>
      <w:r>
        <w:rPr>
          <w:szCs w:val="20"/>
        </w:rPr>
        <w:t>cyberzagroże</w:t>
      </w:r>
      <w:r>
        <w:rPr>
          <w:szCs w:val="20"/>
        </w:rPr>
        <w:t>niami</w:t>
      </w:r>
      <w:proofErr w:type="spellEnd"/>
      <w:r>
        <w:rPr>
          <w:szCs w:val="20"/>
        </w:rPr>
        <w:t xml:space="preserve"> czy też infrastrukturę serwerową, na której uruchamiane są aplikacje. </w:t>
      </w:r>
    </w:p>
    <w:p w14:paraId="3F6DA4F0" w14:textId="77777777" w:rsidR="00702C8C" w:rsidRDefault="00E5720C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 uwagi na powtarzalność rozwiązań w obszarze infrastruktury informatycznej każdej z jednostek, istnieje możliwość optymalizacji kosztów jakie ponosi Miasto (jako JST) na funkcjon</w:t>
      </w:r>
      <w:r>
        <w:rPr>
          <w:szCs w:val="20"/>
        </w:rPr>
        <w:t>owanie wszystkich jednostek organizacyjnych. Niniejsza uchwała wprowadza rozwiązanie polegające na powierzaniu Urzędowi Miasta Łodzi, a w szczególności Wydziałowi Informatyki, realizacji zadań związanych z funkcjonowaniem infrastruktury informatycznej, któ</w:t>
      </w:r>
      <w:r>
        <w:rPr>
          <w:szCs w:val="20"/>
        </w:rPr>
        <w:t xml:space="preserve">ra jest tożsama w każdej z jednostek organizacyjnych miasta. Stworzenie rozwiązań wspólnych w zakresie infrastruktury IT dla większości MJO, prowadzić będzie zarazem do optymalizacji kosztów jakie Miasto musi ponosić w zakresie funkcjonowania rozwiązań IT </w:t>
      </w:r>
      <w:r>
        <w:rPr>
          <w:szCs w:val="20"/>
        </w:rPr>
        <w:t xml:space="preserve">w UMŁ oraz MJO a także, co jest bardzo istotne, podniesienia standardów bezpieczeństwa IT, szczególnie w mniejszych jednostkach. Standaryzacja rozwiązań obejmujących </w:t>
      </w:r>
      <w:proofErr w:type="spellStart"/>
      <w:r>
        <w:rPr>
          <w:szCs w:val="20"/>
        </w:rPr>
        <w:t>cyberbezpieczeńśtwo</w:t>
      </w:r>
      <w:proofErr w:type="spellEnd"/>
      <w:r>
        <w:rPr>
          <w:szCs w:val="20"/>
        </w:rPr>
        <w:t xml:space="preserve">, jest właśnie szczególnie istotna dla mniejszych jednostek, gdzie nie </w:t>
      </w:r>
      <w:r>
        <w:rPr>
          <w:szCs w:val="20"/>
        </w:rPr>
        <w:t xml:space="preserve">ma możliwości zatrudnienie specjalistów od bezpieczeństwa IT co prowadzi do wzrostu ryzyka wystąpienia zagrożeń dla funkcjonujących w nich systemów IT. </w:t>
      </w:r>
    </w:p>
    <w:p w14:paraId="6C5D5750" w14:textId="77777777" w:rsidR="00702C8C" w:rsidRDefault="00E5720C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Tworzenie wspólnej obsługi miejskich jednostek organizacyjnych, jest przewidziane jako proces kilkuletn</w:t>
      </w:r>
      <w:r>
        <w:rPr>
          <w:szCs w:val="20"/>
        </w:rPr>
        <w:t>i. W pierwszej fazie, której dotyczy niniejsza uchwała, wsparciem w zakresie wspólnej infrastruktury IT zostaną objęte 3 jednostki. Decyzja o wprowadzeniu wspólnej obsługi w tych jednostkach, ma na celu z jednej strony zapoczątkować cały proces tworzenie w</w:t>
      </w:r>
      <w:r>
        <w:rPr>
          <w:szCs w:val="20"/>
        </w:rPr>
        <w:t>spólnej obsługi w zakresie IT większej liczby MJO a jednocześnie zbudować skuteczne mechanizmy współpracy pomiędzy UMŁ a poszczególnymi MJO. Doświadczenie , które zdobędziemy podczas obsługi tych jednostek, pozwoli na usprawnienie procesów zarządczych, tak</w:t>
      </w:r>
      <w:r>
        <w:rPr>
          <w:szCs w:val="20"/>
        </w:rPr>
        <w:t xml:space="preserve"> aby w kolejnych fazach, gdzie do wspólnej obsługi będą włączane kolejne MJO, sprawność ich obsługi będzie na wysokim poziomie. </w:t>
      </w:r>
    </w:p>
    <w:p w14:paraId="53EB86E1" w14:textId="77777777" w:rsidR="00702C8C" w:rsidRDefault="00E5720C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Docelowo w ramach wspólnej obsługi MJIO w zakresie infrastruktury IT, przez Urząd Miasta Łodzi, przewidziane są wszystkie jedno</w:t>
      </w:r>
      <w:r>
        <w:rPr>
          <w:szCs w:val="20"/>
        </w:rPr>
        <w:t xml:space="preserve">stki z wyłączeniem jednostek z obszaru edukacji. </w:t>
      </w:r>
      <w:proofErr w:type="spellStart"/>
      <w:r>
        <w:rPr>
          <w:szCs w:val="20"/>
        </w:rPr>
        <w:t>Planowny</w:t>
      </w:r>
      <w:proofErr w:type="spellEnd"/>
      <w:r>
        <w:rPr>
          <w:szCs w:val="20"/>
        </w:rPr>
        <w:t xml:space="preserve"> okres wdrażania wspólnej obsługi jednostek to 3 lata.</w:t>
      </w:r>
    </w:p>
    <w:p w14:paraId="0DA25875" w14:textId="77777777" w:rsidR="00702C8C" w:rsidRDefault="00702C8C">
      <w:pPr>
        <w:spacing w:before="120" w:after="120"/>
        <w:ind w:left="283" w:firstLine="227"/>
        <w:rPr>
          <w:szCs w:val="20"/>
        </w:rPr>
      </w:pPr>
    </w:p>
    <w:p w14:paraId="28283781" w14:textId="77777777" w:rsidR="00702C8C" w:rsidRDefault="00702C8C">
      <w:pPr>
        <w:spacing w:before="240" w:after="120"/>
        <w:ind w:left="283" w:firstLine="227"/>
        <w:rPr>
          <w:color w:val="000000"/>
          <w:szCs w:val="20"/>
          <w:u w:color="000000"/>
        </w:rPr>
      </w:pPr>
    </w:p>
    <w:sectPr w:rsidR="00702C8C">
      <w:footerReference w:type="default" r:id="rId8"/>
      <w:endnotePr>
        <w:numFmt w:val="decimal"/>
      </w:endnotePr>
      <w:pgSz w:w="11906" w:h="16838"/>
      <w:pgMar w:top="567" w:right="850" w:bottom="283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D392D" w14:textId="77777777" w:rsidR="00341725" w:rsidRDefault="00341725">
      <w:r>
        <w:separator/>
      </w:r>
    </w:p>
  </w:endnote>
  <w:endnote w:type="continuationSeparator" w:id="0">
    <w:p w14:paraId="02475B78" w14:textId="77777777" w:rsidR="00341725" w:rsidRDefault="0034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702C8C" w14:paraId="4ACA79D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FACF561" w14:textId="77777777" w:rsidR="00702C8C" w:rsidRDefault="00702C8C">
          <w:pPr>
            <w:jc w:val="left"/>
            <w:rPr>
              <w:sz w:val="16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94E456E" w14:textId="77777777" w:rsidR="00702C8C" w:rsidRDefault="00702C8C">
          <w:pPr>
            <w:jc w:val="right"/>
            <w:rPr>
              <w:sz w:val="16"/>
            </w:rPr>
          </w:pPr>
        </w:p>
      </w:tc>
    </w:tr>
  </w:tbl>
  <w:p w14:paraId="54B0B75F" w14:textId="77777777" w:rsidR="00702C8C" w:rsidRDefault="00702C8C">
    <w:pPr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236"/>
      <w:gridCol w:w="5118"/>
    </w:tblGrid>
    <w:tr w:rsidR="00702C8C" w14:paraId="06A8E68C" w14:textId="77777777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76662FF" w14:textId="77777777" w:rsidR="00702C8C" w:rsidRDefault="00702C8C">
          <w:pPr>
            <w:jc w:val="left"/>
            <w:rPr>
              <w:sz w:val="16"/>
            </w:rPr>
          </w:pP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DF0B6FD" w14:textId="77777777" w:rsidR="00702C8C" w:rsidRDefault="00702C8C">
          <w:pPr>
            <w:jc w:val="right"/>
            <w:rPr>
              <w:sz w:val="16"/>
            </w:rPr>
          </w:pPr>
        </w:p>
      </w:tc>
    </w:tr>
  </w:tbl>
  <w:p w14:paraId="18A14C26" w14:textId="77777777" w:rsidR="00702C8C" w:rsidRDefault="00702C8C">
    <w:pPr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702C8C" w14:paraId="578EADC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C2BB154" w14:textId="77777777" w:rsidR="00702C8C" w:rsidRDefault="00702C8C">
          <w:pPr>
            <w:jc w:val="left"/>
            <w:rPr>
              <w:sz w:val="16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33EB410" w14:textId="77777777" w:rsidR="00702C8C" w:rsidRDefault="00702C8C">
          <w:pPr>
            <w:jc w:val="right"/>
            <w:rPr>
              <w:sz w:val="16"/>
            </w:rPr>
          </w:pPr>
        </w:p>
      </w:tc>
    </w:tr>
  </w:tbl>
  <w:p w14:paraId="17AD1DE2" w14:textId="77777777" w:rsidR="00702C8C" w:rsidRDefault="00702C8C">
    <w:pPr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3B67C" w14:textId="77777777" w:rsidR="00341725" w:rsidRDefault="00341725">
      <w:r>
        <w:separator/>
      </w:r>
    </w:p>
  </w:footnote>
  <w:footnote w:type="continuationSeparator" w:id="0">
    <w:p w14:paraId="60AAD64A" w14:textId="77777777" w:rsidR="00341725" w:rsidRDefault="00341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41725"/>
    <w:rsid w:val="00702C8C"/>
    <w:rsid w:val="00A77B3E"/>
    <w:rsid w:val="00CA2A55"/>
    <w:rsid w:val="00E5720C"/>
    <w:rsid w:val="00F0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76320"/>
  <w15:docId w15:val="{18A59377-B643-42FA-B1C4-2071A2B9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789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Rady Miejskiej w Łodzi</vt:lpstr>
      <vt:lpstr/>
    </vt:vector>
  </TitlesOfParts>
  <Company>Rada Miejska w Łodzi</Company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Rady Miejskiej w Łodzi</dc:title>
  <dc:subject>w sprawie wspólnej obsługi informatycznej jednostek organizacyjnych Miasta Łodzi zaliczanych do sektora finansów publicznych.</dc:subject>
  <dc:creator>wciesielski</dc:creator>
  <cp:lastModifiedBy>Violetta Gandziarska</cp:lastModifiedBy>
  <cp:revision>2</cp:revision>
  <cp:lastPrinted>2023-11-16T11:41:00Z</cp:lastPrinted>
  <dcterms:created xsi:type="dcterms:W3CDTF">2023-11-16T13:16:00Z</dcterms:created>
  <dcterms:modified xsi:type="dcterms:W3CDTF">2023-11-16T13:16:00Z</dcterms:modified>
  <cp:category>Akt prawny</cp:category>
</cp:coreProperties>
</file>