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460B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8B51D6">
            <w:pPr>
              <w:ind w:left="6236"/>
              <w:jc w:val="left"/>
            </w:pPr>
            <w:bookmarkStart w:id="0" w:name="_GoBack"/>
            <w:bookmarkEnd w:id="0"/>
            <w:r>
              <w:t xml:space="preserve">Druk Nr  </w:t>
            </w:r>
          </w:p>
          <w:p w:rsidR="00A77B3E" w:rsidRDefault="008B51D6">
            <w:pPr>
              <w:ind w:left="6236"/>
              <w:jc w:val="left"/>
            </w:pPr>
            <w:r>
              <w:t xml:space="preserve">Projekt z dnia </w:t>
            </w:r>
          </w:p>
          <w:p w:rsidR="00A77B3E" w:rsidRDefault="00A77B3E">
            <w:pPr>
              <w:ind w:left="6236"/>
              <w:jc w:val="left"/>
            </w:pPr>
          </w:p>
        </w:tc>
      </w:tr>
    </w:tbl>
    <w:p w:rsidR="00A77B3E" w:rsidRDefault="00A77B3E"/>
    <w:p w:rsidR="00A77B3E" w:rsidRDefault="008B51D6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:rsidR="00A77B3E" w:rsidRDefault="008B51D6">
      <w:pPr>
        <w:spacing w:after="240"/>
        <w:jc w:val="center"/>
        <w:rPr>
          <w:b/>
          <w:caps/>
        </w:rPr>
      </w:pPr>
      <w:r>
        <w:rPr>
          <w:b/>
        </w:rPr>
        <w:t>z dnia .................... 2023 r.</w:t>
      </w:r>
    </w:p>
    <w:p w:rsidR="00A77B3E" w:rsidRDefault="008B51D6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ulicy </w:t>
      </w:r>
      <w:r>
        <w:rPr>
          <w:b/>
        </w:rPr>
        <w:t>Sanitariuszek, drogi ekspresowej S-14 oraz zachodniej granicy miasta Łodzi.</w:t>
      </w:r>
    </w:p>
    <w:p w:rsidR="00A77B3E" w:rsidRDefault="008B51D6">
      <w:pPr>
        <w:spacing w:before="120" w:after="120"/>
        <w:ind w:firstLine="567"/>
      </w:pPr>
      <w:r>
        <w:t>Na podstawie art. 18 ust. 2 pkt 5 i art. 40 ust. 1 ustawy z dnia 8 marca 1990 r. o samorządzie gminnym (Dz. U. z 2023 r. poz. 40, 572, 1463 i 1688) oraz art. 14 ust. 8 i art. 20 us</w:t>
      </w:r>
      <w:r>
        <w:t>t. 1 ustawy z dnia 27 marca 2003 r. o planowaniu i zagospodarowaniu przestrzennym (Dz. U. z 2023 r. poz. 977, 1506, 1597, 1688, 1890 i 2029), w związku z art. 67 ust. 3 pkt 4 ustawy z dnia 7 lipca 2023 r. o zmianie ustawy o planowaniu i zagospodarowaniu pr</w:t>
      </w:r>
      <w:r>
        <w:t>zestrzennym oraz niektórych innych ustaw (Dz. U. poz. 1688), Rada Miejska w Łodzi</w:t>
      </w:r>
    </w:p>
    <w:p w:rsidR="00A77B3E" w:rsidRDefault="008B51D6">
      <w:pPr>
        <w:spacing w:before="12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8B51D6">
      <w:pPr>
        <w:keepNext/>
        <w:spacing w:before="320" w:after="32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1. 1. </w:t>
      </w:r>
      <w:r>
        <w:t>Przedmiotem uchwały są ustalenia miejscowego planu zagospodarowania przestrzennego dla części obszaru miasta Łodzi p</w:t>
      </w:r>
      <w:r>
        <w:t>ołożonej w rejonie ulicy Sanitariuszek, drogi ekspresowej S-14 oraz zachodniej granicy miasta Łodzi, zwanego dalej „planem”, wraz z integralnymi jej częściami w postaci: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na mapie w skali 1:2000, stanowiącego załącznik Nr 1 do </w:t>
      </w:r>
      <w:r>
        <w:rPr>
          <w:color w:val="000000"/>
          <w:u w:color="000000"/>
        </w:rPr>
        <w:t>uchwały;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wniesionych w związku z wyłożeniem do publicznego wglądu, stanowiącego załącznik Nr 2 do uchwały;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</w:t>
      </w:r>
      <w:r>
        <w:rPr>
          <w:color w:val="000000"/>
          <w:u w:color="000000"/>
        </w:rPr>
        <w:t xml:space="preserve"> infrastruktury technicznej, które należą do zadań własnych gminy oraz zasadach ich finansowania, zgodnie z przepisami o finansach publicznych, stanowiącego załącznik Nr 3 do uchwały.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Granice obszaru objętego planem określono na rysunku planu, o którym </w:t>
      </w:r>
      <w:r>
        <w:rPr>
          <w:color w:val="000000"/>
          <w:u w:color="000000"/>
        </w:rPr>
        <w:t>mowa w ust. 1 pkt 1.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 i kierunków zagospodarowania przestrzennego miasta Łodzi”, uchwalonego uchwałą Nr LXIX/1753/18 Rady Miejskiej w Łodzi z dnia 28 marca 2018 r., zmienioną uchwałami Ra</w:t>
      </w:r>
      <w:r>
        <w:rPr>
          <w:color w:val="000000"/>
          <w:u w:color="000000"/>
        </w:rPr>
        <w:t>dy Miejskiej w Łodzi Nr VI/215/19 z dnia 6 marca 2019 r. i Nr LII/1605/21 z dnia 22 grudnia 2021 r.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maksymalnej i mi</w:t>
      </w:r>
      <w:r>
        <w:rPr>
          <w:color w:val="000000"/>
          <w:u w:color="000000"/>
        </w:rPr>
        <w:t xml:space="preserve">nimalnej intensywności zabudowy, minimalnego udziału procentowego powierzchni biologicznie czynnej w odniesieniu do powierzchni działki budowlanej, </w:t>
      </w:r>
      <w:r>
        <w:rPr>
          <w:color w:val="000000"/>
          <w:u w:color="000000"/>
        </w:rPr>
        <w:lastRenderedPageBreak/>
        <w:t>minimalnej liczby miejsc do parkowania, w tym miejsc przeznaczonych na parkowanie pojazdów zaopatrzonych w k</w:t>
      </w:r>
      <w:r>
        <w:rPr>
          <w:color w:val="000000"/>
          <w:u w:color="000000"/>
        </w:rPr>
        <w:t>artę parkingową i sposobu ich realizacji oraz linii zabudowy;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granic i sposobów zagospodarowania terenów górniczych, a także obszarów osuwania się mas ziemnych, krajobrazów priorytetowych określonych w audycie krajobrazowym oraz w planach zagospodarowan</w:t>
      </w:r>
      <w:r>
        <w:rPr>
          <w:color w:val="000000"/>
          <w:u w:color="000000"/>
        </w:rPr>
        <w:t>ia przestrzennego województwa;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 włącznie;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</w:t>
      </w:r>
      <w:r>
        <w:rPr>
          <w:color w:val="000000"/>
          <w:u w:color="000000"/>
        </w:rPr>
        <w:t>ki – odcinek granicy działki budowlanej przylegający do drogi publicznej lub innego ciągu komunikacyjnego, z którego odbywa się główny wjazd lub wejście na tę działkę;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budowlane: wodociągowe</w:t>
      </w:r>
      <w:r>
        <w:rPr>
          <w:color w:val="000000"/>
          <w:u w:color="000000"/>
        </w:rPr>
        <w:t>, kanalizacyjne, ciepłownicze, elektroenergetyczne, gazowe i telekomunikacyjne;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zagospodarowania;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nadzór </w:t>
      </w:r>
      <w:r>
        <w:rPr>
          <w:color w:val="000000"/>
          <w:u w:color="000000"/>
        </w:rPr>
        <w:t>archeologiczny</w:t>
      </w:r>
      <w:r>
        <w:rPr>
          <w:b/>
          <w:color w:val="000000"/>
          <w:u w:color="000000"/>
        </w:rPr>
        <w:t xml:space="preserve"> – </w:t>
      </w:r>
      <w:r>
        <w:rPr>
          <w:color w:val="000000"/>
          <w:u w:color="000000"/>
        </w:rPr>
        <w:t xml:space="preserve">rodzaj badań archeologicznych polegających na obserwacji </w:t>
      </w:r>
      <w:r>
        <w:rPr>
          <w:color w:val="000000"/>
          <w:u w:color="000000"/>
        </w:rPr>
        <w:br/>
        <w:t>i analizie nawarstwień mających na celu odkrycie i rozpoznanie zabytku archeologicznego w wykopach budowlanych podczas realizacji robót ziemnych lub przy dokonywaniu zmiany charakte</w:t>
      </w:r>
      <w:r>
        <w:rPr>
          <w:color w:val="000000"/>
          <w:u w:color="000000"/>
        </w:rPr>
        <w:t>ru dotychczasowej działalności wiążącej się z naruszeniem struktury gruntu;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obowiązującego na obszarze miasta Łodzi;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7)</w:t>
      </w:r>
      <w:r>
        <w:t>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</w:t>
      </w:r>
      <w:r>
        <w:rPr>
          <w:color w:val="000000"/>
          <w:u w:color="000000"/>
        </w:rPr>
        <w:t>y czym wymóg ten nie obowiązuje w przypadku realizacji dróg wewnętrznych, infrastruktury technicznej i wód powierzchniowych,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przypadku dróg wewnę</w:t>
      </w:r>
      <w:r>
        <w:rPr>
          <w:color w:val="000000"/>
          <w:u w:color="000000"/>
        </w:rPr>
        <w:t>trznych, infrastruktury technicznej i wód powierzchniowych – przeznaczenie, które uzupełnia przeznaczenie podstawowe w danym terenie;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strefa ochrony archeologicznej – rodzaj strefy konserwatorskiej obejmującej obszar, na którym zlokalizowane są zabytki </w:t>
      </w:r>
      <w:r>
        <w:rPr>
          <w:color w:val="000000"/>
          <w:u w:color="000000"/>
        </w:rPr>
        <w:t>archeologiczne lub istnieje uzasadnione podejrzenie,</w:t>
      </w:r>
      <w:r>
        <w:rPr>
          <w:color w:val="000000"/>
          <w:u w:color="000000"/>
        </w:rPr>
        <w:br/>
        <w:t>że mogą się one na nim znajdować;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uchwała – niniejsza uchwała Rady Miejskiej w Łodzi;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u</w:t>
      </w:r>
      <w:r>
        <w:rPr>
          <w:color w:val="000000"/>
          <w:u w:color="000000"/>
        </w:rPr>
        <w:t>stawa – ustawa z dnia 27 marca 2003 r. o planowaniu i zagospodarowaniu przestrzennym, o ile z treści planu nie wynika inaczej;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wysokość zabudowy – określona w metrach wysokość obiektu budowlanego mierzona od najniższego poziomu gruntu w miejscu jego lo</w:t>
      </w:r>
      <w:r>
        <w:rPr>
          <w:color w:val="000000"/>
          <w:u w:color="000000"/>
        </w:rPr>
        <w:t>kalizacji do najwyższego punktu jego konstrukcji, a dla budynków – do najwyższego punktu połaci dachu;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 xml:space="preserve">zabudowa istniejąca – budynek istniejący w dniu wejścia w życie planu, a także budynek posiadający w tej dacie prawo do realizacji na podstawie </w:t>
      </w:r>
      <w:r>
        <w:rPr>
          <w:color w:val="000000"/>
          <w:u w:color="000000"/>
        </w:rPr>
        <w:t>ostatecznej decyzji o pozwoleniu na budowę lub zgłoszenia, o którym mowa w przepisach odrębnych z zakresu prawa budowlanego.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</w:t>
      </w:r>
      <w:r>
        <w:rPr>
          <w:color w:val="000000"/>
          <w:u w:color="000000"/>
        </w:rPr>
        <w:t xml:space="preserve">łanymi w treści uchwały, należy </w:t>
      </w:r>
      <w:r>
        <w:rPr>
          <w:color w:val="000000"/>
          <w:u w:color="000000"/>
        </w:rPr>
        <w:lastRenderedPageBreak/>
        <w:t>rozumieć w sposób określony w ustawie lub w tych przepisach, a w przypadku braku definicji – w rozumieniu powszechnym.</w:t>
      </w:r>
    </w:p>
    <w:p w:rsidR="00A77B3E" w:rsidRDefault="008B51D6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</w:t>
      </w:r>
      <w:r>
        <w:rPr>
          <w:color w:val="000000"/>
          <w:u w:color="000000"/>
        </w:rPr>
        <w:t>ałtowania ładu przestrzennego: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 – zachowanie i ochrona terenów zieleni stanowiących system przyrodniczy miasta Łodzi pełniący rolę rekreacyjno-wypoczynkową i klimatyczno-biologicz</w:t>
      </w:r>
      <w:r>
        <w:rPr>
          <w:color w:val="000000"/>
          <w:u w:color="000000"/>
        </w:rPr>
        <w:t>ną, w tym zapewnienie ciągłości korytarza ekologicznego jakim jest dolina rzeki Ner;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 – zakaz lokalizacji budynków;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wysokości zabudowy – maksimum 30 m, z zastrzeżeniem ustaleń § 11 pkt 3 oraz ustaleń szczegół</w:t>
      </w:r>
      <w:r>
        <w:rPr>
          <w:color w:val="000000"/>
          <w:u w:color="000000"/>
        </w:rPr>
        <w:t>owych;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przeznaczenia terenów – zakaz lokalizacji punktów zbierania i przetwarzania odpadów, w tym złomu.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wynikające z potrzeb kształtowania przestrzeni publicznych, do których należą teren komunikacji dro</w:t>
      </w:r>
      <w:r>
        <w:rPr>
          <w:color w:val="000000"/>
          <w:u w:color="000000"/>
        </w:rPr>
        <w:t>gowej publicznej 1KDZ oraz tereny komunikacji drogowej wewnętrznej od 1KR do 3KR – nakaz dostosowania przestrzeni publicznych do potrzeb osób ze szczególnymi potrzebami.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</w:t>
      </w:r>
      <w:r>
        <w:rPr>
          <w:color w:val="000000"/>
          <w:u w:color="000000"/>
        </w:rPr>
        <w:t>dy kształtowania krajobrazu: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 za wyjątkiem: dróg, zalesień, inwestycji z zakresu infrastruktury technicznej, melioracji, obiektów mostowych oraz urządzeń wodnych;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</w:t>
      </w:r>
      <w:r>
        <w:rPr>
          <w:color w:val="000000"/>
          <w:u w:color="000000"/>
        </w:rPr>
        <w:t>e lokalizacji mikroinstalacji, o których mowa w przepisach odrębnych z zakresu odnawialnych źródeł energii;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ciągłości korytarza ekologicznego, wskazanego na rysunku planu w zakresie swo</w:t>
      </w:r>
      <w:r>
        <w:rPr>
          <w:color w:val="000000"/>
          <w:u w:color="000000"/>
        </w:rPr>
        <w:t>bodnego przepływu mas powietrza oraz migracji roślin i zwierząt,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likwidowania i niszczenia zadrzewień nadwodnych z wyjątkiem działań wynikających z potrzeby zapewnienia przepływu wód powierzchniowych, a także budowy, odbudowy, utrzymania i remontó</w:t>
      </w:r>
      <w:r>
        <w:rPr>
          <w:color w:val="000000"/>
          <w:u w:color="000000"/>
        </w:rPr>
        <w:t>w lub napraw urządzeń wodnych oraz prawidłowego funkcjonowania istniejącej infrastruktury technicznej;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utrzymania istniejących cieków jako cieków otwartych,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rozwiązań umożliwiających wykorzystanie lub</w:t>
      </w:r>
      <w:r>
        <w:rPr>
          <w:color w:val="000000"/>
          <w:u w:color="000000"/>
        </w:rPr>
        <w:t xml:space="preserve"> retencjonowanie nadmiaru wód opadowych i roztopowych w miejscu ich powstania, z dopuszczeniem odprowadzenia ich do odbiornika na warunkach określonych w przepisach odrębnych dotyczących zbiorowego zaopatrzenia w wodę i zbiorowego odprowadzenia ścieków ora</w:t>
      </w:r>
      <w:r>
        <w:rPr>
          <w:color w:val="000000"/>
          <w:u w:color="000000"/>
        </w:rPr>
        <w:t>z prawa wodnego, a także budownictwa,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zakaz: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wodnych, jeżeli zmiany te nie wynikają z działań na rzecz ochrony przyrody albo racjonalnej gosp</w:t>
      </w:r>
      <w:r>
        <w:rPr>
          <w:color w:val="000000"/>
          <w:u w:color="000000"/>
        </w:rPr>
        <w:t>odarki rolnej, leśnej lub wodnej,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robót polegających na zasypywaniu i likwidacji cieków, stawów oraz rowów melioracyjnych, spełniających rolę odbiorników wód powierzchniowych, z dopuszczeniem ich przebudowy i rozbudowy spowodowanej realizacją</w:t>
      </w:r>
      <w:r>
        <w:rPr>
          <w:color w:val="000000"/>
          <w:u w:color="000000"/>
        </w:rPr>
        <w:t xml:space="preserve"> inwestycji celu publicznego;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w zakresie gospodarki wodnej i odprowadzania ścieków – nakaz stosowania kompleksowych rozwiązań poprzez realizację urządzeń infrastruktury technicznej odbioru wód opadowych i roztopowych dla terenów komunikacji;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zakresie ochrony obszarów narażonych na niebezpieczeństwo powodzi – na obszarach, na których prawdopodobieństwo wystąpienia powodzi jest niskie i wynosi raz na 500 lat (p=0,2%):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gromadzenia: ścieków, nawozów naturalnych, środków chemicznych, a tak</w:t>
      </w:r>
      <w:r>
        <w:rPr>
          <w:color w:val="000000"/>
          <w:u w:color="000000"/>
        </w:rPr>
        <w:t>że innych materiałów, które mogą zanieczyścić wody,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prowadzenia odzysku i unieszkodliwiania odpadów, w tym ich składowania,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obiektów budowlanych – nakaz stosowania rozwiązań technicznych zabezpieczających obiekty przed s</w:t>
      </w:r>
      <w:r>
        <w:rPr>
          <w:color w:val="000000"/>
          <w:u w:color="000000"/>
        </w:rPr>
        <w:t>kutkami zalania;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powierzchni ziemi oraz gospodarki odpadami: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dla nieruchomości miejsca służącego do czasowego gromadzenia odpadów stałych, z uwzględnieniem wymogów wynikających z przepisów odrębnych dotyczących bu</w:t>
      </w:r>
      <w:r>
        <w:rPr>
          <w:color w:val="000000"/>
          <w:u w:color="000000"/>
        </w:rPr>
        <w:t>downictwa oraz utrzymania czystości i porządku w gminie,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ukształtowania terenu, które powodowałyby zmianę rzędnej wysokościowej terenu o więcej niż 0,5 m w stosunku do rodzimego gruntu w granicach korytarza ekologicznego oznaczon</w:t>
      </w:r>
      <w:r>
        <w:rPr>
          <w:color w:val="000000"/>
          <w:u w:color="000000"/>
        </w:rPr>
        <w:t>ego na rysunku planu, za wyjątkiem niwelacji niezbędnych do realizacji inwestycji z zakresu: infrastruktury technicznej, dróg, obiektów mostowych, urządzeń wodnych oraz rekultywacji;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w zakresie ochrony powietrza – zakaz stosowania indywidualnych źródeł </w:t>
      </w:r>
      <w:r>
        <w:rPr>
          <w:color w:val="000000"/>
          <w:u w:color="000000"/>
        </w:rPr>
        <w:t>zaopatrzenia w ciepło powodujących emisję substancji przekraczającą dopuszczalne normy;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polami elektromagnetycznymi – zakaz lokalizacji infrastruktury technicznej powodującej przekroczenie dopuszczalnych poziomów pól elektromagn</w:t>
      </w:r>
      <w:r>
        <w:rPr>
          <w:color w:val="000000"/>
          <w:u w:color="000000"/>
        </w:rPr>
        <w:t>etycznych w środowisku, określonych w przepisach odrębnych z zakresu ochrony środowiska, w budynkach z pomieszczeniami przeznaczonymi na pobyt ludzi, w rozumieniu przepisów odrębnych dotyczących budownictwa;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w zakresie ochrony przed hałasem – zabudowę </w:t>
      </w:r>
      <w:r>
        <w:rPr>
          <w:color w:val="000000"/>
          <w:u w:color="000000"/>
        </w:rPr>
        <w:t>istniejącą mieszkaniową zalicza się do terenów chronionych akustycznie określonych jako „tereny zabudowy mieszkaniowej jednorodzinnej”, w rozumieniu przepisów odrębnych dotyczących ochrony środowiska.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 xml:space="preserve">Ustala się następujące zasady ochrony dziedzictwa </w:t>
      </w:r>
      <w:r>
        <w:rPr>
          <w:color w:val="000000"/>
          <w:u w:color="000000"/>
        </w:rPr>
        <w:t>kulturowego i zabytków, w tym krajobrazów kulturowych: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zabytki archeologiczne o numerach: AZP 67-50/2, AZP 67-50/30, AZP 67-50/31, AZP 67-50/32, AZP 67-50/74, AZP 67-50/75, AZP 67-50/76 i AZP 67-50/78 oznaczone na rysunku planu, dla których</w:t>
      </w:r>
      <w:r>
        <w:rPr>
          <w:color w:val="000000"/>
          <w:u w:color="000000"/>
        </w:rPr>
        <w:t xml:space="preserve"> przy realizacji robót ziemnych lub dokonywaniu zmiany charakteru dotychczasowej działalności wiążącej się z naruszeniem struktury gruntu wymagane jest przeprowadzenie badań archeologicznych, zgodnie z przepisami odrębnymi z zakresu ochrony zabytków;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wp</w:t>
      </w:r>
      <w:r>
        <w:rPr>
          <w:color w:val="000000"/>
          <w:u w:color="000000"/>
        </w:rPr>
        <w:t>rowadza się strefę ochrony archeologicznej, obejmującą cały obszar objęty planem, w której przy realizacji robót ziemnych lub dokonywaniu zmiany charakteru dotychczasowej działalności wiążącej się z naruszeniem struktury gruntu nakazuje się prowadzenie bad</w:t>
      </w:r>
      <w:r>
        <w:rPr>
          <w:color w:val="000000"/>
          <w:u w:color="000000"/>
        </w:rPr>
        <w:t>ań archeologicznych w formie nadzoru archeologicznego na zasadach określonych w przepisach odrębnych z zakresu ochrony zabytków.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granice i sposoby zagospodarowania terenów podlegających ochronie, na podstawie odrębnych przepisów, a także ob</w:t>
      </w:r>
      <w:r>
        <w:rPr>
          <w:color w:val="000000"/>
          <w:u w:color="000000"/>
        </w:rPr>
        <w:t>szarów szczególnego zagrożenia powodzią: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na rysunku planu granice obszarów szczególnego zagrożenia powodzią, na których: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prawdopodobieństwo wystąpienia powodzi jest wysokie i wynosi raz na 10 lat (p=10%),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prawdopodobieństwo wystąpieni</w:t>
      </w:r>
      <w:r>
        <w:rPr>
          <w:color w:val="000000"/>
          <w:u w:color="000000"/>
        </w:rPr>
        <w:t>a powodzi jest średnie i wynosi raz na 100 lat (p=1%);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dla obszarów, o których mowa w pkt 1 obowiązują warunki zagospodarowania i zasady ochrony określone w przepisach odrębnych dotyczących ochrony wód i ochrony przed powodzią.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10. 1. </w:t>
      </w:r>
      <w:r>
        <w:rPr>
          <w:color w:val="000000"/>
          <w:u w:color="000000"/>
        </w:rPr>
        <w:t>Ustala się nastę</w:t>
      </w:r>
      <w:r>
        <w:rPr>
          <w:color w:val="000000"/>
          <w:u w:color="000000"/>
        </w:rPr>
        <w:t>pujące zasady i warunki scalania i podziału nieruchomości: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 wn</w:t>
      </w:r>
      <w:r>
        <w:rPr>
          <w:color w:val="000000"/>
          <w:u w:color="000000"/>
        </w:rPr>
        <w:t>iosek określono w ustaleniach szczegółowych w rozdziale 3.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Parametry działek powstałych w wyniku scalania i podziału nieruchomości, określone w ustaleniach szczegółowych w rozdziale 3, nie obowiązują dla działek gruntu wydzielonych pod drogi wewnętrzne </w:t>
      </w:r>
      <w:r>
        <w:rPr>
          <w:color w:val="000000"/>
          <w:u w:color="000000"/>
        </w:rPr>
        <w:t>oraz infrastrukturę techniczną.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przeznaczonych na pobyt ludzi we wskazanej na rysunku planu strefie ochronnej od napowietrznej l</w:t>
      </w:r>
      <w:r>
        <w:rPr>
          <w:color w:val="000000"/>
          <w:u w:color="000000"/>
        </w:rPr>
        <w:t>inii elektroenergetycznej;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ustalenia dotyczące strefy ochronnej nie obowiązują;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nakaz, wynikający z przepisów odrębnych z zakresu lotnictwa, ograniczenia wysokości obiektów naturalnych i </w:t>
      </w:r>
      <w:r>
        <w:rPr>
          <w:color w:val="000000"/>
          <w:u w:color="000000"/>
        </w:rPr>
        <w:t>sztucznych, w tym obiektów budowlanych, w ramach poszczególnych terenów, zgodnie ze wskazanymi na rysunku planu powierzchniami ograniczającymi przeszkody wokół Portu Lotniczego Łódź im. Władysława Reymonta: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powierzchnią przejściową pochyłą wyznaczoną </w:t>
      </w:r>
      <w:r>
        <w:rPr>
          <w:color w:val="000000"/>
          <w:u w:color="000000"/>
        </w:rPr>
        <w:t>liniami wysokościowymi o rzędnych wskazanych na rysunku planu, z krawędzią górną o rzędnej 224 m n.p.m., zgodnie z dokumentacją rejestracyjną lotniska,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powierzchnią poziomą wewnętrzną o rzędnej 224 m n.p.m., zgodnie z dokumentacją rejestracyjną lotniska</w:t>
      </w:r>
      <w:r>
        <w:rPr>
          <w:color w:val="000000"/>
          <w:u w:color="000000"/>
        </w:rPr>
        <w:t>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powierzchnią przejściową pochyłą wyznaczoną liniami wysokościowymi o rzędnych wskazanych na rysunku planu, z krawędzią górną o rzędnej 225,4 m n.p.m., zgodnie z zatwierdzonym planem generalnym lotniska,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powierzchnią poziomą wewnętrzną o rzędnej 225</w:t>
      </w:r>
      <w:r>
        <w:rPr>
          <w:color w:val="000000"/>
          <w:u w:color="000000"/>
        </w:rPr>
        <w:t>,4 m n.p.m., zgodnie z zatwierdzonym planem generalnym lotniska,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powierzchnią podejścia do lotniska (powierzchnia o nachyleniu 1:50), zgodnie z zatwierdzonym planem generalnym lotniska;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przypadku gdy powierzchnie ograniczające przeszkody, o których</w:t>
      </w:r>
      <w:r>
        <w:rPr>
          <w:color w:val="000000"/>
          <w:u w:color="000000"/>
        </w:rPr>
        <w:t> mowa w pkt 3 nakładają się na siebie wysokość maksymalną obiektów stanowi wartość niższa;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ograniczenie wysokości, o których mowa w pkt 3: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obejmuje również kominy, reklamy, anteny oraz inne urządzenia umieszczane</w:t>
      </w:r>
      <w:r>
        <w:rPr>
          <w:color w:val="000000"/>
          <w:u w:color="000000"/>
        </w:rPr>
        <w:br/>
        <w:t>na obiekcie, w tym stanowiące inwesty</w:t>
      </w:r>
      <w:r>
        <w:rPr>
          <w:color w:val="000000"/>
          <w:u w:color="000000"/>
        </w:rPr>
        <w:t>cje celu publicznego z zakresu łączności publicznej,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 narusza możliwości uzyskania na podstawie przepisów odrębnych z zakresu lotnictwa, odstępstwa na powstanie obiektu, którego wysokość przekracza wysokość wyznaczoną przez powierzchnie ograniczające</w:t>
      </w:r>
      <w:r>
        <w:rPr>
          <w:color w:val="000000"/>
          <w:u w:color="000000"/>
        </w:rPr>
        <w:t xml:space="preserve"> przeszkody;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zakaz, wynikający z przepisów odrębnych dotyczących lotnictwa, budowy lub rozbudowy obiektów budowlanych sprzyjających występowaniu zwierząt stwarzających zagrożenie dla ruchu statków powietrznych – na obszarze całego planu.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</w:t>
      </w:r>
      <w:r>
        <w:rPr>
          <w:color w:val="000000"/>
          <w:u w:color="000000"/>
        </w:rPr>
        <w:t>ę następujące zasady modernizacji, rozbudowy i budowy systemów komunikacji: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służący obsłudze ruchu z terenów przyległych stanowią: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 drogi zbiorczej 1KDZ (ul. Sanitariuszek),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komunikacji drogowej wewnętrznej od 1KR d</w:t>
      </w:r>
      <w:r>
        <w:rPr>
          <w:color w:val="000000"/>
          <w:u w:color="000000"/>
        </w:rPr>
        <w:t>o 3KR,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wewnętrzne niewyznaczone na rysunku planu,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drogi zlokalizowane poza granicą obszaru objętego planem;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komunikacyjnego obszaru objętego planem z zewnętrznym układem komunikacyjnym zapewniają: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zbiorczej 1</w:t>
      </w:r>
      <w:r>
        <w:rPr>
          <w:color w:val="000000"/>
          <w:u w:color="000000"/>
        </w:rPr>
        <w:t>KDZ (ul. Sanitariuszek),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zlokalizowane poza granicą obszaru objętego planem.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wyposażenie terenów w infrastrukturę techniczną w oparciu </w:t>
      </w:r>
      <w:r>
        <w:rPr>
          <w:color w:val="000000"/>
          <w:u w:color="000000"/>
        </w:rPr>
        <w:t>o istniejące systemy, ich przebudowę i rozbudowę, a także budowę nowych systemów;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 z wyłączeniem: napowietrznych linii elektroenergetycznych o napięciu 110kV lub wyższym</w:t>
      </w:r>
      <w:r>
        <w:rPr>
          <w:color w:val="000000"/>
          <w:u w:color="000000"/>
        </w:rPr>
        <w:t>, stacji transformatorowych oraz elementów infrastruktury technicznej, które jedynie jako nadziemne mogą pełnić swoją funkcję.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</w:t>
      </w:r>
      <w:r>
        <w:rPr>
          <w:color w:val="000000"/>
          <w:u w:color="000000"/>
        </w:rPr>
        <w:t>enia w wodę ‒ magistrala wodociągowa w ul. Maratońskiej;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‒ Kolektor Pabianice – GOŚ, Kolektor I;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wód opadowych i roztopowych – rzeka Ner;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źródło zaopatrzenia w gaz ‒ gazociąg średniego </w:t>
      </w:r>
      <w:r>
        <w:rPr>
          <w:color w:val="000000"/>
          <w:u w:color="000000"/>
        </w:rPr>
        <w:t>ciśnienia Dn 225 zlokalizowany w ul. Sanitariuszek;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‒ Rejonowy Punkt Zasilania Lublinek 110/15 kV.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 xml:space="preserve">Ustala się wysokość stawki procentowej służącej określeniu opłaty, o której mowa </w:t>
      </w:r>
      <w:r>
        <w:rPr>
          <w:color w:val="000000"/>
          <w:u w:color="000000"/>
        </w:rPr>
        <w:t>w art. 36 ust. 4 ustawy dla wszystkich terenów w wysokości 30%.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Ustala się granice terenów rozmieszczenia inwestycji celu publicznego o znaczeniu lokalnym, które stanowią wskazane na rysunku planu linie rozgraniczające terenu 1KDZ – dla dróg publiczn</w:t>
      </w:r>
      <w:r>
        <w:rPr>
          <w:color w:val="000000"/>
          <w:u w:color="000000"/>
        </w:rPr>
        <w:t>ych.</w:t>
      </w:r>
    </w:p>
    <w:p w:rsidR="00A77B3E" w:rsidRDefault="008B51D6">
      <w:pPr>
        <w:keepNext/>
        <w:keepLines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Dla terenów: 1RN-ZN, 2RN-ZN i 3RN-ZN obowiązują ustalenia zawarte w kolejnych ustępach niniejszego paragrafu.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rolnictwa z zaka</w:t>
      </w:r>
      <w:r>
        <w:rPr>
          <w:color w:val="000000"/>
          <w:u w:color="000000"/>
        </w:rPr>
        <w:t>zem zabudowy lub zieleni naturalnej;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</w:t>
      </w:r>
      <w:r>
        <w:rPr>
          <w:color w:val="000000"/>
          <w:u w:color="000000"/>
        </w:rPr>
        <w:t xml:space="preserve"> powierzchniowych śródlądowych,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zakaz zalesień w granicach korytarza ekologicznego oznaczonego na rysunku planu.</w:t>
      </w:r>
    </w:p>
    <w:p w:rsidR="00A77B3E" w:rsidRDefault="008B51D6">
      <w:pPr>
        <w:ind w:firstLine="567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 zakresie warunków zabudowy i zagospodarowania terenu dla zabudowy istniejącej ustala się dopuszczenie: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remontu i przebudowy;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rozbudowy i nadbudowy istniejącej zabudowy mieszkaniowej jednorodzinnej na następujących warunkach: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</w:t>
      </w:r>
      <w:r>
        <w:rPr>
          <w:color w:val="000000"/>
          <w:u w:color="000000"/>
        </w:rPr>
        <w:t>: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dachy: płaskie, dwu lub </w:t>
      </w:r>
      <w:r>
        <w:rPr>
          <w:color w:val="000000"/>
          <w:u w:color="000000"/>
        </w:rPr>
        <w:t>wielospadowe, o jednakowym kącie nachylenia połaci dachowych do 45º;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rozbudowy i nadbudowy istniejącej zabudowy zagrodowej na następujących warunkach: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gospodarczych, inwen</w:t>
      </w:r>
      <w:r>
        <w:rPr>
          <w:color w:val="000000"/>
          <w:u w:color="000000"/>
        </w:rPr>
        <w:t>tarskich i garaży – łącznie maksimum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:rsidR="00A77B3E" w:rsidRDefault="008B51D6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gospodarczych, inwentarskich i garaży – maksimum 8,0 m,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 płaskie, dwu lub wielospadowe o jednakowym kącie nachylenia połaci da</w:t>
      </w:r>
      <w:r>
        <w:rPr>
          <w:color w:val="000000"/>
          <w:u w:color="000000"/>
        </w:rPr>
        <w:t>chowych do 45º;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dopuszczenie, o którym mowa w pkt 2 i 3, nie dotyczy budynków oraz części budynków położonych w granicach korytarza ekologicznego oznaczonego na rysunku planu.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</w:t>
      </w:r>
      <w:r>
        <w:rPr>
          <w:color w:val="000000"/>
          <w:u w:color="000000"/>
        </w:rPr>
        <w:t>i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‒ 50 m;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‒ od 70º do 90º.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terenów 1ZN i 2ZN obowiązują ustalenia zawarte w kolejnych u</w:t>
      </w:r>
      <w:r>
        <w:rPr>
          <w:color w:val="000000"/>
          <w:u w:color="000000"/>
        </w:rPr>
        <w:t>stępach niniejszego paragrafu.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zieleni naturalnej;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 infrastruktury technicznej – </w:t>
      </w:r>
      <w:r>
        <w:rPr>
          <w:color w:val="000000"/>
          <w:u w:color="000000"/>
        </w:rPr>
        <w:t>z wykluczeniem terenów: magazynu gazu, obsługi produktów naftowych i gospodarowania odpadami,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:rsidR="00A77B3E" w:rsidRDefault="008B51D6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 zakresie warunków zabudowy i zagospodarowania terenu oraz zasad ochrony i kształtowania ładu </w:t>
      </w:r>
      <w:r>
        <w:rPr>
          <w:color w:val="000000"/>
          <w:u w:color="000000"/>
        </w:rPr>
        <w:t>przestrzennego ustala się zakaz zalesień w granicach korytarza ekologicznego oznaczonego na rysunku planu.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minimalną </w:t>
      </w:r>
      <w:r>
        <w:rPr>
          <w:color w:val="000000"/>
          <w:u w:color="000000"/>
        </w:rPr>
        <w:t>szerokość frontu działki ‒ 50 m;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‒ od 70º do 90º.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terenów od 1L do 7L obowiązują ustalenia zawarte w kolejnych ustępach niniejszego paragrafu.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W zakresie przeznaczenia terenu usta</w:t>
      </w:r>
      <w:r>
        <w:rPr>
          <w:color w:val="000000"/>
          <w:u w:color="000000"/>
        </w:rPr>
        <w:t>la się przeznaczenie podstawowe ‒ teren lasu.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zagospodarowania terenu oraz zasad ochrony i kształtowania ładu przestrzennego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zagospodarowanie terenu zgodnie z przepisami odrębnymi dotyczącymi lasów;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remont</w:t>
      </w:r>
      <w:r>
        <w:rPr>
          <w:color w:val="000000"/>
          <w:u w:color="000000"/>
        </w:rPr>
        <w:t>u i przebudowy istniejącej infrastruktury technicznej.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>Dla terenu 1WS obowiązują ustalenia zawarte w kolejnych ustępach niniejszego paragrafu.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 ‒ teren wód powierzchniowych </w:t>
      </w:r>
      <w:r>
        <w:rPr>
          <w:color w:val="000000"/>
          <w:u w:color="000000"/>
        </w:rPr>
        <w:t>śródlądowych;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‒ z wykluczeniem terenów: magazynu gazu, obsługi produktów naftowych i gospodarowania odpadami.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zasad zagospodarowania terenu oraz zasad ochrony i kształtowania ł</w:t>
      </w:r>
      <w:r>
        <w:rPr>
          <w:color w:val="000000"/>
          <w:u w:color="000000"/>
        </w:rPr>
        <w:t>adu przestrzennego ustala się dopuszczenie realizacji urządzeń wodnych, obiektów mostowych na zasadach określonych w przepisach odrębnych z zakresu prawa wodnego.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>Dla terenu 1KDZ obowiązują ustalenia zawarte w kolejnych ustępach niniejszego paragr</w:t>
      </w:r>
      <w:r>
        <w:rPr>
          <w:color w:val="000000"/>
          <w:u w:color="000000"/>
        </w:rPr>
        <w:t>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drogi zbiorczej;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‒ z wykluczeniem terenów: magazynu gazu, obsługi produktów naftowych i gospodarowania</w:t>
      </w:r>
      <w:r>
        <w:rPr>
          <w:color w:val="000000"/>
          <w:u w:color="000000"/>
        </w:rPr>
        <w:t xml:space="preserve"> odpadami.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Z – zbiorcza;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pomiędzy granicą obszaru objętego planem a południowo-zachodnią linią  rozgraniczającą zmienną od 20,3 m do 30,5 m, zgodnie z rysunkiem</w:t>
      </w:r>
      <w:r>
        <w:rPr>
          <w:color w:val="000000"/>
          <w:u w:color="000000"/>
        </w:rPr>
        <w:t xml:space="preserve"> planu.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>Dla terenów od 1KR do 3KR obowiązują ustalenia zawarte w kolejnych ustępach niniejszego paragrafu.</w:t>
      </w:r>
    </w:p>
    <w:p w:rsidR="00A77B3E" w:rsidRDefault="008B51D6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komunikacji drogowej wewnętrznej;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przeznaczenie </w:t>
      </w:r>
      <w:r>
        <w:rPr>
          <w:color w:val="000000"/>
          <w:u w:color="000000"/>
        </w:rPr>
        <w:t>uzupełniające ‒ teren infrastruktury technicznej ‒ z wykluczeniem terenów: magazynu gazu, obsługi produktów naftowych i gospodarowania odpadami.</w:t>
      </w:r>
    </w:p>
    <w:p w:rsidR="00A77B3E" w:rsidRDefault="008B51D6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się: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1KR szerokość w liniach</w:t>
      </w:r>
      <w:r>
        <w:rPr>
          <w:color w:val="000000"/>
          <w:u w:color="000000"/>
        </w:rPr>
        <w:t xml:space="preserve"> rozgraniczających zmienną od 4,3 m do 9,4 m, zgodnie z rysunkiem planu;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2KR szerokość w liniach rozgraniczających zmienną od 2,6 m do 5,6 m, zgodnie z rysunkiem planu;</w:t>
      </w:r>
    </w:p>
    <w:p w:rsidR="00A77B3E" w:rsidRDefault="008B51D6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dla terenu 3KR szerokość w liniach rozgraniczających zmienną od 3,0 m </w:t>
      </w:r>
      <w:r>
        <w:rPr>
          <w:color w:val="000000"/>
          <w:u w:color="000000"/>
        </w:rPr>
        <w:t>do 5,5 m, zgodnie z rysunkiem planu.</w:t>
      </w:r>
    </w:p>
    <w:p w:rsidR="00A77B3E" w:rsidRDefault="008B51D6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:rsidR="00A77B3E" w:rsidRDefault="008B51D6">
      <w:pPr>
        <w:keepLines/>
        <w:spacing w:before="24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Wykonanie uchwały powierza się Prezyd</w:t>
      </w:r>
      <w:r>
        <w:rPr>
          <w:color w:val="000000"/>
          <w:u w:color="000000"/>
        </w:rPr>
        <w:t>entowi Miasta Łodzi.</w:t>
      </w:r>
    </w:p>
    <w:p w:rsidR="00A77B3E" w:rsidRDefault="008B51D6">
      <w:pPr>
        <w:keepNext/>
        <w:keepLines/>
        <w:spacing w:before="240"/>
        <w:ind w:firstLine="567"/>
        <w:rPr>
          <w:color w:val="000000"/>
          <w:u w:color="000000"/>
        </w:rPr>
      </w:pPr>
      <w:r>
        <w:lastRenderedPageBreak/>
        <w:t>§ 24.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:rsidR="00A77B3E" w:rsidRDefault="008B51D6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  </w:t>
      </w:r>
    </w:p>
    <w:p w:rsidR="00A77B3E" w:rsidRDefault="008B51D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460B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460B7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B51D6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 GOŁASZEWSKI</w:t>
            </w:r>
          </w:p>
        </w:tc>
      </w:tr>
    </w:tbl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A77B3E" w:rsidRDefault="008B51D6">
      <w:pPr>
        <w:spacing w:before="320" w:after="320"/>
        <w:ind w:left="5632"/>
        <w:jc w:val="left"/>
        <w:rPr>
          <w:color w:val="000000"/>
          <w:u w:color="000000"/>
        </w:rPr>
      </w:pPr>
      <w:r>
        <w:rPr>
          <w:color w:val="000000"/>
          <w:u w:color="000000"/>
        </w:rPr>
        <w:t xml:space="preserve">Załącznik </w:t>
      </w:r>
      <w:r>
        <w:rPr>
          <w:color w:val="000000"/>
          <w:u w:color="000000"/>
        </w:rPr>
        <w:t>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                     2023 r.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3323955" cy="469924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955" cy="46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3845007" cy="543587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5007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3845007" cy="543587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5007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3845007" cy="543587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5007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3845007" cy="543587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007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B51D6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3161412" cy="7959985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1412" cy="7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00"/>
        <w:jc w:val="center"/>
        <w:rPr>
          <w:color w:val="000000"/>
          <w:u w:color="000000"/>
        </w:rPr>
      </w:pPr>
    </w:p>
    <w:p w:rsidR="00A77B3E" w:rsidRDefault="008B51D6">
      <w:pPr>
        <w:keepNext/>
        <w:spacing w:before="320" w:after="320"/>
        <w:ind w:left="5286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lastRenderedPageBreak/>
        <w:t>Rady Miejskiej w Łodzi</w:t>
      </w:r>
      <w:r>
        <w:rPr>
          <w:color w:val="000000"/>
          <w:u w:color="000000"/>
        </w:rPr>
        <w:br/>
        <w:t>z dnia                     2023 r.</w:t>
      </w:r>
    </w:p>
    <w:p w:rsidR="00A77B3E" w:rsidRDefault="008B51D6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</w:t>
      </w:r>
      <w:r>
        <w:rPr>
          <w:b/>
          <w:color w:val="000000"/>
          <w:u w:color="000000"/>
        </w:rPr>
        <w:t>związku z wyłożeniem do publicznego wglądu.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ulicy Sanitariuszek, drogi ekspresowej S-14 oraz zachodniej granicy miasta Łodzi został wyłożony do pu</w:t>
      </w:r>
      <w:r>
        <w:rPr>
          <w:color w:val="000000"/>
          <w:u w:color="000000"/>
        </w:rPr>
        <w:t>blicznego wglądu w dniach od 8 do 29 września 2023 r.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wyznaczonym terminie wnoszenia uwag dotyczących projektu planu, tj. do dnia 13 października 2023 r. wpłynęły 2 uwagi. Prezydent Miasta Łodzi rozpatrzył uwagi dotyczące projektu planu, zgodnie z przywo</w:t>
      </w:r>
      <w:r>
        <w:rPr>
          <w:color w:val="000000"/>
          <w:u w:color="000000"/>
        </w:rPr>
        <w:t>łanymi w wyjaśnieniach aktami prawnymi w ich brzmieniu na dzień podpisania zarządzenia.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 zakresie uwag nieuwzględnionych przez Prezydenta Miasta Łodzi, Rada Miejska w Łodzi postanawia przyjąć następujący sposób rozpatrzenia: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1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−wpłynęła dnia </w:t>
      </w:r>
      <w:r>
        <w:rPr>
          <w:color w:val="000000"/>
          <w:u w:color="000000"/>
        </w:rPr>
        <w:t>26 września 2023 r.,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działek nr 676/3 i 675/7, obr. G-53.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„W związku z otrzymanym pozwoleniem na budowę budynku jednorodzinnego na terenie w/w działek oraz rozpoczęciem prac budowlanych proszę o wyłączenie ich z miejscowego planu </w:t>
      </w:r>
      <w:r>
        <w:rPr>
          <w:i/>
          <w:color w:val="000000"/>
          <w:u w:color="000000"/>
        </w:rPr>
        <w:t>zagospodarowania przestrzennego (przystąpienie nr 329)”.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18 ust. 1 ustawy z dnia 27 marca 2003 r. o planowaniu i zagospodarowani</w:t>
      </w:r>
      <w:r>
        <w:rPr>
          <w:color w:val="000000"/>
          <w:u w:color="000000"/>
        </w:rPr>
        <w:t>u przestrzennym cyt.: „uwagi do projektu planu miejscowego może wnieść każdy, kto kwestionuje ustalenia przyjęte w projekcie planu, wyłożonym do publicznego wglądu (…)”. Treść uwagi dotycząca wyłączenia z miejscowego planu zagospodarowania przestrzennego d</w:t>
      </w:r>
      <w:r>
        <w:rPr>
          <w:color w:val="000000"/>
          <w:u w:color="000000"/>
        </w:rPr>
        <w:t>ziałek o nr ewidencyjnych 676/3 i 675/7 w obrębie G-53 nie dotyczy ustaleń planu miejscowego, w związku z czym, uwaga nie może być uwzględniona ze względów formalnych.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Jednocześnie należy podkreślić, że wejście w życie planu miejscowego nie powoduje wygaśn</w:t>
      </w:r>
      <w:r>
        <w:rPr>
          <w:color w:val="000000"/>
          <w:u w:color="000000"/>
        </w:rPr>
        <w:t>ięcia ostatecznej decyzji o pozwoleniu na budowę. Realizacja przedsięwzięcia budowlanego w oparciu o takie pozwolenie jest możliwa.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Ponadto zgodnie z zapisami Studium projekt planu uwzględnia zabudowę istniejącą ustalając dla niej katalog możliwych działań</w:t>
      </w:r>
      <w:r>
        <w:rPr>
          <w:color w:val="000000"/>
          <w:u w:color="000000"/>
        </w:rPr>
        <w:t xml:space="preserve"> budowlanych (m.in. remont, przebudowę, rozbudowę</w:t>
      </w:r>
      <w:r>
        <w:rPr>
          <w:color w:val="000000"/>
          <w:u w:color="000000"/>
        </w:rPr>
        <w:br/>
        <w:t>i nadbudowę do określonych planem parametrów). Przez zabudowę istniejącą w projekcie planu rozumie się zarówno budynki istniejące w dniu wejścia w życie planu, jak i budynki posiadające w tej dacie prawo do</w:t>
      </w:r>
      <w:r>
        <w:rPr>
          <w:color w:val="000000"/>
          <w:u w:color="000000"/>
        </w:rPr>
        <w:t xml:space="preserve"> realizacji na podstawie ostatecznej decyzji o pozwoleniu</w:t>
      </w:r>
      <w:r>
        <w:rPr>
          <w:color w:val="000000"/>
          <w:u w:color="000000"/>
        </w:rPr>
        <w:br/>
        <w:t>na budowę lub zgłoszenia, o którym mowa w przepisach odrębnych z zakresu prawa budowlanego.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2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13 października 2023 r.,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−dotyczy działek nr: 684/1, 684/2, 684/3 i 684/4, obr. G-5</w:t>
      </w:r>
      <w:r>
        <w:rPr>
          <w:color w:val="000000"/>
          <w:u w:color="000000"/>
        </w:rPr>
        <w:t>3.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1)</w:t>
      </w:r>
      <w:r>
        <w:rPr>
          <w:i/>
          <w:color w:val="000000"/>
          <w:u w:color="000000"/>
        </w:rPr>
        <w:t xml:space="preserve">żądam przeznaczenia przedmiotowych działek na cele zabudowy mieszkaniowej jednorodzinnej z wyjątkiem części leśnej działek nr ewidencyjny 684/3 i 684/4, zabudowa </w:t>
      </w:r>
      <w:r>
        <w:rPr>
          <w:i/>
          <w:color w:val="000000"/>
          <w:u w:color="000000"/>
        </w:rPr>
        <w:br/>
        <w:t>na przedmiotowych działkach stanowić będzie uzupełnienie zespołu zabudowy m</w:t>
      </w:r>
      <w:r>
        <w:rPr>
          <w:i/>
          <w:color w:val="000000"/>
          <w:u w:color="000000"/>
        </w:rPr>
        <w:t>ieszkaniowej jednorodzinnej zrealizowanego w rejonie ul. Biwakowej i Dedala;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2)</w:t>
      </w:r>
      <w:r>
        <w:rPr>
          <w:i/>
          <w:color w:val="000000"/>
          <w:u w:color="000000"/>
        </w:rPr>
        <w:t xml:space="preserve">ustalenie zakazu zabudowy na przedmiotowych działkach stanowi wyraz nadużycia władztwa planistycznego przez Prezydent Miasta sporządzającej projekt planu, nie ma swojego źródła </w:t>
      </w:r>
      <w:r>
        <w:rPr>
          <w:i/>
          <w:color w:val="000000"/>
          <w:u w:color="000000"/>
        </w:rPr>
        <w:t xml:space="preserve">w powszechnie obowiązujących przepisach prawa; przeznaczenie na teren rolnictwa z zakazem zabudowy lub zieleni naturalnej 2RN-ZN uważam za niewłaściwe, naruszające mój interes prawny w zakresie konstytucyjnie chronionego prawa własności </w:t>
      </w:r>
      <w:r>
        <w:rPr>
          <w:i/>
          <w:color w:val="000000"/>
          <w:u w:color="000000"/>
        </w:rPr>
        <w:br/>
        <w:t>i przynależnemu mu</w:t>
      </w:r>
      <w:r>
        <w:rPr>
          <w:i/>
          <w:color w:val="000000"/>
          <w:u w:color="000000"/>
        </w:rPr>
        <w:t xml:space="preserve"> prawa do zabudowy;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3)</w:t>
      </w:r>
      <w:r>
        <w:rPr>
          <w:i/>
          <w:color w:val="000000"/>
          <w:u w:color="000000"/>
        </w:rPr>
        <w:t xml:space="preserve">w związku z uchwałą Nr LXVIII/2025/22 Rady Miejskiej w Łodzi z dnia 16 listopada 2022 r. w sprawie przystąpienia do zmiany Studium uwarunkowań i kierunków zagospodarowania przestrzennego miasta Łodzi w zakresie aktualizacji struktury </w:t>
      </w:r>
      <w:r>
        <w:rPr>
          <w:i/>
          <w:color w:val="000000"/>
          <w:u w:color="000000"/>
        </w:rPr>
        <w:t>funkcjonalno-przestrzennej Miasta w jednostkach „O – tereny aktywne przyrodniczo, w tym użytkowane rolniczo” i wprowadzenia w innych jednostkach niezbędnych zmian wiążących się z dokonywaną aktualizacją, oznaczenia jednostki planistycznej, w której zlokali</w:t>
      </w:r>
      <w:r>
        <w:rPr>
          <w:i/>
          <w:color w:val="000000"/>
          <w:u w:color="000000"/>
        </w:rPr>
        <w:t>zowane są przedmiotowe działki jako obszaru zmiany Studium, podejmowanie jakichkolwiek rozstrzygnięć w oparciu o obowiązujące Studium w tym zakresie jest przedwczesne, czyni prace nad zmianą Studium bezprzedmiotowymi lub powoduje, iż rozwiązania planu w pr</w:t>
      </w:r>
      <w:r>
        <w:rPr>
          <w:i/>
          <w:color w:val="000000"/>
          <w:u w:color="000000"/>
        </w:rPr>
        <w:t>zypadku zmiany Studium staną się nieaktualne. Koszty ewentualnej zmiany planu miejscowego obciążać będą budżet miasta.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Przedmiotowe działki zlokalizowane są w jednostce funkcjonalno-przestrzennej „O – tereny aktywne przyrodniczo, w tym użytkowane rolniczo”</w:t>
      </w:r>
      <w:r>
        <w:rPr>
          <w:i/>
          <w:color w:val="000000"/>
          <w:u w:color="000000"/>
        </w:rPr>
        <w:t xml:space="preserve"> bezpośrednio przy granicy z jednostką „M4 – tereny zabudowy mieszkaniowej jednorodzinnej na dużych działkach”. Przeznaczenie działek na cele zabudowy mieszkaniowej jednorodzinnej pozwoli w poszanowaniu prawa własności, walorów ekonomicznych przestrzeni, b</w:t>
      </w:r>
      <w:r>
        <w:rPr>
          <w:i/>
          <w:color w:val="000000"/>
          <w:u w:color="000000"/>
        </w:rPr>
        <w:t>ez szkód dla walorów przyrodniczych miejsca, na uzupełnienie zespołu zabudowy mieszkaniowej jednorodzinnej zrealizowanego w rejonie ul. Biwakowej i Dedala.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O wydanie decyzji o warunkach zabudowy na zabudowę mieszkaniową jednorodzinną </w:t>
      </w:r>
      <w:r>
        <w:rPr>
          <w:i/>
          <w:color w:val="000000"/>
          <w:u w:color="000000"/>
        </w:rPr>
        <w:br/>
        <w:t>na przedmiotowych dzi</w:t>
      </w:r>
      <w:r>
        <w:rPr>
          <w:i/>
          <w:color w:val="000000"/>
          <w:u w:color="000000"/>
        </w:rPr>
        <w:t xml:space="preserve">ałkach wystąpiliśmy w kwietniu 2023 r. Z uwagi na bezpośrednie sąsiedztwo zabudowy mieszkaniowej jednorodzinnej warunki dla wydania decyzji </w:t>
      </w:r>
      <w:r>
        <w:rPr>
          <w:i/>
          <w:color w:val="000000"/>
          <w:u w:color="000000"/>
        </w:rPr>
        <w:br/>
        <w:t>o warunkach zabudowy są w sposób oczywisty spełnione. Postępowania w sprawie wydania decyzji z uwagi na przystąpien</w:t>
      </w:r>
      <w:r>
        <w:rPr>
          <w:i/>
          <w:color w:val="000000"/>
          <w:u w:color="000000"/>
        </w:rPr>
        <w:t>ie do sporządzenia planu miejscowego zostały zawieszone.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Ad. 1 i 2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</w:t>
      </w:r>
      <w:r>
        <w:rPr>
          <w:color w:val="000000"/>
          <w:u w:color="000000"/>
        </w:rPr>
        <w:t>podarowaniu przestrzennym „(…) prezydent miasta sporządza projekt planu miejscowego (…) zgodnie z zapisami studium oraz z przepisami odrębnymi, odnoszącymi się do obszaru objętego planem (…)”. Jednocześnie art. 9 ust. 4 ww. ustawy stanowi, że „Ustalenia st</w:t>
      </w:r>
      <w:r>
        <w:rPr>
          <w:color w:val="000000"/>
          <w:u w:color="000000"/>
        </w:rPr>
        <w:t>udium są wiążące dla organów gminy przy sporządzaniu planów miejscowych”. Obszar wskazany w uwadze, zgodnie ze Studium uwarunkowań i kierunków zagospodarowania przestrzennego miasta Łodzi (uchwalonym uchwałą Nr LXIX/1753/18 Rady Miejskiej w Łodzi z dnia 28</w:t>
      </w:r>
      <w:r>
        <w:rPr>
          <w:color w:val="000000"/>
          <w:u w:color="000000"/>
        </w:rPr>
        <w:t xml:space="preserve"> marca 2018 r., zmienioną uchwałami Rady Miejskiej w Łodzi Nr VI/215/19 z dnia 6 marca 2019 r. i Nr LII/1605/21 z dnia 22 grudnia 2021 r.), stanowi strefę terenów wyłączonych spod </w:t>
      </w:r>
      <w:r>
        <w:rPr>
          <w:color w:val="000000"/>
          <w:u w:color="000000"/>
        </w:rPr>
        <w:lastRenderedPageBreak/>
        <w:t>zabudowy i ujęty jest jako tereny aktywne przyrodniczo, w tym użytkowane rol</w:t>
      </w:r>
      <w:r>
        <w:rPr>
          <w:color w:val="000000"/>
          <w:u w:color="000000"/>
        </w:rPr>
        <w:t>niczo, oznaczone symbolem „O”.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przeznaczenia działek na cele zabudowy mieszkan</w:t>
      </w:r>
      <w:r>
        <w:rPr>
          <w:color w:val="000000"/>
          <w:u w:color="000000"/>
        </w:rPr>
        <w:t>iowej jednorodzinnej nie może być uwzględniona.</w:t>
      </w:r>
    </w:p>
    <w:p w:rsidR="00A77B3E" w:rsidRDefault="008B51D6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Ad. 3</w:t>
      </w:r>
    </w:p>
    <w:p w:rsidR="00A77B3E" w:rsidRDefault="008B51D6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18 ust. 1 ustawy z dnia 27 marca 2003 r. o planowaniu i zagospodarowaniu przestrzennym cyt.: „uwagi do projektu planu miejscowego może wnieść każdy, kto kwestionuje ustalenia przyjęte </w:t>
      </w:r>
      <w:r>
        <w:rPr>
          <w:color w:val="000000"/>
          <w:u w:color="000000"/>
        </w:rPr>
        <w:t>w projekcie planu, wyłożonym do publicznego wglądu (…)”. Wątki poruszone w tej części uwagi nie dotyczą ustaleń planu miejscowego,</w:t>
      </w:r>
      <w:r>
        <w:rPr>
          <w:color w:val="000000"/>
          <w:u w:color="000000"/>
        </w:rPr>
        <w:br/>
        <w:t>w związku z czym nie mogą być uwzględnione ze względów formalnych.</w:t>
      </w:r>
    </w:p>
    <w:p w:rsidR="00A77B3E" w:rsidRDefault="00A77B3E">
      <w:pPr>
        <w:keepNext/>
        <w:keepLines/>
        <w:spacing w:before="100" w:after="100"/>
        <w:rPr>
          <w:color w:val="000000"/>
          <w:u w:color="000000"/>
        </w:rPr>
      </w:pPr>
    </w:p>
    <w:p w:rsidR="00A77B3E" w:rsidRDefault="008B51D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460B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460B7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B51D6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 xml:space="preserve">Marcin </w:t>
            </w:r>
            <w:r>
              <w:rPr>
                <w:b/>
              </w:rPr>
              <w:t>GOŁASZEWSKI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</w:pPr>
    </w:p>
    <w:p w:rsidR="00A77B3E" w:rsidRDefault="008B51D6">
      <w:pPr>
        <w:keepNext/>
        <w:spacing w:before="320" w:after="320"/>
        <w:ind w:left="5572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                       2023 r.</w:t>
      </w:r>
    </w:p>
    <w:p w:rsidR="00A77B3E" w:rsidRDefault="008B51D6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</w:t>
      </w:r>
      <w:r>
        <w:rPr>
          <w:b/>
          <w:color w:val="000000"/>
          <w:u w:color="000000"/>
        </w:rPr>
        <w:t>asadach ich finansowania, zgodnie z przepisami o finansach publicznych.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-wydzielenie i wykup terenu pod poszerzenie istniejących dróg publicznych,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-budowa bądź przebudo</w:t>
      </w:r>
      <w:r>
        <w:rPr>
          <w:color w:val="000000"/>
          <w:u w:color="000000"/>
        </w:rPr>
        <w:t>wa dróg publicznych,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 budowa sieci infrastruktury technicznej.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gminy objętych wieloletnią prognozą finansową.</w:t>
      </w:r>
    </w:p>
    <w:p w:rsidR="00A77B3E" w:rsidRDefault="008B51D6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Fina</w:t>
      </w:r>
      <w:r>
        <w:rPr>
          <w:color w:val="000000"/>
          <w:u w:color="000000"/>
        </w:rPr>
        <w:t>nsowanie będzie odbywało się w oparciu o budżet gminy, z wykorzystaniem funduszy strukturalnych Unii Europejskiej oraz środków Funduszu Ochrony Środowiska.</w:t>
      </w:r>
    </w:p>
    <w:p w:rsidR="00A77B3E" w:rsidRDefault="008B51D6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Niniejszy załącznik nie zawiera obciążeń miasta z tytułu odszkodowań w trybie art. 36 ust. 1 ustawy.</w:t>
      </w:r>
    </w:p>
    <w:p w:rsidR="00A77B3E" w:rsidRDefault="00A77B3E">
      <w:pPr>
        <w:keepNext/>
        <w:keepLines/>
        <w:spacing w:before="100" w:after="100"/>
        <w:jc w:val="left"/>
        <w:rPr>
          <w:color w:val="000000"/>
          <w:u w:color="000000"/>
        </w:rPr>
      </w:pPr>
    </w:p>
    <w:p w:rsidR="00A77B3E" w:rsidRDefault="008B51D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460B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460B7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460B7" w:rsidRDefault="008B51D6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 GOŁASZEWSKI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1417" w:right="1417" w:bottom="850" w:left="1417" w:header="708" w:footer="708" w:gutter="0"/>
          <w:cols w:space="708"/>
          <w:docGrid w:linePitch="360"/>
        </w:sectPr>
      </w:pPr>
    </w:p>
    <w:p w:rsidR="00A77B3E" w:rsidRDefault="008B51D6">
      <w:pPr>
        <w:keepNext/>
        <w:spacing w:after="24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 xml:space="preserve">z dnia </w:t>
      </w:r>
      <w:r>
        <w:t>.................... 2023 r.</w:t>
      </w:r>
      <w:r>
        <w:rPr>
          <w:color w:val="000000"/>
          <w:u w:color="000000"/>
        </w:rPr>
        <w:br/>
      </w:r>
      <w:hyperlink r:id="rId20" w:history="1">
        <w:r>
          <w:rPr>
            <w:rStyle w:val="Hipercze"/>
            <w:color w:val="000000"/>
            <w:u w:val="none" w:color="000000"/>
          </w:rPr>
          <w:t>Zalacznik4.xml</w:t>
        </w:r>
      </w:hyperlink>
    </w:p>
    <w:p w:rsidR="00A77B3E" w:rsidRDefault="008B51D6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417" w:bottom="850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ustawy ujawnione zostaną po kliknięciu w ikonę.</w:t>
      </w:r>
    </w:p>
    <w:p w:rsidR="008460B7" w:rsidRDefault="008460B7">
      <w:pPr>
        <w:jc w:val="left"/>
        <w:rPr>
          <w:color w:val="000000"/>
          <w:szCs w:val="20"/>
          <w:lang w:val="x-none" w:eastAsia="en-US" w:bidi="ar-SA"/>
        </w:rPr>
      </w:pPr>
    </w:p>
    <w:p w:rsidR="008460B7" w:rsidRDefault="008B51D6">
      <w:pPr>
        <w:jc w:val="center"/>
        <w:rPr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t>Uzasadnienie</w:t>
      </w:r>
    </w:p>
    <w:p w:rsidR="008460B7" w:rsidRDefault="008B51D6">
      <w:pPr>
        <w:jc w:val="center"/>
        <w:rPr>
          <w:b/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t xml:space="preserve">do projektu uchwały w </w:t>
      </w:r>
      <w:r>
        <w:rPr>
          <w:b/>
          <w:color w:val="000000"/>
          <w:szCs w:val="20"/>
          <w:lang w:val="x-none" w:eastAsia="en-US" w:bidi="ar-SA"/>
        </w:rPr>
        <w:t>sprawie uchwalenia miejscowego planu zagospodarowania przestrzennego dla części obszaru miasta Łodzi położonej w rejonie ulicy Sanitariuszek, drogi ekspresowej S-14 oraz zachodniej granicy miasta Łodzi</w:t>
      </w:r>
    </w:p>
    <w:p w:rsidR="008460B7" w:rsidRDefault="008460B7">
      <w:pPr>
        <w:rPr>
          <w:szCs w:val="20"/>
          <w:lang w:val="x-none" w:eastAsia="en-US" w:bidi="ar-SA"/>
        </w:rPr>
      </w:pPr>
    </w:p>
    <w:p w:rsidR="008460B7" w:rsidRDefault="008B51D6">
      <w:pPr>
        <w:suppressAutoHyphens/>
        <w:ind w:firstLine="425"/>
        <w:rPr>
          <w:szCs w:val="20"/>
          <w:shd w:val="clear" w:color="auto" w:fill="FFFFFF"/>
          <w:lang w:val="ar-SA" w:eastAsia="ar-SA" w:bidi="ar-SA"/>
        </w:rPr>
      </w:pPr>
      <w:r>
        <w:rPr>
          <w:szCs w:val="20"/>
          <w:shd w:val="clear" w:color="auto" w:fill="FFFFFF"/>
        </w:rPr>
        <w:t xml:space="preserve">Zgodnie z podjętą uchwałą </w:t>
      </w:r>
      <w:r>
        <w:rPr>
          <w:color w:val="000000"/>
          <w:szCs w:val="20"/>
          <w:shd w:val="clear" w:color="auto" w:fill="FFFFFF"/>
          <w:lang w:val="ar-SA" w:eastAsia="ar-SA" w:bidi="ar-SA"/>
        </w:rPr>
        <w:t>Nr LXX/2097/22</w:t>
      </w:r>
      <w:r>
        <w:rPr>
          <w:szCs w:val="20"/>
          <w:shd w:val="clear" w:color="auto" w:fill="FFFFFF"/>
        </w:rPr>
        <w:t xml:space="preserve"> Rady Miejski</w:t>
      </w:r>
      <w:r>
        <w:rPr>
          <w:szCs w:val="20"/>
          <w:shd w:val="clear" w:color="auto" w:fill="FFFFFF"/>
        </w:rPr>
        <w:t xml:space="preserve">ej w Łodzi z dnia 21 grudnia 2022 r. przystąpiono do sporządzenia projektu </w:t>
      </w:r>
      <w:r>
        <w:rPr>
          <w:szCs w:val="20"/>
          <w:shd w:val="clear" w:color="auto" w:fill="FFFFFF"/>
          <w:lang w:val="ar-SA" w:eastAsia="ar-SA" w:bidi="ar-SA"/>
        </w:rPr>
        <w:t xml:space="preserve">miejscowego planu zagospodarowania przestrzennego dla części obszaru miasta Łodzi położonej </w:t>
      </w:r>
      <w:r>
        <w:rPr>
          <w:color w:val="000000"/>
          <w:szCs w:val="20"/>
          <w:shd w:val="clear" w:color="auto" w:fill="FFFFFF"/>
          <w:lang w:val="ar-SA" w:eastAsia="ar-SA" w:bidi="ar-SA"/>
        </w:rPr>
        <w:t>w rejonie ulicy Sanitariuszek, drogi ekspresowej S-14 oraz zachodniej granicy miasta Łodz</w:t>
      </w:r>
      <w:r>
        <w:rPr>
          <w:color w:val="000000"/>
          <w:szCs w:val="20"/>
          <w:shd w:val="clear" w:color="auto" w:fill="FFFFFF"/>
          <w:lang w:val="ar-SA" w:eastAsia="ar-SA" w:bidi="ar-SA"/>
        </w:rPr>
        <w:t>i</w:t>
      </w:r>
      <w:r>
        <w:rPr>
          <w:szCs w:val="20"/>
          <w:shd w:val="clear" w:color="auto" w:fill="FFFFFF"/>
          <w:lang w:val="ar-SA" w:eastAsia="ar-SA" w:bidi="ar-SA"/>
        </w:rPr>
        <w:t>.</w:t>
      </w:r>
    </w:p>
    <w:p w:rsidR="008460B7" w:rsidRDefault="008B51D6">
      <w:pPr>
        <w:spacing w:before="320" w:after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Obszar objęty projektem planu miejscowego o powierzchni ok. 5</w:t>
      </w:r>
      <w:r>
        <w:rPr>
          <w:color w:val="000000"/>
          <w:szCs w:val="20"/>
        </w:rPr>
        <w:t>8</w:t>
      </w:r>
      <w:r>
        <w:rPr>
          <w:color w:val="000000"/>
          <w:szCs w:val="20"/>
          <w:lang w:val="ar-SA" w:eastAsia="ar-SA" w:bidi="ar-SA"/>
        </w:rPr>
        <w:t xml:space="preserve"> ha zlokalizowany jest w </w:t>
      </w:r>
      <w:r>
        <w:rPr>
          <w:color w:val="000000"/>
          <w:szCs w:val="20"/>
        </w:rPr>
        <w:t>zachodniej</w:t>
      </w:r>
      <w:r>
        <w:rPr>
          <w:color w:val="000000"/>
          <w:szCs w:val="20"/>
          <w:lang w:val="ar-SA" w:eastAsia="ar-SA" w:bidi="ar-SA"/>
        </w:rPr>
        <w:t xml:space="preserve"> części osiedla </w:t>
      </w:r>
      <w:r>
        <w:rPr>
          <w:color w:val="000000"/>
          <w:szCs w:val="20"/>
        </w:rPr>
        <w:t>Nad Nerem</w:t>
      </w:r>
      <w:r>
        <w:rPr>
          <w:color w:val="000000"/>
          <w:szCs w:val="20"/>
          <w:lang w:val="ar-SA" w:eastAsia="ar-SA" w:bidi="ar-SA"/>
        </w:rPr>
        <w:t xml:space="preserve">. Obszar obejmuje część doliny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ar-SA" w:eastAsia="ar-SA" w:bidi="ar-SA"/>
        </w:rPr>
        <w:t>, tereny otwarte oraz lasy. Na obszarze objętym projektem planu zlokalizowana jest pojedync</w:t>
      </w:r>
      <w:r>
        <w:rPr>
          <w:color w:val="000000"/>
          <w:szCs w:val="20"/>
          <w:lang w:val="ar-SA" w:eastAsia="ar-SA" w:bidi="ar-SA"/>
        </w:rPr>
        <w:t xml:space="preserve">za zabudowa mieszkaniowa jednorodzinna </w:t>
      </w:r>
      <w:r>
        <w:rPr>
          <w:color w:val="000000"/>
          <w:szCs w:val="20"/>
        </w:rPr>
        <w:t xml:space="preserve">oraz </w:t>
      </w:r>
      <w:r>
        <w:rPr>
          <w:color w:val="000000"/>
          <w:szCs w:val="20"/>
          <w:lang w:val="ar-SA" w:eastAsia="ar-SA" w:bidi="ar-SA"/>
        </w:rPr>
        <w:t>zagrodowa.</w:t>
      </w:r>
    </w:p>
    <w:p w:rsidR="008460B7" w:rsidRDefault="008B51D6">
      <w:pPr>
        <w:spacing w:before="320" w:after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W wyniku realizacji ww. uchwały został opracowany projekt planu miejscowego wraz z prognozą oddziaływania na środowisko i prognozą skutków finansowych uchwalenia miejscowego planu zagospodarowania prze</w:t>
      </w:r>
      <w:r>
        <w:rPr>
          <w:color w:val="000000"/>
          <w:szCs w:val="20"/>
          <w:lang w:val="ar-SA" w:eastAsia="ar-SA" w:bidi="ar-SA"/>
        </w:rPr>
        <w:t>strzennego.</w:t>
      </w:r>
    </w:p>
    <w:p w:rsidR="008460B7" w:rsidRDefault="008B51D6">
      <w:pPr>
        <w:spacing w:before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Przedmiotem planu, zgodnie z jego uchwałą inicjującą, jest ustalenie przeznaczenia i sposobu zagospodarowania terenów zgodnie z wymogami ładu przestrzennego oraz realizowaną polityką przestrzenną Miasta określoną w Studium uwarunkowań i kierunk</w:t>
      </w:r>
      <w:r>
        <w:rPr>
          <w:color w:val="000000"/>
          <w:szCs w:val="20"/>
          <w:lang w:val="ar-SA" w:eastAsia="ar-SA" w:bidi="ar-SA"/>
        </w:rPr>
        <w:t>ów zagospodarowania przestrzennego miasta Łodzi (uchwalonym uchwałą Nr LXIX/1753/18 Rady Miejskiej w Łodzi z dnia 28 marca 2018 r.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ar-SA" w:eastAsia="ar-SA" w:bidi="ar-SA"/>
        </w:rPr>
        <w:t xml:space="preserve"> zmienioną uchwałami Rady Miejskiej w Łodzi Nr VI/215/19 z dnia 6 marca 2019 r. i Nr LII/1605/21 z dnia 22 grudnia 2021 r.). </w:t>
      </w:r>
      <w:r>
        <w:rPr>
          <w:color w:val="000000"/>
          <w:szCs w:val="20"/>
          <w:lang w:val="ar-SA" w:eastAsia="ar-SA" w:bidi="ar-SA"/>
        </w:rPr>
        <w:t xml:space="preserve">W obowiązującym Studium obszar objęty projektem planu wskazany został jako </w:t>
      </w:r>
      <w:r>
        <w:rPr>
          <w:i/>
          <w:color w:val="000000"/>
          <w:szCs w:val="20"/>
          <w:lang w:val="ar-SA" w:eastAsia="ar-SA" w:bidi="ar-SA"/>
        </w:rPr>
        <w:t>tereny aktywne przyrodniczo, w tym użytkowane rolniczo</w:t>
      </w:r>
      <w:r>
        <w:rPr>
          <w:color w:val="000000"/>
          <w:szCs w:val="20"/>
          <w:lang w:val="ar-SA" w:eastAsia="ar-SA" w:bidi="ar-SA"/>
        </w:rPr>
        <w:t xml:space="preserve"> – symbol O</w:t>
      </w:r>
      <w:r>
        <w:rPr>
          <w:color w:val="000000"/>
          <w:szCs w:val="20"/>
        </w:rPr>
        <w:t xml:space="preserve"> oraz </w:t>
      </w:r>
      <w:r>
        <w:rPr>
          <w:i/>
          <w:color w:val="000000"/>
          <w:szCs w:val="20"/>
        </w:rPr>
        <w:t>tereny lasów o powierzchni minimum 3 ha</w:t>
      </w:r>
      <w:r>
        <w:rPr>
          <w:color w:val="000000"/>
          <w:szCs w:val="20"/>
        </w:rPr>
        <w:t xml:space="preserve"> - symbol L</w:t>
      </w:r>
      <w:r>
        <w:rPr>
          <w:color w:val="000000"/>
          <w:szCs w:val="20"/>
          <w:lang w:val="ar-SA" w:eastAsia="ar-SA" w:bidi="ar-SA"/>
        </w:rPr>
        <w:t xml:space="preserve">. Głównymi elementami środowiska przyrodniczego obszaru objętego opracowaniem są: dolina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ar-SA" w:eastAsia="ar-SA" w:bidi="ar-SA"/>
        </w:rPr>
        <w:t xml:space="preserve">, tereny otwarte i lasy, które w projekcie planu wskazane zostały do utrzymania i ochrony. </w:t>
      </w:r>
    </w:p>
    <w:p w:rsidR="008460B7" w:rsidRDefault="008B51D6">
      <w:pPr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Obowiązujący dokument Studium dopuszcza możliwość funkcjonowania i</w:t>
      </w:r>
      <w:r>
        <w:rPr>
          <w:color w:val="000000"/>
          <w:szCs w:val="20"/>
          <w:lang w:val="ar-SA" w:eastAsia="ar-SA" w:bidi="ar-SA"/>
        </w:rPr>
        <w:t>stniejącej zabudowy niezgodnej z przeznaczeniem terenu określonym w kartach ustaleń dla jednostek funkcjonalno-przestrzennych ww. dokumentu, w granicach istniejącego zainwestowania. W projekcie miejscowego planu zagospodarowania przestrzennego dla zabudowy</w:t>
      </w:r>
      <w:r>
        <w:rPr>
          <w:color w:val="000000"/>
          <w:szCs w:val="20"/>
          <w:lang w:val="ar-SA" w:eastAsia="ar-SA" w:bidi="ar-SA"/>
        </w:rPr>
        <w:t xml:space="preserve"> istniejącej określone zostały możliwości i zasady prowadzenia robót budowlanych.</w:t>
      </w:r>
    </w:p>
    <w:p w:rsidR="008460B7" w:rsidRDefault="008B51D6">
      <w:pPr>
        <w:spacing w:before="320" w:after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Na obszarze, dla którego sporządzono niniejszy dokument, nie obowiązuje obecnie miejscowy plan zagospodarowania przestrzennego, w związku z czym określanie sposobu zagospodar</w:t>
      </w:r>
      <w:r>
        <w:rPr>
          <w:color w:val="000000"/>
          <w:szCs w:val="20"/>
          <w:lang w:val="ar-SA" w:eastAsia="ar-SA" w:bidi="ar-SA"/>
        </w:rPr>
        <w:t xml:space="preserve">owania i warunków zabudowy terenu w ostatnich latach odbywało się w drodze decyzji o warunkach zabudowy i zagospodarowania terenu. Efektem takiego mechanizmu procesów inwestycyjnych jest nieuporządkowana struktura zabudowy, która ingeruje w tereny aktywne </w:t>
      </w:r>
      <w:r>
        <w:rPr>
          <w:color w:val="000000"/>
          <w:szCs w:val="20"/>
          <w:lang w:val="ar-SA" w:eastAsia="ar-SA" w:bidi="ar-SA"/>
        </w:rPr>
        <w:t xml:space="preserve">przyrodniczo. Niniejszy miejscowy plan zagospodarowania przestrzennego zakłada przeciwdziałanie urbanizacji oraz ochronę terenu doliny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ar-SA" w:eastAsia="ar-SA" w:bidi="ar-SA"/>
        </w:rPr>
        <w:t xml:space="preserve"> porośniętej zielenią naturalną. Projektowany miejscowy plan zagospodarowania przestrzennego regulując zasady za</w:t>
      </w:r>
      <w:r>
        <w:rPr>
          <w:color w:val="000000"/>
          <w:szCs w:val="20"/>
          <w:lang w:val="ar-SA" w:eastAsia="ar-SA" w:bidi="ar-SA"/>
        </w:rPr>
        <w:t>gospodarowania terenów zapobiega procesom niekontrolowanego rozlewania się zabudowy na terenie doliny rzecznej i terenach przyległych.</w:t>
      </w:r>
    </w:p>
    <w:p w:rsidR="008460B7" w:rsidRDefault="008B51D6">
      <w:pPr>
        <w:spacing w:after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lastRenderedPageBreak/>
        <w:t>W związku z powyższym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ar-SA" w:eastAsia="ar-SA" w:bidi="ar-SA"/>
        </w:rPr>
        <w:t xml:space="preserve"> celem opracowania planu jest kształtowanie standardów zagospodarowania i użytkowania terenów poprz</w:t>
      </w:r>
      <w:r>
        <w:rPr>
          <w:color w:val="000000"/>
          <w:szCs w:val="20"/>
          <w:lang w:val="ar-SA" w:eastAsia="ar-SA" w:bidi="ar-SA"/>
        </w:rPr>
        <w:t xml:space="preserve">ez zachowanie i ochronę elementów systemu przyrodniczego Miasta: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ar-SA" w:eastAsia="ar-SA" w:bidi="ar-SA"/>
        </w:rPr>
        <w:t xml:space="preserve">, terenów otwartych i lasów, </w:t>
      </w:r>
      <w:r>
        <w:rPr>
          <w:szCs w:val="20"/>
          <w:lang w:val="ar-SA" w:eastAsia="ar-SA" w:bidi="ar-SA"/>
        </w:rPr>
        <w:t>pełniących rolę rekreacyjno-wypoczynkową i klimatyczno-biologiczną</w:t>
      </w:r>
      <w:r>
        <w:rPr>
          <w:color w:val="000000"/>
          <w:szCs w:val="20"/>
          <w:lang w:val="ar-SA" w:eastAsia="ar-SA" w:bidi="ar-SA"/>
        </w:rPr>
        <w:t>.</w:t>
      </w:r>
    </w:p>
    <w:p w:rsidR="008460B7" w:rsidRDefault="008B51D6">
      <w:pPr>
        <w:spacing w:before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W projekcie planu nie ustalono szczególnych warunków zagospodarowania oraz ograniczeń</w:t>
      </w:r>
      <w:r>
        <w:rPr>
          <w:color w:val="000000"/>
          <w:szCs w:val="20"/>
          <w:lang w:val="ar-SA" w:eastAsia="ar-SA" w:bidi="ar-SA"/>
        </w:rPr>
        <w:t xml:space="preserve"> w użytkowaniu wynikających z występowania istniejących sieci wodociągowej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br/>
        <w:t>i</w:t>
      </w:r>
      <w:r>
        <w:rPr>
          <w:color w:val="000000"/>
          <w:szCs w:val="20"/>
          <w:lang w:val="ar-SA" w:eastAsia="ar-SA" w:bidi="ar-SA"/>
        </w:rPr>
        <w:t xml:space="preserve"> kanalizacyjnej</w:t>
      </w:r>
      <w:r>
        <w:rPr>
          <w:color w:val="000000"/>
          <w:szCs w:val="20"/>
        </w:rPr>
        <w:t>, a także kabli elektroenergetycznych</w:t>
      </w:r>
      <w:r>
        <w:rPr>
          <w:color w:val="000000"/>
          <w:szCs w:val="20"/>
          <w:lang w:val="ar-SA" w:eastAsia="ar-SA" w:bidi="ar-SA"/>
        </w:rPr>
        <w:t>. Podejmując decyzję Prezydent Miasta zważył interes Miasta, gestorów sieci infrastruktury technicznej oraz interesy prywatne w</w:t>
      </w:r>
      <w:r>
        <w:rPr>
          <w:color w:val="000000"/>
          <w:szCs w:val="20"/>
          <w:lang w:val="ar-SA" w:eastAsia="ar-SA" w:bidi="ar-SA"/>
        </w:rPr>
        <w:t>łaścicieli poszczególnych nieruchomości. Przepis art. 15 ust. 2 pkt 9 ustawy z dnia 27 marca 2003 r. o planowaniu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ar-SA" w:eastAsia="ar-SA" w:bidi="ar-SA"/>
        </w:rPr>
        <w:t xml:space="preserve">i zagospodarowaniu przestrzennym </w:t>
      </w:r>
      <w:r>
        <w:rPr>
          <w:color w:val="000000"/>
          <w:szCs w:val="20"/>
        </w:rPr>
        <w:t xml:space="preserve">(Dz. U. z 2023 r. poz. 977, 1506, 1597, 1688, 1890 i 2029), dalej zwaną ustawą, </w:t>
      </w:r>
      <w:r>
        <w:rPr>
          <w:color w:val="000000"/>
          <w:szCs w:val="20"/>
          <w:lang w:val="ar-SA" w:eastAsia="ar-SA" w:bidi="ar-SA"/>
        </w:rPr>
        <w:t>daje organowi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ar-SA" w:eastAsia="ar-SA" w:bidi="ar-SA"/>
        </w:rPr>
        <w:t xml:space="preserve">planistycznemu </w:t>
      </w:r>
      <w:r>
        <w:rPr>
          <w:color w:val="000000"/>
          <w:szCs w:val="20"/>
          <w:lang w:val="ar-SA" w:eastAsia="ar-SA" w:bidi="ar-SA"/>
        </w:rPr>
        <w:t>upoważnienie do zawarcia w planie miejscowym postanowień, które mogą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ar-SA" w:eastAsia="ar-SA" w:bidi="ar-SA"/>
        </w:rPr>
        <w:t>w konsekwencji w sposób istotny ograniczać lub nawet pozbawić właściciela lub użytkownika wieczystego możliwości wykonywania konstytucyjnie chronionego prawa własności. Jednakże taka powa</w:t>
      </w:r>
      <w:r>
        <w:rPr>
          <w:color w:val="000000"/>
          <w:szCs w:val="20"/>
          <w:lang w:val="ar-SA" w:eastAsia="ar-SA" w:bidi="ar-SA"/>
        </w:rPr>
        <w:t>żna ingerencja w prawo własności musi być uzasadniona i proporcjonalna w stosunku do celów, których osiągnięciu ma służyć. Rezygnacja z ww. ustaleń podyktowana jest brakiem powszechnie obowiązujących przepisów prawnych nakazujących wprowadzenie określonych</w:t>
      </w:r>
      <w:r>
        <w:rPr>
          <w:color w:val="000000"/>
          <w:szCs w:val="20"/>
          <w:lang w:val="ar-SA" w:eastAsia="ar-SA" w:bidi="ar-SA"/>
        </w:rPr>
        <w:t xml:space="preserve"> ograniczeń w zagospodarowaniu terenu.</w:t>
      </w:r>
      <w:r>
        <w:rPr>
          <w:color w:val="000000"/>
          <w:szCs w:val="20"/>
        </w:rPr>
        <w:t xml:space="preserve"> W projekcie planu wyznaczono strefę ochronną od istniejącej napowietrznej linii elektroenergetycznej o napięciu 110kV.</w:t>
      </w:r>
    </w:p>
    <w:p w:rsidR="008460B7" w:rsidRDefault="008B51D6">
      <w:pPr>
        <w:spacing w:before="320" w:after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</w:rPr>
        <w:t>Ponadto w</w:t>
      </w:r>
      <w:r>
        <w:rPr>
          <w:color w:val="000000"/>
          <w:szCs w:val="20"/>
          <w:lang w:val="ar-SA" w:eastAsia="ar-SA" w:bidi="ar-SA"/>
        </w:rPr>
        <w:t xml:space="preserve"> </w:t>
      </w:r>
      <w:r>
        <w:rPr>
          <w:color w:val="000000"/>
          <w:szCs w:val="20"/>
        </w:rPr>
        <w:t>projekcie planu</w:t>
      </w:r>
      <w:r>
        <w:rPr>
          <w:color w:val="000000"/>
          <w:szCs w:val="20"/>
          <w:lang w:val="ar-SA" w:eastAsia="ar-SA" w:bidi="ar-SA"/>
        </w:rPr>
        <w:t xml:space="preserve"> nie wyznaczono stref kontrolowanych od gazociągów, bowiem zawierają się </w:t>
      </w:r>
      <w:r>
        <w:rPr>
          <w:color w:val="000000"/>
          <w:szCs w:val="20"/>
          <w:lang w:val="ar-SA" w:eastAsia="ar-SA" w:bidi="ar-SA"/>
        </w:rPr>
        <w:t>one całkowicie w liniach rozgraniczających terenów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ar-SA" w:eastAsia="ar-SA" w:bidi="ar-SA"/>
        </w:rPr>
        <w:t>komunikacji drogowej publicznej</w:t>
      </w:r>
      <w:r>
        <w:rPr>
          <w:color w:val="000000"/>
          <w:szCs w:val="20"/>
        </w:rPr>
        <w:t>.</w:t>
      </w:r>
    </w:p>
    <w:p w:rsidR="008460B7" w:rsidRDefault="008B51D6">
      <w:pPr>
        <w:spacing w:before="320"/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Ustalenia planu miejscowego określają m.in.: przeznaczenie terenów, zasady zabudowy i zagospodarowania terenów, wymagania wynikające z potrzeb kształtowania przestrzeni pub</w:t>
      </w:r>
      <w:r>
        <w:rPr>
          <w:color w:val="000000"/>
          <w:szCs w:val="20"/>
          <w:lang w:val="ar-SA" w:eastAsia="ar-SA" w:bidi="ar-SA"/>
        </w:rPr>
        <w:t>licznych, zasady ochrony środowiska, przyrody i krajobrazu oraz zasady kształtowania krajobrazu, zasady modernizacji, rozbudowy i budowy systemów komunikacji oraz systemowe rozwiązania w zakresie infrastruktury technicznej. Standardy zagospodarowania i uży</w:t>
      </w:r>
      <w:r>
        <w:rPr>
          <w:color w:val="000000"/>
          <w:szCs w:val="20"/>
          <w:lang w:val="ar-SA" w:eastAsia="ar-SA" w:bidi="ar-SA"/>
        </w:rPr>
        <w:t xml:space="preserve">tkowania terenów, które plan kształtuje, uwzględniają potrzeby ochrony terenu doliny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ar-SA" w:eastAsia="ar-SA" w:bidi="ar-SA"/>
        </w:rPr>
        <w:t xml:space="preserve"> oraz terenów otwartych i lasów, stanowiących system przyrodniczy Miasta, przed narastającą presją urbanistyczną.</w:t>
      </w:r>
    </w:p>
    <w:p w:rsidR="008460B7" w:rsidRDefault="008B51D6">
      <w:pPr>
        <w:ind w:firstLine="720"/>
        <w:rPr>
          <w:color w:val="000000"/>
          <w:szCs w:val="20"/>
          <w:lang w:val="ar-SA" w:eastAsia="ar-SA" w:bidi="ar-SA"/>
        </w:rPr>
      </w:pPr>
      <w:r>
        <w:rPr>
          <w:color w:val="000000"/>
          <w:szCs w:val="20"/>
          <w:lang w:val="ar-SA" w:eastAsia="ar-SA" w:bidi="ar-SA"/>
        </w:rPr>
        <w:t>Projekt planu miejscowego ustala również granice</w:t>
      </w:r>
      <w:r>
        <w:rPr>
          <w:color w:val="000000"/>
          <w:szCs w:val="20"/>
          <w:lang w:val="ar-SA" w:eastAsia="ar-SA" w:bidi="ar-SA"/>
        </w:rPr>
        <w:t xml:space="preserve"> i sposoby zagospodarowania terenów podlegających ochronie, na podstawie odrębnych przepisów, a także obszarów szczególnego zagrożenia powodzią:</w:t>
      </w:r>
    </w:p>
    <w:p w:rsidR="008460B7" w:rsidRDefault="008B51D6">
      <w:pPr>
        <w:numPr>
          <w:ilvl w:val="1"/>
          <w:numId w:val="1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obszarów szczególnego zagrożenia powodzią, na których prawdopodobieństwo wystąpienia jest wysokie i wynosi raz </w:t>
      </w:r>
      <w:r>
        <w:rPr>
          <w:color w:val="000000"/>
          <w:szCs w:val="20"/>
          <w:lang w:val="en-US" w:eastAsia="en-US" w:bidi="en-US"/>
        </w:rPr>
        <w:t>na 10 lat (p=10%),</w:t>
      </w:r>
    </w:p>
    <w:p w:rsidR="008460B7" w:rsidRDefault="008B51D6">
      <w:pPr>
        <w:numPr>
          <w:ilvl w:val="1"/>
          <w:numId w:val="1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obszarów szczególnego zagrożenia powodzią, na których prawdopodobieństwo wystąpienia jest średnie i wynosi raz na 100 lat (p=1%).</w:t>
      </w:r>
    </w:p>
    <w:p w:rsidR="008460B7" w:rsidRDefault="008460B7">
      <w:pPr>
        <w:spacing w:after="27"/>
        <w:ind w:left="567" w:hanging="284"/>
        <w:rPr>
          <w:color w:val="000000"/>
          <w:szCs w:val="20"/>
          <w:lang w:val="en-US" w:eastAsia="en-US" w:bidi="en-US"/>
        </w:rPr>
      </w:pPr>
    </w:p>
    <w:p w:rsidR="008460B7" w:rsidRDefault="008B51D6">
      <w:pPr>
        <w:ind w:firstLine="56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Procedura formalno-prawna sporządzenia planu miejscowego została przeprowadzona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>w trybie art. 17 ustawy</w:t>
      </w:r>
      <w:r>
        <w:rPr>
          <w:color w:val="000000"/>
          <w:szCs w:val="20"/>
        </w:rPr>
        <w:t xml:space="preserve">. </w:t>
      </w:r>
      <w:r>
        <w:rPr>
          <w:color w:val="000000"/>
          <w:szCs w:val="20"/>
          <w:lang w:val="en-US" w:eastAsia="en-US" w:bidi="en-US"/>
        </w:rPr>
        <w:t xml:space="preserve">Projekt planu został sporządzony zgodnie z zakresem art. 15 ustawy, uwzględniając wymogi wynikające z art. 1 ust. 2-4 ustawy. </w:t>
      </w:r>
      <w:r>
        <w:rPr>
          <w:color w:val="000000"/>
          <w:szCs w:val="20"/>
        </w:rPr>
        <w:t>Uwzględnione zostały przepisy przejściowe zawarte w z art. 67 ust. 3 pkt 4 ustawy z dnia 7 lipca 2023 r. o zmianie ustawy o planow</w:t>
      </w:r>
      <w:r>
        <w:rPr>
          <w:color w:val="000000"/>
          <w:szCs w:val="20"/>
        </w:rPr>
        <w:t>aniu i zagospodarowaniu przestrzennym oraz niektórych innych ustaw (Dz.U. poz. 1688)</w:t>
      </w:r>
      <w:r>
        <w:rPr>
          <w:color w:val="000000"/>
          <w:szCs w:val="20"/>
          <w:lang w:val="en-US" w:eastAsia="en-US" w:bidi="en-US"/>
        </w:rPr>
        <w:t>.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>Rysunek planu został sporządzony na kopii mapy zasadniczej w skali 1:2000 w związku z wprowadzeniem zakazu zabudowy na całym obszarze objętym projektem planu, zgodnie z d</w:t>
      </w:r>
      <w:r>
        <w:rPr>
          <w:color w:val="000000"/>
          <w:szCs w:val="20"/>
          <w:lang w:val="en-US" w:eastAsia="en-US" w:bidi="en-US"/>
        </w:rPr>
        <w:t>opuszczeniem wynikającym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>z art. 16 ustawy</w:t>
      </w:r>
      <w:r>
        <w:rPr>
          <w:color w:val="000000"/>
          <w:szCs w:val="20"/>
        </w:rPr>
        <w:t>.</w:t>
      </w:r>
    </w:p>
    <w:p w:rsidR="008460B7" w:rsidRDefault="008460B7">
      <w:pPr>
        <w:rPr>
          <w:b/>
          <w:color w:val="000000"/>
          <w:szCs w:val="20"/>
          <w:lang w:val="en-US" w:eastAsia="en-US" w:bidi="en-US"/>
        </w:rPr>
      </w:pPr>
    </w:p>
    <w:p w:rsidR="008460B7" w:rsidRDefault="008B51D6">
      <w:pPr>
        <w:rPr>
          <w:color w:val="000000"/>
          <w:szCs w:val="20"/>
          <w:lang w:val="en-US" w:eastAsia="en-US" w:bidi="en-US"/>
        </w:rPr>
      </w:pPr>
      <w:r>
        <w:rPr>
          <w:b/>
          <w:color w:val="000000"/>
          <w:szCs w:val="20"/>
          <w:lang w:val="en-US" w:eastAsia="en-US" w:bidi="en-US"/>
        </w:rPr>
        <w:lastRenderedPageBreak/>
        <w:t xml:space="preserve">I. Sposób realizacji wymogów wynikających z art. 1 ust. 2-4 ustawy z dnia 27 marca 2003 r. o planowaniu i zagospodarowaniu przestrzennym. </w:t>
      </w:r>
    </w:p>
    <w:p w:rsidR="008460B7" w:rsidRDefault="008460B7">
      <w:pPr>
        <w:rPr>
          <w:color w:val="000000"/>
          <w:szCs w:val="20"/>
          <w:lang w:val="en-US" w:eastAsia="en-US" w:bidi="en-US"/>
        </w:rPr>
      </w:pPr>
    </w:p>
    <w:p w:rsidR="008460B7" w:rsidRDefault="008B51D6">
      <w:pPr>
        <w:numPr>
          <w:ilvl w:val="6"/>
          <w:numId w:val="2"/>
        </w:numPr>
        <w:ind w:left="567" w:hanging="283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W projekcie planu </w:t>
      </w:r>
      <w:r>
        <w:rPr>
          <w:color w:val="000000"/>
          <w:szCs w:val="20"/>
        </w:rPr>
        <w:t xml:space="preserve">oraz w trakcie procedury jego sporządzania </w:t>
      </w:r>
      <w:r>
        <w:rPr>
          <w:color w:val="000000"/>
          <w:szCs w:val="20"/>
          <w:lang w:val="en-US" w:eastAsia="en-US" w:bidi="en-US"/>
        </w:rPr>
        <w:t>uwzględniono: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 ładu przestrzennego, w tym urbanistyki i architektury, poprzez określenie: linii rozgraniczających, przeznaczenia terenów, zasad i wskaźników zagospodarowania terenów, parametrów kształtowania zabudowy oraz wymagań w zakresie kształ</w:t>
      </w:r>
      <w:r>
        <w:rPr>
          <w:color w:val="000000"/>
          <w:szCs w:val="20"/>
          <w:lang w:val="en-US" w:eastAsia="en-US" w:bidi="en-US"/>
        </w:rPr>
        <w:t xml:space="preserve">towania przestrzeni publicznych; </w:t>
      </w:r>
    </w:p>
    <w:p w:rsidR="008460B7" w:rsidRDefault="008B51D6">
      <w:pPr>
        <w:numPr>
          <w:ilvl w:val="1"/>
          <w:numId w:val="3"/>
        </w:numPr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walory architektoniczne i krajobrazowe dzięki ustaleniom dotyczącym zagospodarowania terenów, w szczególności terenów: rolnictwa z zakazem zabudowy, zieleni naturalnej, lasów, wód powierzchniowych śródlądowych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>oraz ustalon</w:t>
      </w:r>
      <w:r>
        <w:rPr>
          <w:color w:val="000000"/>
          <w:szCs w:val="20"/>
          <w:lang w:val="en-US" w:eastAsia="en-US" w:bidi="en-US"/>
        </w:rPr>
        <w:t>ym zasadom sytuowania infrastruktury technicznej;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wymagania ochrony środowiska, w tym gospodarowania wodami i ochrony gruntów rolnych i leśnych poprzez wprowadzenie: 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zakazu lokalizacji przedsięwzięć mogących znacząco oddziaływać na środowisko, z określony</w:t>
      </w:r>
      <w:r>
        <w:rPr>
          <w:color w:val="000000"/>
          <w:szCs w:val="20"/>
          <w:lang w:val="en-US" w:eastAsia="en-US" w:bidi="en-US"/>
        </w:rPr>
        <w:t>mi w uchwale wyjątkami,</w:t>
      </w:r>
    </w:p>
    <w:p w:rsidR="008460B7" w:rsidRDefault="008B51D6">
      <w:pPr>
        <w:keepLines/>
        <w:numPr>
          <w:ilvl w:val="0"/>
          <w:numId w:val="4"/>
        </w:numPr>
        <w:spacing w:line="276" w:lineRule="auto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i kształtowania krajobrazu</w:t>
      </w:r>
      <w:r>
        <w:rPr>
          <w:color w:val="000000"/>
          <w:szCs w:val="20"/>
        </w:rPr>
        <w:t>,</w:t>
      </w:r>
    </w:p>
    <w:p w:rsidR="008460B7" w:rsidRDefault="008B51D6">
      <w:pPr>
        <w:keepLines/>
        <w:numPr>
          <w:ilvl w:val="0"/>
          <w:numId w:val="4"/>
        </w:numPr>
        <w:spacing w:line="276" w:lineRule="auto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wód,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gospodarki wodnej i odprowadzania ścieków,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obszarów narażonych na niebezpieczeństwo powodzi,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</w:t>
      </w:r>
      <w:r>
        <w:rPr>
          <w:color w:val="000000"/>
          <w:szCs w:val="20"/>
          <w:lang w:val="en-US" w:eastAsia="en-US" w:bidi="en-US"/>
        </w:rPr>
        <w:t>ń w zakresie ochrony powierzchni ziemi oraz gospodarki odpadami,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powietrza,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przed polami elektromagnetycznymi,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klasyfikacji istniejącej zabudowy mieszkaniowej pod kątem ochrony akustycznej, w rozumieniu</w:t>
      </w:r>
      <w:r>
        <w:rPr>
          <w:color w:val="000000"/>
          <w:szCs w:val="20"/>
          <w:lang w:val="en-US" w:eastAsia="en-US" w:bidi="en-US"/>
        </w:rPr>
        <w:t xml:space="preserve"> przepisów odrębnych,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gruntów leśnych – przeznaczenia pod teren lasu,</w:t>
      </w:r>
    </w:p>
    <w:p w:rsidR="008460B7" w:rsidRDefault="008B51D6">
      <w:pPr>
        <w:numPr>
          <w:ilvl w:val="0"/>
          <w:numId w:val="4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gruntów rolnych – przeznaczenia m.in. pod teren rolnictwa z zakazem zabudowy;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 xml:space="preserve">ochrony dziedzictwa kulturowego i zabytków poprzez </w:t>
      </w:r>
      <w:r>
        <w:rPr>
          <w:color w:val="000000"/>
          <w:szCs w:val="20"/>
        </w:rPr>
        <w:t>wskazanie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t>zabytków archeologicznych ora</w:t>
      </w:r>
      <w:r>
        <w:rPr>
          <w:color w:val="000000"/>
          <w:szCs w:val="20"/>
        </w:rPr>
        <w:t xml:space="preserve">z </w:t>
      </w:r>
      <w:r>
        <w:rPr>
          <w:color w:val="000000"/>
          <w:szCs w:val="20"/>
          <w:lang w:val="en-US" w:eastAsia="en-US" w:bidi="en-US"/>
        </w:rPr>
        <w:t xml:space="preserve">stref ochrony </w:t>
      </w:r>
      <w:r>
        <w:rPr>
          <w:color w:val="000000"/>
          <w:szCs w:val="20"/>
        </w:rPr>
        <w:t>archeologicznej</w:t>
      </w:r>
      <w:r>
        <w:rPr>
          <w:color w:val="000000"/>
          <w:szCs w:val="20"/>
          <w:lang w:val="en-US" w:eastAsia="en-US" w:bidi="en-US"/>
        </w:rPr>
        <w:t xml:space="preserve"> i przyjęcie dla ni</w:t>
      </w:r>
      <w:r>
        <w:rPr>
          <w:color w:val="000000"/>
          <w:szCs w:val="20"/>
        </w:rPr>
        <w:t>ch</w:t>
      </w:r>
      <w:r>
        <w:rPr>
          <w:color w:val="000000"/>
          <w:szCs w:val="20"/>
          <w:lang w:val="en-US" w:eastAsia="en-US" w:bidi="en-US"/>
        </w:rPr>
        <w:t xml:space="preserve"> ustaleń</w:t>
      </w:r>
      <w:r>
        <w:rPr>
          <w:color w:val="000000"/>
          <w:szCs w:val="20"/>
        </w:rPr>
        <w:t>;</w:t>
      </w:r>
    </w:p>
    <w:p w:rsidR="008460B7" w:rsidRDefault="008B51D6">
      <w:pPr>
        <w:spacing w:after="27"/>
        <w:ind w:left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</w:rPr>
        <w:t>w</w:t>
      </w:r>
      <w:r>
        <w:rPr>
          <w:color w:val="000000"/>
          <w:szCs w:val="20"/>
          <w:lang w:val="en-US" w:eastAsia="en-US" w:bidi="en-US"/>
        </w:rPr>
        <w:t xml:space="preserve"> projekcie planu nie uwzględniono wymogu ochrony dóbr kultury współczesnej – ze względu na brak takich obiektów</w:t>
      </w:r>
      <w:r>
        <w:rPr>
          <w:color w:val="000000"/>
          <w:szCs w:val="20"/>
        </w:rPr>
        <w:t>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ochrony zdrowia oraz bezpieczeństwa ludzi i mienia, a także potrzeby osób ze szc</w:t>
      </w:r>
      <w:r>
        <w:rPr>
          <w:color w:val="000000"/>
          <w:szCs w:val="20"/>
          <w:lang w:val="en-US" w:eastAsia="en-US" w:bidi="en-US"/>
        </w:rPr>
        <w:t>zególnymi potrzebami, poprzez określenie zasad ochrony środowiska oraz ustalenie wymagań wynikających z potrzeb kształtowania przestrzeni publicznych;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walory ekonomiczne przestrzeni, ustalając przeznaczenia poszczególnych terenów, uwzględniające ich istnie</w:t>
      </w:r>
      <w:r>
        <w:rPr>
          <w:color w:val="000000"/>
          <w:szCs w:val="20"/>
          <w:lang w:val="en-US" w:eastAsia="en-US" w:bidi="en-US"/>
        </w:rPr>
        <w:t xml:space="preserve">jące użytkowanie z zachowaniem wymogów ochrony środowiska oraz umożliwiając racjonalne zagospodarowanie obszaru, poprzez wykorzystanie istniejących elementów wyposażenia technicznego i zagospodarowania terenu; 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prawo własności, poprzez kształtowanie zagospodarowania zgodnie z dotychczasowym przeznaczeniem i w sposób racjonalnie ingerujący w tereny stanowiące własność prywatną, ograniczony do uzasadnionych potrzeb wynikających z interesu publicznego oraz wymogami </w:t>
      </w:r>
      <w:r>
        <w:rPr>
          <w:color w:val="000000"/>
          <w:szCs w:val="20"/>
          <w:lang w:val="en-US" w:eastAsia="en-US" w:bidi="en-US"/>
        </w:rPr>
        <w:t xml:space="preserve">ochrony środowiska i ładu przestrzennego; 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potrzeby obronności i bezpieczeństwa państwa ustalając ograniczenia w sposobie zagospodarowania terenu poprzez określenie maksymalnej wysokości zabudowy, a także dostosowanie dróg publicznych, sieci i urządzeń inf</w:t>
      </w:r>
      <w:r>
        <w:rPr>
          <w:color w:val="000000"/>
          <w:szCs w:val="20"/>
          <w:lang w:val="en-US" w:eastAsia="en-US" w:bidi="en-US"/>
        </w:rPr>
        <w:t>rastruktury do działań w sytuacjach szczególnych zagrożeń;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potrzeby interesu publicznego, wskazując tereny współtworzące system przyrodniczy Miasta, w tym dolinę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en-US" w:eastAsia="en-US" w:bidi="en-US"/>
        </w:rPr>
        <w:t xml:space="preserve">, tereny zieleni naturalnej i lasów, do utrzymania i ochrony,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lastRenderedPageBreak/>
        <w:t>a także wskazując w pr</w:t>
      </w:r>
      <w:r>
        <w:rPr>
          <w:color w:val="000000"/>
          <w:szCs w:val="20"/>
          <w:lang w:val="en-US" w:eastAsia="en-US" w:bidi="en-US"/>
        </w:rPr>
        <w:t xml:space="preserve">ojekcie planu granice terenów rozmieszczenia inwestycji celu publicznego o znaczeniu lokalnym; 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potrzeby w zakresie rozwoju infrastruktury technicznej, określając możliwość wyposażenie terenów w sieci i urządzenia infrastruktury technicznej oraz ustalając </w:t>
      </w:r>
      <w:r>
        <w:rPr>
          <w:color w:val="000000"/>
          <w:szCs w:val="20"/>
          <w:lang w:val="en-US" w:eastAsia="en-US" w:bidi="en-US"/>
        </w:rPr>
        <w:t xml:space="preserve">zasady ich realizacji; 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zapewnienie udziału społeczeństwa w pracach nad miejscowym planem zagospodarowania przestrzennego, w tym przy użyciu środków komunikacji elektronicznej, poprzez informacje na stronie internetowej Miejskiej Pracowni Urbanistycznej w Łodzi, ogłoszenie w pras</w:t>
      </w:r>
      <w:r>
        <w:rPr>
          <w:color w:val="000000"/>
          <w:szCs w:val="20"/>
          <w:lang w:val="en-US" w:eastAsia="en-US" w:bidi="en-US"/>
        </w:rPr>
        <w:t xml:space="preserve">ie, obwieszczenie na tablicach ogłoszeń o: </w:t>
      </w:r>
    </w:p>
    <w:p w:rsidR="008460B7" w:rsidRDefault="008B51D6">
      <w:pPr>
        <w:numPr>
          <w:ilvl w:val="2"/>
          <w:numId w:val="5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przystąpieniu do sporządzenia projektu planu,</w:t>
      </w:r>
    </w:p>
    <w:p w:rsidR="008460B7" w:rsidRDefault="008B51D6">
      <w:pPr>
        <w:numPr>
          <w:ilvl w:val="2"/>
          <w:numId w:val="5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wyłożeniu projektu planu do publicznego wglądu i organizacji dyskusji publicznej nad przyjętymi w projekcie planu rozwiązaniami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en-US" w:eastAsia="en-US" w:bidi="en-US"/>
        </w:rPr>
        <w:t xml:space="preserve"> </w:t>
      </w:r>
    </w:p>
    <w:p w:rsidR="008460B7" w:rsidRDefault="008B51D6">
      <w:pPr>
        <w:numPr>
          <w:ilvl w:val="2"/>
          <w:numId w:val="5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możliwości składania wniosków </w:t>
      </w:r>
      <w:r>
        <w:rPr>
          <w:color w:val="000000"/>
          <w:szCs w:val="20"/>
        </w:rPr>
        <w:t>i uwag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 xml:space="preserve">do planu na piśmie, ustnie do protokołu lub za pomocą środków komunikacji elektronicznej bez konieczności opatrywania ich podpisem elektronicznym na adres Pracowni, </w:t>
      </w:r>
    </w:p>
    <w:p w:rsidR="008460B7" w:rsidRDefault="008B51D6">
      <w:pPr>
        <w:numPr>
          <w:ilvl w:val="2"/>
          <w:numId w:val="5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możliwości zapoznania się z niezbędną dokumentacją sprawy</w:t>
      </w:r>
      <w:r>
        <w:rPr>
          <w:color w:val="000000"/>
          <w:szCs w:val="20"/>
        </w:rPr>
        <w:t>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zachowanie jawności i przejrzy</w:t>
      </w:r>
      <w:r>
        <w:rPr>
          <w:color w:val="000000"/>
          <w:szCs w:val="20"/>
          <w:lang w:val="en-US" w:eastAsia="en-US" w:bidi="en-US"/>
        </w:rPr>
        <w:t>stości procedur planistycznych, poprzez zastosowanie się do czynności formalno-prawnych określonych w art. 17 ustawy, jak również na podstawie art. 21, art. 39 i art. 54 ustawy z dnia 3 października 2008 r. o udostępni</w:t>
      </w:r>
      <w:r>
        <w:rPr>
          <w:color w:val="000000"/>
          <w:szCs w:val="20"/>
        </w:rPr>
        <w:t>a</w:t>
      </w:r>
      <w:r>
        <w:rPr>
          <w:color w:val="000000"/>
          <w:szCs w:val="20"/>
          <w:lang w:val="en-US" w:eastAsia="en-US" w:bidi="en-US"/>
        </w:rPr>
        <w:t>niu informacji o środowisku i jego oc</w:t>
      </w:r>
      <w:r>
        <w:rPr>
          <w:color w:val="000000"/>
          <w:szCs w:val="20"/>
          <w:lang w:val="en-US" w:eastAsia="en-US" w:bidi="en-US"/>
        </w:rPr>
        <w:t>hronie, udziale społeczeństwa w ochronie środowiska oraz o ocenach oddziaływania na środowisko (Dz. U. z 2023 r. poz. 1094, 1113, 1501</w:t>
      </w:r>
      <w:r>
        <w:rPr>
          <w:color w:val="000000"/>
          <w:szCs w:val="20"/>
        </w:rPr>
        <w:t xml:space="preserve">, </w:t>
      </w:r>
      <w:r>
        <w:rPr>
          <w:color w:val="000000"/>
          <w:szCs w:val="20"/>
          <w:lang w:val="en-US" w:eastAsia="en-US" w:bidi="en-US"/>
        </w:rPr>
        <w:t>1506</w:t>
      </w:r>
      <w:r>
        <w:rPr>
          <w:color w:val="000000"/>
          <w:szCs w:val="20"/>
        </w:rPr>
        <w:t>, 1688, 1719, 1890, 1906 i 2029</w:t>
      </w:r>
      <w:r>
        <w:rPr>
          <w:color w:val="000000"/>
          <w:szCs w:val="20"/>
          <w:lang w:val="en-US" w:eastAsia="en-US" w:bidi="en-US"/>
        </w:rPr>
        <w:t>) przeprowadzając strategiczną ocenę oddziaływania na środowisko skutków realizacji p</w:t>
      </w:r>
      <w:r>
        <w:rPr>
          <w:color w:val="000000"/>
          <w:szCs w:val="20"/>
          <w:lang w:val="en-US" w:eastAsia="en-US" w:bidi="en-US"/>
        </w:rPr>
        <w:t>rzedmiotowego miejscowego planu zagospodarowania przestrzennego;</w:t>
      </w:r>
    </w:p>
    <w:p w:rsidR="008460B7" w:rsidRDefault="008B51D6">
      <w:pPr>
        <w:numPr>
          <w:ilvl w:val="1"/>
          <w:numId w:val="3"/>
        </w:numPr>
        <w:spacing w:after="27"/>
        <w:ind w:left="284" w:hanging="284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potrzebę zapewnienia odpowiedniej ilości i jakości wody do celów zaopatrzenia ludności poprzez wykorzystanie istniejącej sieci wodociągowej dla obsługi zabudowy istniejącej.</w:t>
      </w:r>
      <w:r>
        <w:rPr>
          <w:color w:val="000000"/>
          <w:szCs w:val="20"/>
          <w:lang w:val="en-US" w:eastAsia="en-US" w:bidi="en-US"/>
        </w:rPr>
        <w:t xml:space="preserve"> </w:t>
      </w:r>
    </w:p>
    <w:p w:rsidR="008460B7" w:rsidRDefault="008460B7">
      <w:pPr>
        <w:spacing w:after="27"/>
        <w:rPr>
          <w:color w:val="000000"/>
          <w:szCs w:val="20"/>
          <w:lang w:val="en-US" w:eastAsia="en-US" w:bidi="en-US"/>
        </w:rPr>
      </w:pPr>
    </w:p>
    <w:p w:rsidR="008460B7" w:rsidRDefault="008B51D6">
      <w:pPr>
        <w:numPr>
          <w:ilvl w:val="6"/>
          <w:numId w:val="2"/>
        </w:numPr>
        <w:ind w:left="0" w:firstLine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Ustalając przez</w:t>
      </w:r>
      <w:r>
        <w:rPr>
          <w:color w:val="000000"/>
          <w:szCs w:val="20"/>
          <w:lang w:val="en-US" w:eastAsia="en-US" w:bidi="en-US"/>
        </w:rPr>
        <w:t xml:space="preserve">naczenie terenu, a także określając sposób zagospodarowania i korzystania z terenu, Prezydent Miasta Łodzi zważył interes publiczny i interesy prywatne,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 tym zgłaszane w postaci wniosków i uwag, </w:t>
      </w:r>
      <w:r>
        <w:rPr>
          <w:color w:val="000000"/>
          <w:szCs w:val="20"/>
          <w:lang w:val="en-US" w:eastAsia="en-US" w:bidi="en-US"/>
        </w:rPr>
        <w:t>zmierzające do ochrony istniejącego stanu zagospodarowania t</w:t>
      </w:r>
      <w:r>
        <w:rPr>
          <w:color w:val="000000"/>
          <w:szCs w:val="20"/>
          <w:lang w:val="en-US" w:eastAsia="en-US" w:bidi="en-US"/>
        </w:rPr>
        <w:t xml:space="preserve">erenu,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jak i zmian w zakresie jego zagospodarowania, </w:t>
      </w:r>
      <w:r>
        <w:rPr>
          <w:color w:val="000000"/>
          <w:szCs w:val="20"/>
          <w:lang w:val="en-US" w:eastAsia="en-US" w:bidi="en-US"/>
        </w:rPr>
        <w:t>a także analizy ekonomiczne, środowiskowe i społeczne.</w:t>
      </w:r>
    </w:p>
    <w:p w:rsidR="008460B7" w:rsidRDefault="008B51D6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Do projektu miejscowego planu zagospodarowania przestrzennego w </w:t>
      </w:r>
      <w:r>
        <w:rPr>
          <w:color w:val="000000"/>
          <w:szCs w:val="20"/>
          <w:shd w:val="clear" w:color="auto" w:fill="FFFFFF"/>
          <w:lang w:val="ar-SA" w:eastAsia="ar-SA" w:bidi="ar-SA"/>
        </w:rPr>
        <w:t>termin</w:t>
      </w:r>
      <w:r>
        <w:rPr>
          <w:color w:val="000000"/>
          <w:szCs w:val="20"/>
          <w:shd w:val="clear" w:color="auto" w:fill="FFFFFF"/>
          <w:lang w:val="en-US" w:eastAsia="en-US" w:bidi="en-US"/>
        </w:rPr>
        <w:t>ie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wnoszenia wniosków,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tj. od </w:t>
      </w:r>
      <w:r>
        <w:rPr>
          <w:color w:val="000000"/>
          <w:szCs w:val="20"/>
          <w:lang w:val="en-US" w:eastAsia="en-US" w:bidi="en-US"/>
        </w:rPr>
        <w:t>20 stycznia 2023 r. do 17 lutego 2023 r.,</w:t>
      </w:r>
      <w:r>
        <w:rPr>
          <w:b/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wpłynę</w:t>
      </w:r>
      <w:r>
        <w:rPr>
          <w:color w:val="000000"/>
          <w:szCs w:val="20"/>
          <w:shd w:val="clear" w:color="auto" w:fill="FFFFFF"/>
          <w:lang w:val="en-US" w:eastAsia="en-US" w:bidi="en-US"/>
        </w:rPr>
        <w:t>ło 1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wniosków. Zarządzeniem Nr 75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/2023 Prezydenta Miasta Łodzi z dnia 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kwietnia 2023 r. wnioski zostały rozpatrzone.</w:t>
      </w:r>
    </w:p>
    <w:p w:rsidR="008460B7" w:rsidRDefault="008B51D6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</w:rPr>
        <w:t xml:space="preserve">Projekt miejscowego planu zagospodarowania przestrzennego został wyłożony wraz </w:t>
      </w:r>
      <w:r>
        <w:rPr>
          <w:color w:val="000000"/>
          <w:szCs w:val="20"/>
        </w:rPr>
        <w:br/>
        <w:t>z prognozą oddziaływania na środowisko do publicznego wg</w:t>
      </w:r>
      <w:r>
        <w:rPr>
          <w:color w:val="000000"/>
          <w:szCs w:val="20"/>
        </w:rPr>
        <w:t>lądu w dniach od 8 do 29 września 2023 r. W terminie przewidzianym do składania uwag, tj. do 13 października 2023 r. wpłynęły 2 uwagi. Zarządzeniem Prezydenta Miasta Łodzi uwagi zostały rozpatrzone. Rozpatrzenie uwag nie wymagało wprowadzenia zmian do proj</w:t>
      </w:r>
      <w:r>
        <w:rPr>
          <w:color w:val="000000"/>
          <w:szCs w:val="20"/>
        </w:rPr>
        <w:t>ektu planu.</w:t>
      </w:r>
    </w:p>
    <w:p w:rsidR="008460B7" w:rsidRDefault="008B51D6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Zaproponowane w planie rozwiązania przestrzenne i funkcjonalne są wynikiem analizy obecnego stanu zagospodarowania obszaru oraz potrzeb rozwojowych tej części miasta. W projekcie planu miejscowego uwzględniono ochronę istniejącego stanu zagospo</w:t>
      </w:r>
      <w:r>
        <w:rPr>
          <w:color w:val="000000"/>
          <w:szCs w:val="20"/>
          <w:lang w:val="en-US" w:eastAsia="en-US" w:bidi="en-US"/>
        </w:rPr>
        <w:t xml:space="preserve">darowania terenów poprzez utrzymanie dotychczasowych funkcji doliny rzeki </w:t>
      </w:r>
      <w:r>
        <w:rPr>
          <w:color w:val="000000"/>
          <w:szCs w:val="20"/>
        </w:rPr>
        <w:t>Ner</w:t>
      </w:r>
      <w:r>
        <w:rPr>
          <w:color w:val="000000"/>
          <w:szCs w:val="20"/>
          <w:lang w:val="en-US" w:eastAsia="en-US" w:bidi="en-US"/>
        </w:rPr>
        <w:t xml:space="preserve"> oraz terenów otwartych i lasów, a także wskazanie kierunków rozwoju zmierzających do ich ochrony.</w:t>
      </w:r>
    </w:p>
    <w:p w:rsidR="008460B7" w:rsidRDefault="008B51D6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lastRenderedPageBreak/>
        <w:t>Przy wyborze ostatecznych rozwiązań pod uwagę brano także wnioski zgłaszane m.in</w:t>
      </w:r>
      <w:r>
        <w:rPr>
          <w:color w:val="000000"/>
          <w:szCs w:val="20"/>
          <w:lang w:val="en-US" w:eastAsia="en-US" w:bidi="en-US"/>
        </w:rPr>
        <w:t xml:space="preserve">. przez instytucje i ograny uprawnione do uzgadniania i opiniowania projektu planu oraz zalecenia wynikające z opracowania ekofizjograficznego i prognozy oddziaływania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na środowisko. Podczas prac nad projektem planu miejscowego kierowano się jednocześnie </w:t>
      </w:r>
      <w:r>
        <w:rPr>
          <w:color w:val="000000"/>
          <w:szCs w:val="20"/>
          <w:lang w:val="en-US" w:eastAsia="en-US" w:bidi="en-US"/>
        </w:rPr>
        <w:t>potrzebą uporządkowania i właściwego ukształtowania ładu przestrzennego, koniecznością spełnienia wymogów przepisów odrębnych oraz równoważeniem interesów publicznych i prywatnych.</w:t>
      </w:r>
    </w:p>
    <w:p w:rsidR="008460B7" w:rsidRDefault="008B51D6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potrzeb projektu planu miejscowego, zgodnie z art. 17 pkt 4 ustawy spor</w:t>
      </w:r>
      <w:r>
        <w:rPr>
          <w:color w:val="000000"/>
          <w:szCs w:val="20"/>
          <w:lang w:val="en-US" w:eastAsia="en-US" w:bidi="en-US"/>
        </w:rPr>
        <w:t>ządzono prognozę oddziaływania na środowisko oraz zgodnie z art. 17 pkt 5 ustawy – prognozę skutków finansowych uchwały.</w:t>
      </w:r>
    </w:p>
    <w:p w:rsidR="008460B7" w:rsidRDefault="008B51D6">
      <w:pPr>
        <w:numPr>
          <w:ilvl w:val="6"/>
          <w:numId w:val="2"/>
        </w:numPr>
        <w:ind w:left="567" w:hanging="283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projekcie planu nie przewiduje się możliwości sytuowania nowych budynków.</w:t>
      </w:r>
    </w:p>
    <w:p w:rsidR="008460B7" w:rsidRDefault="008460B7">
      <w:pPr>
        <w:ind w:firstLine="284"/>
        <w:contextualSpacing/>
        <w:rPr>
          <w:color w:val="000000"/>
          <w:szCs w:val="20"/>
          <w:lang w:val="en-US" w:eastAsia="en-US" w:bidi="en-US"/>
        </w:rPr>
      </w:pPr>
    </w:p>
    <w:p w:rsidR="008460B7" w:rsidRDefault="008B51D6">
      <w:pPr>
        <w:rPr>
          <w:b/>
          <w:color w:val="000000"/>
          <w:szCs w:val="20"/>
          <w:lang w:val="en-US" w:eastAsia="en-US" w:bidi="en-US"/>
        </w:rPr>
      </w:pPr>
      <w:r>
        <w:rPr>
          <w:b/>
          <w:color w:val="000000"/>
          <w:szCs w:val="20"/>
          <w:lang w:val="en-US" w:eastAsia="en-US" w:bidi="en-US"/>
        </w:rPr>
        <w:t xml:space="preserve">II. Zgodność z wynikami analizy dotyczącej oceny </w:t>
      </w:r>
      <w:r>
        <w:rPr>
          <w:b/>
          <w:color w:val="000000"/>
          <w:szCs w:val="20"/>
          <w:lang w:val="en-US" w:eastAsia="en-US" w:bidi="en-US"/>
        </w:rPr>
        <w:t>aktualności studium uwarunkowań i kierunków zagospodarowania przestrzennego oraz miejscowych planów zagospodarowania przestrzennego Łodzi oraz sposób uwzględnienia uniwersalnego projektowania.</w:t>
      </w:r>
    </w:p>
    <w:p w:rsidR="008460B7" w:rsidRDefault="008460B7">
      <w:pPr>
        <w:rPr>
          <w:b/>
          <w:color w:val="000000"/>
          <w:szCs w:val="20"/>
          <w:lang w:val="en-US" w:eastAsia="en-US" w:bidi="en-US"/>
        </w:rPr>
      </w:pPr>
    </w:p>
    <w:p w:rsidR="008460B7" w:rsidRDefault="008B51D6">
      <w:pPr>
        <w:ind w:firstLine="426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Projekt planu jest zgodny z wynikami analizy dotyczącej oceny </w:t>
      </w:r>
      <w:r>
        <w:rPr>
          <w:color w:val="000000"/>
          <w:szCs w:val="20"/>
          <w:lang w:val="en-US" w:eastAsia="en-US" w:bidi="en-US"/>
        </w:rPr>
        <w:t>aktualności Studium uwarunkowań i kierunków zagospodarowania przestrzennego oraz miejscowych planów zagospodarowania przestrzennego miasta Łodzi uchwalonej uchwałą Nr LXXIX/2113/18 Rady Miejskiej w Łodzi z dnia 14 listopada 2018 r. W wyniku przeprowadzonej</w:t>
      </w:r>
      <w:r>
        <w:rPr>
          <w:color w:val="000000"/>
          <w:szCs w:val="20"/>
          <w:lang w:val="en-US" w:eastAsia="en-US" w:bidi="en-US"/>
        </w:rPr>
        <w:t xml:space="preserve"> oceny aktualności obowiązujące Studium uwarunkowań i kierunków zagospodarowania przestrzennego miasta Łodzi uznane zostało za aktualne. Na obszarze objętym projektem planu w dacie sporządzenia ww. oceny nie obowiązywał miejscowy plan zagospodarowania prze</w:t>
      </w:r>
      <w:r>
        <w:rPr>
          <w:color w:val="000000"/>
          <w:szCs w:val="20"/>
          <w:lang w:val="en-US" w:eastAsia="en-US" w:bidi="en-US"/>
        </w:rPr>
        <w:t xml:space="preserve">strzennego. </w:t>
      </w:r>
    </w:p>
    <w:p w:rsidR="008460B7" w:rsidRDefault="008B51D6">
      <w:pPr>
        <w:ind w:firstLine="426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projekcie planu zapewniono dostępność wyznaczonych przestrzeni publicznych osobom ze szczególnymi potrzebami zgodnie z zasadą uniwersalnego projektowania poprzez nakaz dostosowania przestrzeni publicznych do potrzeb osób ze szczególnymi potr</w:t>
      </w:r>
      <w:r>
        <w:rPr>
          <w:color w:val="000000"/>
          <w:szCs w:val="20"/>
          <w:lang w:val="en-US" w:eastAsia="en-US" w:bidi="en-US"/>
        </w:rPr>
        <w:t xml:space="preserve">zebami. </w:t>
      </w:r>
    </w:p>
    <w:p w:rsidR="008460B7" w:rsidRDefault="008460B7">
      <w:pPr>
        <w:numPr>
          <w:ilvl w:val="0"/>
          <w:numId w:val="6"/>
        </w:numPr>
        <w:ind w:left="720"/>
        <w:contextualSpacing/>
        <w:rPr>
          <w:color w:val="000000"/>
          <w:szCs w:val="20"/>
          <w:lang w:val="en-US" w:eastAsia="en-US" w:bidi="en-US"/>
        </w:rPr>
      </w:pPr>
    </w:p>
    <w:p w:rsidR="008460B7" w:rsidRDefault="008B51D6">
      <w:pPr>
        <w:rPr>
          <w:b/>
          <w:color w:val="000000"/>
          <w:szCs w:val="20"/>
          <w:lang w:val="en-US" w:eastAsia="en-US" w:bidi="en-US"/>
        </w:rPr>
      </w:pPr>
      <w:r>
        <w:rPr>
          <w:b/>
          <w:color w:val="000000"/>
          <w:szCs w:val="20"/>
          <w:lang w:val="en-US" w:eastAsia="en-US" w:bidi="en-US"/>
        </w:rPr>
        <w:t>III. Wpływ na finanse publiczne, w tym budżet gminy.</w:t>
      </w:r>
    </w:p>
    <w:p w:rsidR="008460B7" w:rsidRDefault="008460B7">
      <w:pPr>
        <w:rPr>
          <w:b/>
          <w:color w:val="000000"/>
          <w:szCs w:val="20"/>
          <w:lang w:val="en-US" w:eastAsia="en-US" w:bidi="en-US"/>
        </w:rPr>
      </w:pPr>
    </w:p>
    <w:p w:rsidR="008460B7" w:rsidRDefault="008B51D6">
      <w:pPr>
        <w:tabs>
          <w:tab w:val="left" w:pos="709"/>
        </w:tabs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en-US" w:eastAsia="en-US" w:bidi="en-US"/>
        </w:rPr>
        <w:t>Wpływ ustaleń projektu planu na finanse publiczne, w tym budżet gminy został zidentyfikowany i oszacowany w prognozie finansowej skutków uchwalenia planu. Prognoza finansowa skutków uchwalenia</w:t>
      </w:r>
      <w:r>
        <w:rPr>
          <w:color w:val="000000"/>
          <w:szCs w:val="20"/>
          <w:lang w:val="en-US" w:eastAsia="en-US" w:bidi="en-US"/>
        </w:rPr>
        <w:t xml:space="preserve"> planu określa potencjalne dochody i wpływy z tytułu uchwalenia miejscowego planu zagospodarowania przestrzennego. Wykonane obliczenia wykazały ujemny wynik finansowy przedsięwzięcia, co oznacza, że wydatki przewyższają dochody generowane przez nowe zagosp</w:t>
      </w:r>
      <w:r>
        <w:rPr>
          <w:color w:val="000000"/>
          <w:szCs w:val="20"/>
          <w:lang w:val="en-US" w:eastAsia="en-US" w:bidi="en-US"/>
        </w:rPr>
        <w:t>odarowanie. Należy jednak mieć na uwadze, że z uwagi na brak wystarczających informacji w związku z innym niż przyjęte prawdopodobieństwem realizacji pewnych inwestycji, nieprzewidywalność cen rynkowych i zmienność uwarunkowań w czasie, wskazany wynik fina</w:t>
      </w:r>
      <w:r>
        <w:rPr>
          <w:color w:val="000000"/>
          <w:szCs w:val="20"/>
          <w:lang w:val="en-US" w:eastAsia="en-US" w:bidi="en-US"/>
        </w:rPr>
        <w:t>nsowy może ulec zmianie.</w:t>
      </w:r>
    </w:p>
    <w:sectPr w:rsidR="008460B7">
      <w:footerReference w:type="default" r:id="rId2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1D6" w:rsidRDefault="008B51D6">
      <w:r>
        <w:separator/>
      </w:r>
    </w:p>
  </w:endnote>
  <w:endnote w:type="continuationSeparator" w:id="0">
    <w:p w:rsidR="008B51D6" w:rsidRDefault="008B5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460B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CB5588">
            <w:rPr>
              <w:sz w:val="18"/>
            </w:rPr>
            <w:fldChar w:fldCharType="separate"/>
          </w:r>
          <w:r w:rsidR="00CB558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460B7" w:rsidRDefault="008460B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460B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CB5588">
            <w:rPr>
              <w:sz w:val="18"/>
            </w:rPr>
            <w:fldChar w:fldCharType="separate"/>
          </w:r>
          <w:r w:rsidR="00CB558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8460B7" w:rsidRDefault="008460B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8460B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8460B7" w:rsidRDefault="008B51D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CB5588">
            <w:rPr>
              <w:sz w:val="18"/>
            </w:rPr>
            <w:fldChar w:fldCharType="separate"/>
          </w:r>
          <w:r w:rsidR="00CB558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8460B7" w:rsidRDefault="008460B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1D6" w:rsidRDefault="008B51D6">
      <w:r>
        <w:separator/>
      </w:r>
    </w:p>
  </w:footnote>
  <w:footnote w:type="continuationSeparator" w:id="0">
    <w:p w:rsidR="008B51D6" w:rsidRDefault="008B5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E6FC1"/>
    <w:multiLevelType w:val="hybridMultilevel"/>
    <w:tmpl w:val="00000000"/>
    <w:lvl w:ilvl="0" w:tplc="57BC3AA8">
      <w:start w:val="1"/>
      <w:numFmt w:val="lowerLetter"/>
      <w:lvlText w:val=""/>
      <w:lvlJc w:val="left"/>
    </w:lvl>
    <w:lvl w:ilvl="1" w:tplc="A656B244">
      <w:numFmt w:val="decimal"/>
      <w:lvlText w:val=""/>
      <w:lvlJc w:val="left"/>
    </w:lvl>
    <w:lvl w:ilvl="2" w:tplc="6F767FF4">
      <w:numFmt w:val="decimal"/>
      <w:lvlText w:val=""/>
      <w:lvlJc w:val="left"/>
    </w:lvl>
    <w:lvl w:ilvl="3" w:tplc="4682556C">
      <w:numFmt w:val="decimal"/>
      <w:lvlText w:val=""/>
      <w:lvlJc w:val="left"/>
    </w:lvl>
    <w:lvl w:ilvl="4" w:tplc="971470A2">
      <w:numFmt w:val="decimal"/>
      <w:lvlText w:val=""/>
      <w:lvlJc w:val="left"/>
    </w:lvl>
    <w:lvl w:ilvl="5" w:tplc="85FEDC12">
      <w:numFmt w:val="decimal"/>
      <w:lvlText w:val=""/>
      <w:lvlJc w:val="left"/>
    </w:lvl>
    <w:lvl w:ilvl="6" w:tplc="498ABA44">
      <w:numFmt w:val="decimal"/>
      <w:lvlText w:val=""/>
      <w:lvlJc w:val="left"/>
    </w:lvl>
    <w:lvl w:ilvl="7" w:tplc="4CF60B3E">
      <w:numFmt w:val="decimal"/>
      <w:lvlText w:val=""/>
      <w:lvlJc w:val="left"/>
    </w:lvl>
    <w:lvl w:ilvl="8" w:tplc="92F09062">
      <w:numFmt w:val="decimal"/>
      <w:lvlText w:val=""/>
      <w:lvlJc w:val="left"/>
    </w:lvl>
  </w:abstractNum>
  <w:abstractNum w:abstractNumId="1" w15:restartNumberingAfterBreak="0">
    <w:nsid w:val="171378E3"/>
    <w:multiLevelType w:val="hybridMultilevel"/>
    <w:tmpl w:val="00000000"/>
    <w:lvl w:ilvl="0" w:tplc="FB5800FE">
      <w:start w:val="1"/>
      <w:numFmt w:val="lowerLetter"/>
      <w:lvlText w:val="%1)"/>
      <w:lvlJc w:val="left"/>
      <w:pPr>
        <w:ind w:left="720" w:hanging="360"/>
      </w:pPr>
    </w:lvl>
    <w:lvl w:ilvl="1" w:tplc="726AE070">
      <w:start w:val="1"/>
      <w:numFmt w:val="lowerLetter"/>
      <w:lvlText w:val="%2."/>
      <w:lvlJc w:val="left"/>
      <w:pPr>
        <w:ind w:left="1440" w:hanging="360"/>
      </w:pPr>
    </w:lvl>
    <w:lvl w:ilvl="2" w:tplc="B09A990C">
      <w:start w:val="1"/>
      <w:numFmt w:val="lowerRoman"/>
      <w:lvlText w:val="%3."/>
      <w:lvlJc w:val="right"/>
      <w:pPr>
        <w:ind w:left="2160" w:hanging="180"/>
      </w:pPr>
    </w:lvl>
    <w:lvl w:ilvl="3" w:tplc="08E0D2A4">
      <w:start w:val="1"/>
      <w:numFmt w:val="decimal"/>
      <w:lvlText w:val="%4."/>
      <w:lvlJc w:val="left"/>
      <w:pPr>
        <w:ind w:left="2880" w:hanging="360"/>
      </w:pPr>
    </w:lvl>
    <w:lvl w:ilvl="4" w:tplc="94005BA0">
      <w:start w:val="1"/>
      <w:numFmt w:val="lowerLetter"/>
      <w:lvlText w:val="%5."/>
      <w:lvlJc w:val="left"/>
      <w:pPr>
        <w:ind w:left="3600" w:hanging="360"/>
      </w:pPr>
    </w:lvl>
    <w:lvl w:ilvl="5" w:tplc="7E34F4C2">
      <w:start w:val="1"/>
      <w:numFmt w:val="lowerRoman"/>
      <w:lvlText w:val="%6."/>
      <w:lvlJc w:val="right"/>
      <w:pPr>
        <w:ind w:left="4320" w:hanging="180"/>
      </w:pPr>
    </w:lvl>
    <w:lvl w:ilvl="6" w:tplc="363AC47E">
      <w:start w:val="1"/>
      <w:numFmt w:val="decimal"/>
      <w:lvlText w:val="%7."/>
      <w:lvlJc w:val="left"/>
      <w:pPr>
        <w:ind w:left="5040" w:hanging="360"/>
      </w:pPr>
    </w:lvl>
    <w:lvl w:ilvl="7" w:tplc="C70A58F8">
      <w:start w:val="1"/>
      <w:numFmt w:val="lowerLetter"/>
      <w:lvlText w:val="%8."/>
      <w:lvlJc w:val="left"/>
      <w:pPr>
        <w:ind w:left="5760" w:hanging="360"/>
      </w:pPr>
    </w:lvl>
    <w:lvl w:ilvl="8" w:tplc="79B45B9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A25FF"/>
    <w:multiLevelType w:val="hybridMultilevel"/>
    <w:tmpl w:val="00000000"/>
    <w:lvl w:ilvl="0" w:tplc="0CAC9BDE">
      <w:start w:val="1"/>
      <w:numFmt w:val="decimal"/>
      <w:lvlText w:val="%1)"/>
      <w:lvlJc w:val="left"/>
      <w:pPr>
        <w:ind w:left="871" w:hanging="360"/>
      </w:pPr>
    </w:lvl>
    <w:lvl w:ilvl="1" w:tplc="21565926">
      <w:start w:val="1"/>
      <w:numFmt w:val="decimal"/>
      <w:lvlText w:val="%2)"/>
      <w:lvlJc w:val="left"/>
      <w:pPr>
        <w:ind w:left="2007" w:hanging="360"/>
      </w:pPr>
    </w:lvl>
    <w:lvl w:ilvl="2" w:tplc="9168C3C0">
      <w:start w:val="3"/>
      <w:numFmt w:val="decimal"/>
      <w:lvlText w:val="%3."/>
      <w:lvlJc w:val="left"/>
      <w:pPr>
        <w:ind w:left="2907" w:hanging="360"/>
      </w:pPr>
    </w:lvl>
    <w:lvl w:ilvl="3" w:tplc="41304AF0">
      <w:start w:val="1"/>
      <w:numFmt w:val="decimal"/>
      <w:lvlText w:val="%4."/>
      <w:lvlJc w:val="left"/>
      <w:pPr>
        <w:ind w:left="3447" w:hanging="360"/>
      </w:pPr>
    </w:lvl>
    <w:lvl w:ilvl="4" w:tplc="2FB0DDFC">
      <w:start w:val="1"/>
      <w:numFmt w:val="lowerLetter"/>
      <w:lvlText w:val="%5."/>
      <w:lvlJc w:val="left"/>
      <w:pPr>
        <w:ind w:left="4167" w:hanging="360"/>
      </w:pPr>
    </w:lvl>
    <w:lvl w:ilvl="5" w:tplc="96968726">
      <w:start w:val="1"/>
      <w:numFmt w:val="lowerRoman"/>
      <w:lvlText w:val="%6."/>
      <w:lvlJc w:val="right"/>
      <w:pPr>
        <w:ind w:left="4887" w:hanging="180"/>
      </w:pPr>
    </w:lvl>
    <w:lvl w:ilvl="6" w:tplc="24FADA32">
      <w:start w:val="1"/>
      <w:numFmt w:val="decimal"/>
      <w:lvlText w:val="%7."/>
      <w:lvlJc w:val="left"/>
      <w:pPr>
        <w:ind w:left="5607" w:hanging="360"/>
      </w:pPr>
    </w:lvl>
    <w:lvl w:ilvl="7" w:tplc="6DB06664">
      <w:start w:val="1"/>
      <w:numFmt w:val="lowerLetter"/>
      <w:lvlText w:val="%8."/>
      <w:lvlJc w:val="left"/>
      <w:pPr>
        <w:ind w:left="6327" w:hanging="360"/>
      </w:pPr>
    </w:lvl>
    <w:lvl w:ilvl="8" w:tplc="A7364EF0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1491B95"/>
    <w:multiLevelType w:val="hybridMultilevel"/>
    <w:tmpl w:val="00000000"/>
    <w:lvl w:ilvl="0" w:tplc="13588CA8">
      <w:start w:val="1"/>
      <w:numFmt w:val="decimal"/>
      <w:lvlText w:val="%1)"/>
      <w:lvlJc w:val="left"/>
      <w:pPr>
        <w:ind w:left="720" w:hanging="360"/>
      </w:pPr>
    </w:lvl>
    <w:lvl w:ilvl="1" w:tplc="918E5B3C">
      <w:start w:val="1"/>
      <w:numFmt w:val="decimal"/>
      <w:lvlText w:val="%2)"/>
      <w:lvlJc w:val="left"/>
      <w:pPr>
        <w:ind w:left="3447" w:hanging="360"/>
      </w:pPr>
    </w:lvl>
    <w:lvl w:ilvl="2" w:tplc="74648968">
      <w:start w:val="1"/>
      <w:numFmt w:val="lowerRoman"/>
      <w:lvlText w:val="%3."/>
      <w:lvlJc w:val="right"/>
      <w:pPr>
        <w:ind w:left="2160" w:hanging="180"/>
      </w:pPr>
    </w:lvl>
    <w:lvl w:ilvl="3" w:tplc="FD1A68F6">
      <w:start w:val="1"/>
      <w:numFmt w:val="decimal"/>
      <w:lvlText w:val="%4."/>
      <w:lvlJc w:val="left"/>
      <w:pPr>
        <w:ind w:left="2880" w:hanging="360"/>
      </w:pPr>
    </w:lvl>
    <w:lvl w:ilvl="4" w:tplc="14623286">
      <w:start w:val="1"/>
      <w:numFmt w:val="lowerLetter"/>
      <w:lvlText w:val="%5."/>
      <w:lvlJc w:val="left"/>
      <w:pPr>
        <w:ind w:left="3600" w:hanging="360"/>
      </w:pPr>
    </w:lvl>
    <w:lvl w:ilvl="5" w:tplc="C472E302">
      <w:start w:val="1"/>
      <w:numFmt w:val="lowerRoman"/>
      <w:lvlText w:val="%6."/>
      <w:lvlJc w:val="right"/>
      <w:pPr>
        <w:ind w:left="4320" w:hanging="180"/>
      </w:pPr>
    </w:lvl>
    <w:lvl w:ilvl="6" w:tplc="7870EA5A">
      <w:start w:val="1"/>
      <w:numFmt w:val="decimal"/>
      <w:lvlText w:val="%7."/>
      <w:lvlJc w:val="left"/>
      <w:pPr>
        <w:ind w:left="5040" w:hanging="360"/>
      </w:pPr>
    </w:lvl>
    <w:lvl w:ilvl="7" w:tplc="14F0A74E">
      <w:start w:val="1"/>
      <w:numFmt w:val="lowerLetter"/>
      <w:lvlText w:val="%8."/>
      <w:lvlJc w:val="left"/>
      <w:pPr>
        <w:ind w:left="5760" w:hanging="360"/>
      </w:pPr>
    </w:lvl>
    <w:lvl w:ilvl="8" w:tplc="FEBE719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E1DB6"/>
    <w:multiLevelType w:val="multilevel"/>
    <w:tmpl w:val="00000000"/>
    <w:lvl w:ilvl="0">
      <w:start w:val="1"/>
      <w:numFmt w:val="decimal"/>
      <w:lvlText w:val="%1)"/>
      <w:lvlJc w:val="left"/>
      <w:pPr>
        <w:ind w:left="304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strike w:val="0"/>
      </w:rPr>
    </w:lvl>
    <w:lvl w:ilvl="2">
      <w:start w:val="1"/>
      <w:numFmt w:val="bullet"/>
      <w:lvlText w:val="-"/>
      <w:lvlJc w:val="left"/>
      <w:pPr>
        <w:ind w:left="748" w:hanging="180"/>
      </w:pPr>
      <w:rPr>
        <w:rFonts w:ascii="Symbol" w:hAnsi="Symbol"/>
        <w:color w:val="auto"/>
      </w:rPr>
    </w:lvl>
    <w:lvl w:ilvl="3">
      <w:start w:val="1"/>
      <w:numFmt w:val="bullet"/>
      <w:lvlText w:val="-"/>
      <w:lvlJc w:val="left"/>
      <w:pPr>
        <w:ind w:left="502" w:hanging="360"/>
      </w:pPr>
      <w:rPr>
        <w:rFonts w:ascii="Symbol" w:hAnsi="Symbol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A52F0"/>
    <w:multiLevelType w:val="hybridMultilevel"/>
    <w:tmpl w:val="00000000"/>
    <w:lvl w:ilvl="0" w:tplc="6D0CD680">
      <w:start w:val="1"/>
      <w:numFmt w:val="decimal"/>
      <w:lvlText w:val="%1)"/>
      <w:lvlJc w:val="left"/>
      <w:pPr>
        <w:ind w:left="720" w:hanging="360"/>
      </w:pPr>
    </w:lvl>
    <w:lvl w:ilvl="1" w:tplc="856056DA">
      <w:start w:val="1"/>
      <w:numFmt w:val="decimal"/>
      <w:lvlText w:val="%2)"/>
      <w:lvlJc w:val="left"/>
      <w:pPr>
        <w:ind w:left="3447" w:hanging="360"/>
      </w:pPr>
    </w:lvl>
    <w:lvl w:ilvl="2" w:tplc="64BCE2E4">
      <w:start w:val="1"/>
      <w:numFmt w:val="lowerLetter"/>
      <w:lvlText w:val="%3)"/>
      <w:lvlJc w:val="left"/>
      <w:pPr>
        <w:ind w:left="720" w:hanging="360"/>
      </w:pPr>
    </w:lvl>
    <w:lvl w:ilvl="3" w:tplc="F4F27076">
      <w:start w:val="1"/>
      <w:numFmt w:val="decimal"/>
      <w:lvlText w:val="%4."/>
      <w:lvlJc w:val="left"/>
      <w:pPr>
        <w:ind w:left="2880" w:hanging="360"/>
      </w:pPr>
    </w:lvl>
    <w:lvl w:ilvl="4" w:tplc="BE44A6C4">
      <w:start w:val="1"/>
      <w:numFmt w:val="lowerLetter"/>
      <w:lvlText w:val="%5."/>
      <w:lvlJc w:val="left"/>
      <w:pPr>
        <w:ind w:left="3600" w:hanging="360"/>
      </w:pPr>
    </w:lvl>
    <w:lvl w:ilvl="5" w:tplc="18D4F634">
      <w:start w:val="1"/>
      <w:numFmt w:val="lowerRoman"/>
      <w:lvlText w:val="%6."/>
      <w:lvlJc w:val="right"/>
      <w:pPr>
        <w:ind w:left="4320" w:hanging="180"/>
      </w:pPr>
    </w:lvl>
    <w:lvl w:ilvl="6" w:tplc="B04A8C8E">
      <w:start w:val="1"/>
      <w:numFmt w:val="decimal"/>
      <w:lvlText w:val="%7."/>
      <w:lvlJc w:val="left"/>
      <w:pPr>
        <w:ind w:left="5040" w:hanging="360"/>
      </w:pPr>
    </w:lvl>
    <w:lvl w:ilvl="7" w:tplc="88EEAB5A">
      <w:start w:val="1"/>
      <w:numFmt w:val="lowerLetter"/>
      <w:lvlText w:val="%8."/>
      <w:lvlJc w:val="left"/>
      <w:pPr>
        <w:ind w:left="5760" w:hanging="360"/>
      </w:pPr>
    </w:lvl>
    <w:lvl w:ilvl="8" w:tplc="1884E11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8460B7"/>
    <w:rsid w:val="008B51D6"/>
    <w:rsid w:val="00A77B3E"/>
    <w:rsid w:val="00CA2A55"/>
    <w:rsid w:val="00CB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A5E8D6-F9F3-45EA-B62B-DEF1563A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basedOn w:val="Normalny"/>
    <w:pPr>
      <w:jc w:val="left"/>
    </w:pPr>
    <w:rPr>
      <w:color w:val="000000"/>
      <w:szCs w:val="20"/>
      <w:lang w:val="x-none" w:eastAsia="en-US" w:bidi="ar-SA"/>
    </w:rPr>
  </w:style>
  <w:style w:type="paragraph" w:customStyle="1" w:styleId="PARAGRAF">
    <w:name w:val="PARAGRAF"/>
    <w:basedOn w:val="Normalny"/>
    <w:pPr>
      <w:suppressAutoHyphens/>
      <w:spacing w:before="120" w:after="120"/>
      <w:ind w:firstLine="425"/>
      <w:jc w:val="left"/>
    </w:pPr>
    <w:rPr>
      <w:color w:val="000000"/>
      <w:szCs w:val="20"/>
      <w:shd w:val="clear" w:color="auto" w:fill="FFFFFF"/>
      <w:lang w:val="ar-SA" w:eastAsia="ar-SA" w:bidi="ar-SA"/>
    </w:rPr>
  </w:style>
  <w:style w:type="character" w:customStyle="1" w:styleId="normaltextrun">
    <w:name w:val="normaltextrun"/>
    <w:basedOn w:val="Domylnaczcionkaakapitu"/>
    <w:rPr>
      <w:color w:val="auto"/>
      <w:sz w:val="24"/>
    </w:rPr>
  </w:style>
  <w:style w:type="paragraph" w:styleId="Akapitzlist">
    <w:name w:val="List Paragraph"/>
    <w:basedOn w:val="Normal0"/>
    <w:pPr>
      <w:ind w:left="720"/>
      <w:contextualSpacing/>
    </w:pPr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46787BBF-E978-4FCF-90A4-063338503179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A64C2D91-8268-488E-B260-2FE19FF26973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ZalacznikE55F9D52-299E-4036-8632-272D943690B4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Zalacznik5F8EA7D9-93BE-4792-B677-602EB6E07028.jpg" TargetMode="External"/><Relationship Id="rId20" Type="http://schemas.openxmlformats.org/officeDocument/2006/relationships/hyperlink" Target="file:///C:\Users\twilk\AppData\Local\Temp\ezdpuw\20231124153948006\Zalacznik4.x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ZalacznikEFBF018F-832B-42EC-929D-20A0999E175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ZalacznikC32CC60F-5E30-49E0-ACE3-6C6189DD1B93.jp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6876</Words>
  <Characters>41259</Characters>
  <Application>Microsoft Office Word</Application>
  <DocSecurity>0</DocSecurity>
  <Lines>343</Lines>
  <Paragraphs>96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48039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 rejonie ulicy Sanitariuszek, drogi ekspresowej S-14 oraz zachodniej granicy miasta Łodzi.</dc:subject>
  <dc:creator>fblaszczynski</dc:creator>
  <cp:lastModifiedBy>Tomasz Wilk</cp:lastModifiedBy>
  <cp:revision>2</cp:revision>
  <dcterms:created xsi:type="dcterms:W3CDTF">2023-11-24T14:40:00Z</dcterms:created>
  <dcterms:modified xsi:type="dcterms:W3CDTF">2023-11-24T14:40:00Z</dcterms:modified>
  <cp:category>Akt prawny</cp:category>
</cp:coreProperties>
</file>