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7E" w:rsidRPr="001B127A" w:rsidRDefault="0079007E" w:rsidP="0079007E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51362282"/>
      <w:bookmarkStart w:id="1" w:name="_GoBack"/>
      <w:bookmarkEnd w:id="1"/>
      <w:r w:rsidRPr="001B127A"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2 </w:t>
      </w:r>
      <w:r w:rsidRPr="001B127A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79007E" w:rsidRPr="001B127A" w:rsidRDefault="0079007E" w:rsidP="0079007E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1B127A">
        <w:rPr>
          <w:rFonts w:ascii="Times New Roman" w:hAnsi="Times New Roman"/>
          <w:bCs/>
          <w:sz w:val="24"/>
          <w:szCs w:val="24"/>
        </w:rPr>
        <w:t xml:space="preserve">Projekt z dnia </w:t>
      </w:r>
      <w:r>
        <w:rPr>
          <w:rFonts w:ascii="Times New Roman" w:hAnsi="Times New Roman"/>
          <w:bCs/>
          <w:sz w:val="24"/>
          <w:szCs w:val="24"/>
        </w:rPr>
        <w:t>9 stycznia 2024</w:t>
      </w:r>
      <w:r w:rsidRPr="001B127A">
        <w:rPr>
          <w:rFonts w:ascii="Times New Roman" w:hAnsi="Times New Roman"/>
          <w:bCs/>
          <w:sz w:val="24"/>
          <w:szCs w:val="24"/>
        </w:rPr>
        <w:t xml:space="preserve"> r.</w:t>
      </w:r>
    </w:p>
    <w:p w:rsidR="0079007E" w:rsidRPr="001B127A" w:rsidRDefault="0079007E" w:rsidP="0079007E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79007E" w:rsidRPr="001B127A" w:rsidRDefault="0079007E" w:rsidP="0079007E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9007E" w:rsidRPr="001B127A" w:rsidRDefault="0079007E" w:rsidP="0079007E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79007E" w:rsidRPr="001B127A" w:rsidRDefault="0079007E" w:rsidP="0079007E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79007E" w:rsidRPr="001B127A" w:rsidRDefault="0079007E" w:rsidP="0079007E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79007E" w:rsidRPr="001B127A" w:rsidRDefault="0079007E" w:rsidP="0079007E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79007E" w:rsidRDefault="0079007E" w:rsidP="0079007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>skargi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p. </w:t>
      </w:r>
    </w:p>
    <w:p w:rsidR="0079007E" w:rsidRPr="001B127A" w:rsidRDefault="0079007E" w:rsidP="0079007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na działania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Dyrektora Zarządu Lokali Miejskich.</w:t>
      </w:r>
    </w:p>
    <w:p w:rsidR="0079007E" w:rsidRPr="001B127A" w:rsidRDefault="0079007E" w:rsidP="0079007E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9007E" w:rsidRPr="00ED5E9F" w:rsidRDefault="0079007E" w:rsidP="0079007E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 xml:space="preserve">Na </w:t>
      </w:r>
      <w:r w:rsidRPr="00ED5E9F">
        <w:rPr>
          <w:rFonts w:ascii="Times New Roman" w:hAnsi="Times New Roman"/>
          <w:sz w:val="24"/>
          <w:szCs w:val="24"/>
        </w:rPr>
        <w:t>podstawie art. 18 ust. 2 pkt 15 ustawy z dnia 8 marca 1990 r. o samorządzie gminnym (Dz. U. z 2023 r. poz. 40, 572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5E9F">
        <w:rPr>
          <w:rFonts w:ascii="Times New Roman" w:hAnsi="Times New Roman"/>
          <w:sz w:val="24"/>
          <w:szCs w:val="24"/>
        </w:rPr>
        <w:t>1463</w:t>
      </w:r>
      <w:r>
        <w:rPr>
          <w:rFonts w:ascii="Times New Roman" w:hAnsi="Times New Roman"/>
          <w:sz w:val="24"/>
          <w:szCs w:val="24"/>
        </w:rPr>
        <w:t xml:space="preserve"> i 1688</w:t>
      </w:r>
      <w:r w:rsidRPr="00ED5E9F">
        <w:rPr>
          <w:rFonts w:ascii="Times New Roman" w:hAnsi="Times New Roman"/>
          <w:sz w:val="24"/>
          <w:szCs w:val="24"/>
        </w:rPr>
        <w:t>) oraz art. 229 pkt 3, art. 237 § 3 oraz art. 238 § 1 ustawy z dnia 14 czerwca 1960 r. - Kodeks postępowania administracyjnego (Dz. U. z 2023 r. poz. 775 i 803), Rada Miejska w Łodzi</w:t>
      </w:r>
    </w:p>
    <w:p w:rsidR="0079007E" w:rsidRPr="00ED5E9F" w:rsidRDefault="0079007E" w:rsidP="007900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5E9F"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79007E" w:rsidRPr="00ED5E9F" w:rsidRDefault="0079007E" w:rsidP="0079007E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007E" w:rsidRPr="00ED5E9F" w:rsidRDefault="0079007E" w:rsidP="0079007E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1.1.</w:t>
      </w:r>
      <w:r w:rsidRPr="00ED5E9F">
        <w:rPr>
          <w:rFonts w:ascii="Times New Roman" w:hAnsi="Times New Roman"/>
          <w:b/>
          <w:sz w:val="24"/>
          <w:szCs w:val="24"/>
        </w:rPr>
        <w:t xml:space="preserve"> </w:t>
      </w:r>
      <w:r w:rsidRPr="00ED5E9F"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p. </w:t>
      </w:r>
      <w:r w:rsidRPr="00ED5E9F">
        <w:rPr>
          <w:rFonts w:ascii="Times New Roman" w:hAnsi="Times New Roman"/>
          <w:bCs/>
          <w:sz w:val="24"/>
          <w:szCs w:val="24"/>
          <w:lang w:eastAsia="ar-SA"/>
        </w:rPr>
        <w:t>na</w:t>
      </w:r>
      <w:r w:rsidRPr="00ED5E9F">
        <w:rPr>
          <w:rFonts w:ascii="Times New Roman" w:hAnsi="Times New Roman"/>
          <w:bCs/>
          <w:sz w:val="24"/>
          <w:szCs w:val="24"/>
        </w:rPr>
        <w:t xml:space="preserve"> działania </w:t>
      </w:r>
      <w:r>
        <w:rPr>
          <w:rFonts w:ascii="Times New Roman" w:hAnsi="Times New Roman"/>
          <w:bCs/>
          <w:sz w:val="24"/>
          <w:szCs w:val="24"/>
        </w:rPr>
        <w:t xml:space="preserve">Dyrektora Zarządu Lokali Miejskich </w:t>
      </w:r>
      <w:r w:rsidRPr="00ED5E9F">
        <w:rPr>
          <w:rFonts w:ascii="Times New Roman" w:hAnsi="Times New Roman"/>
          <w:bCs/>
          <w:sz w:val="24"/>
          <w:szCs w:val="24"/>
        </w:rPr>
        <w:t>uznaje się</w:t>
      </w:r>
      <w:r>
        <w:rPr>
          <w:rFonts w:ascii="Times New Roman" w:hAnsi="Times New Roman"/>
          <w:bCs/>
          <w:sz w:val="24"/>
          <w:szCs w:val="24"/>
        </w:rPr>
        <w:t> </w:t>
      </w:r>
      <w:r w:rsidRPr="00ED5E9F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> </w:t>
      </w:r>
      <w:r w:rsidRPr="00ED5E9F">
        <w:rPr>
          <w:rFonts w:ascii="Times New Roman" w:hAnsi="Times New Roman"/>
          <w:bCs/>
          <w:sz w:val="24"/>
          <w:szCs w:val="24"/>
        </w:rPr>
        <w:t>bezzasadną.</w:t>
      </w:r>
    </w:p>
    <w:p w:rsidR="0079007E" w:rsidRPr="00ED5E9F" w:rsidRDefault="0079007E" w:rsidP="0079007E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79007E" w:rsidRPr="00ED5E9F" w:rsidRDefault="0079007E" w:rsidP="0079007E">
      <w:pPr>
        <w:tabs>
          <w:tab w:val="left" w:pos="720"/>
          <w:tab w:val="left" w:pos="108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2. Zobowiązuje się Przewodniczącego Rady Miejskiej w Łodzi do przekazania Skarżąc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ED5E9F">
        <w:rPr>
          <w:rFonts w:ascii="Times New Roman" w:hAnsi="Times New Roman"/>
          <w:sz w:val="24"/>
          <w:szCs w:val="24"/>
        </w:rPr>
        <w:t>niniejszej uchwały wraz z uzasadnieniem.</w:t>
      </w:r>
    </w:p>
    <w:p w:rsidR="0079007E" w:rsidRPr="00ED5E9F" w:rsidRDefault="0079007E" w:rsidP="0079007E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5E9F"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79007E" w:rsidRDefault="0079007E" w:rsidP="0079007E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9007E" w:rsidRPr="001B127A" w:rsidRDefault="0079007E" w:rsidP="0079007E">
      <w:pPr>
        <w:tabs>
          <w:tab w:val="left" w:pos="540"/>
          <w:tab w:val="left" w:pos="900"/>
        </w:tabs>
        <w:autoSpaceDE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9007E" w:rsidRPr="001B127A" w:rsidRDefault="0079007E" w:rsidP="0079007E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79007E" w:rsidRPr="001B127A" w:rsidRDefault="0079007E" w:rsidP="0079007E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9007E" w:rsidRPr="001B127A" w:rsidRDefault="0079007E" w:rsidP="0079007E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9007E" w:rsidRPr="001B127A" w:rsidRDefault="0079007E" w:rsidP="0079007E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9007E" w:rsidRPr="001B127A" w:rsidRDefault="0079007E" w:rsidP="0079007E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B127A"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79007E" w:rsidRDefault="0079007E" w:rsidP="0079007E">
      <w:pPr>
        <w:spacing w:after="0"/>
        <w:rPr>
          <w:rFonts w:ascii="Times New Roman" w:hAnsi="Times New Roman"/>
          <w:sz w:val="24"/>
          <w:szCs w:val="24"/>
        </w:rPr>
      </w:pPr>
    </w:p>
    <w:p w:rsidR="0079007E" w:rsidRDefault="0079007E" w:rsidP="0079007E">
      <w:pPr>
        <w:spacing w:after="0"/>
        <w:rPr>
          <w:rFonts w:ascii="Times New Roman" w:hAnsi="Times New Roman"/>
          <w:sz w:val="24"/>
          <w:szCs w:val="24"/>
        </w:rPr>
      </w:pPr>
    </w:p>
    <w:p w:rsidR="0079007E" w:rsidRDefault="0079007E" w:rsidP="0079007E">
      <w:pPr>
        <w:spacing w:after="0"/>
        <w:rPr>
          <w:rFonts w:ascii="Times New Roman" w:hAnsi="Times New Roman"/>
          <w:sz w:val="24"/>
          <w:szCs w:val="24"/>
        </w:rPr>
      </w:pPr>
    </w:p>
    <w:p w:rsidR="0079007E" w:rsidRPr="001B127A" w:rsidRDefault="0079007E" w:rsidP="0079007E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Projektodawcą uchwały jest</w:t>
      </w:r>
    </w:p>
    <w:p w:rsidR="0079007E" w:rsidRPr="001B127A" w:rsidRDefault="0079007E" w:rsidP="0079007E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Komisja Skarg, Wniosków i Petycji</w:t>
      </w:r>
    </w:p>
    <w:p w:rsidR="0079007E" w:rsidRDefault="0079007E" w:rsidP="0079007E">
      <w:pPr>
        <w:spacing w:after="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Rady Miejskiej w Łodzi</w:t>
      </w:r>
    </w:p>
    <w:p w:rsidR="0079007E" w:rsidRDefault="0079007E" w:rsidP="0079007E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79007E" w:rsidRDefault="0079007E" w:rsidP="0079007E">
      <w:pPr>
        <w:spacing w:after="0"/>
      </w:pPr>
    </w:p>
    <w:p w:rsidR="0079007E" w:rsidRDefault="0079007E" w:rsidP="0079007E">
      <w:pPr>
        <w:spacing w:after="0"/>
      </w:pPr>
    </w:p>
    <w:p w:rsidR="0079007E" w:rsidRDefault="0079007E" w:rsidP="0079007E">
      <w:pPr>
        <w:spacing w:after="0"/>
      </w:pPr>
    </w:p>
    <w:p w:rsidR="0079007E" w:rsidRDefault="0079007E" w:rsidP="0079007E">
      <w:pPr>
        <w:spacing w:after="0"/>
      </w:pPr>
    </w:p>
    <w:p w:rsidR="0079007E" w:rsidRDefault="0079007E" w:rsidP="0079007E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79007E" w:rsidRPr="001B127A" w:rsidRDefault="0079007E" w:rsidP="0079007E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79007E" w:rsidRPr="001B127A" w:rsidRDefault="0079007E" w:rsidP="0079007E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do uchwały Nr ………..</w:t>
      </w:r>
    </w:p>
    <w:p w:rsidR="0079007E" w:rsidRPr="001B127A" w:rsidRDefault="0079007E" w:rsidP="0079007E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Rady Miejskiej w Łodzi</w:t>
      </w:r>
    </w:p>
    <w:p w:rsidR="0079007E" w:rsidRPr="001B127A" w:rsidRDefault="0079007E" w:rsidP="0079007E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z dnia …………………….</w:t>
      </w:r>
    </w:p>
    <w:p w:rsidR="0079007E" w:rsidRPr="001B127A" w:rsidRDefault="0079007E" w:rsidP="007900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007E" w:rsidRPr="001B127A" w:rsidRDefault="0079007E" w:rsidP="007900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127A">
        <w:rPr>
          <w:rFonts w:ascii="Times New Roman" w:hAnsi="Times New Roman"/>
          <w:sz w:val="24"/>
          <w:szCs w:val="24"/>
        </w:rPr>
        <w:t>UZASADNIENIE</w:t>
      </w:r>
    </w:p>
    <w:p w:rsidR="0079007E" w:rsidRPr="001B127A" w:rsidRDefault="0079007E" w:rsidP="0079007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007E" w:rsidRPr="001B127A" w:rsidRDefault="0079007E" w:rsidP="0079007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9007E" w:rsidRPr="002E1D6E" w:rsidRDefault="0079007E" w:rsidP="0079007E">
      <w:pPr>
        <w:spacing w:after="0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594FFF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24 listopada </w:t>
      </w:r>
      <w:r w:rsidRPr="00594FFF">
        <w:rPr>
          <w:rFonts w:ascii="Times New Roman" w:eastAsia="Times New Roman" w:hAnsi="Times New Roman"/>
          <w:sz w:val="24"/>
          <w:szCs w:val="24"/>
          <w:lang w:eastAsia="pl-PL"/>
        </w:rPr>
        <w:t xml:space="preserve">2023 r. do Rady Miejskiej w Łodzi została złożona skarga na działania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  <w:r w:rsidRPr="002E1D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Zarządu Lokali Miejskich. Skarga dotyczy zaniedbań w kamienicy położonej w Łodzi przy ul. Franciszkańskiej oraz niewyrażenia zgody na prywatyzację nieruchomości.</w:t>
      </w:r>
    </w:p>
    <w:p w:rsidR="0079007E" w:rsidRPr="001B127A" w:rsidRDefault="0079007E" w:rsidP="0079007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007E" w:rsidRDefault="0079007E" w:rsidP="0079007E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79007E" w:rsidRDefault="0079007E" w:rsidP="0079007E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9007E" w:rsidRPr="00BB65B5" w:rsidRDefault="0079007E" w:rsidP="0079007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65B5">
        <w:rPr>
          <w:rFonts w:ascii="Times New Roman" w:hAnsi="Times New Roman"/>
          <w:sz w:val="24"/>
          <w:szCs w:val="24"/>
          <w:lang w:eastAsia="ar-SA"/>
        </w:rPr>
        <w:t xml:space="preserve">Skarżąca zajmuje lokal położony </w:t>
      </w:r>
      <w:r>
        <w:rPr>
          <w:rFonts w:ascii="Times New Roman" w:hAnsi="Times New Roman"/>
          <w:sz w:val="24"/>
          <w:szCs w:val="24"/>
          <w:lang w:eastAsia="ar-SA"/>
        </w:rPr>
        <w:t xml:space="preserve">w Łodzi </w:t>
      </w:r>
      <w:r w:rsidRPr="00BB65B5">
        <w:rPr>
          <w:rFonts w:ascii="Times New Roman" w:hAnsi="Times New Roman"/>
          <w:sz w:val="24"/>
          <w:szCs w:val="24"/>
          <w:lang w:eastAsia="ar-SA"/>
        </w:rPr>
        <w:t>przy ul. Franciszkańskiej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B65B5">
        <w:rPr>
          <w:rFonts w:ascii="Times New Roman" w:hAnsi="Times New Roman"/>
          <w:sz w:val="24"/>
          <w:szCs w:val="24"/>
          <w:lang w:eastAsia="ar-SA"/>
        </w:rPr>
        <w:t xml:space="preserve">na podstawie umowy najmu z dnia 18 listopada 2002 r. Nieruchomość stanowi własność Gminy. </w:t>
      </w:r>
    </w:p>
    <w:p w:rsidR="0079007E" w:rsidRPr="00BB65B5" w:rsidRDefault="0079007E" w:rsidP="0079007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65B5">
        <w:rPr>
          <w:rFonts w:ascii="Times New Roman" w:hAnsi="Times New Roman"/>
          <w:sz w:val="24"/>
          <w:szCs w:val="24"/>
          <w:lang w:eastAsia="ar-SA"/>
        </w:rPr>
        <w:t xml:space="preserve">W odniesieniu do kwestionowanego przez </w:t>
      </w:r>
      <w:r>
        <w:rPr>
          <w:rFonts w:ascii="Times New Roman" w:hAnsi="Times New Roman"/>
          <w:sz w:val="24"/>
          <w:szCs w:val="24"/>
          <w:lang w:eastAsia="ar-SA"/>
        </w:rPr>
        <w:t>Skarżącą</w:t>
      </w:r>
      <w:r w:rsidRPr="00BB65B5">
        <w:rPr>
          <w:rFonts w:ascii="Times New Roman" w:hAnsi="Times New Roman"/>
          <w:sz w:val="24"/>
          <w:szCs w:val="24"/>
          <w:lang w:eastAsia="ar-SA"/>
        </w:rPr>
        <w:t xml:space="preserve"> stanu elewacji nieruchomości przy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 xml:space="preserve">ul. Franciszkańskiej </w:t>
      </w:r>
      <w:r>
        <w:rPr>
          <w:rFonts w:ascii="Times New Roman" w:hAnsi="Times New Roman"/>
          <w:sz w:val="24"/>
          <w:szCs w:val="24"/>
          <w:lang w:eastAsia="ar-SA"/>
        </w:rPr>
        <w:t>informuje się</w:t>
      </w:r>
      <w:r w:rsidRPr="00BB65B5">
        <w:rPr>
          <w:rFonts w:ascii="Times New Roman" w:hAnsi="Times New Roman"/>
          <w:sz w:val="24"/>
          <w:szCs w:val="24"/>
          <w:lang w:eastAsia="ar-SA"/>
        </w:rPr>
        <w:t>, że zgodnie z protokołami okresowej rocznej i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 xml:space="preserve">pięcioletniej kontroli stanu technicznego budynku z dnia 19 kwietnia 2023 r., nie stwierdzono uszkodzeń oraz braków, które mogłyby spowodować zagrożenie dla życia lub zdrowia ludzi, bezpieczeństwa mienia bądź środowiska, czy też katastrofę budowlaną. </w:t>
      </w:r>
      <w:r>
        <w:rPr>
          <w:rFonts w:ascii="Times New Roman" w:hAnsi="Times New Roman"/>
          <w:sz w:val="24"/>
          <w:szCs w:val="24"/>
          <w:lang w:eastAsia="ar-SA"/>
        </w:rPr>
        <w:t xml:space="preserve">Należy wyjaśnić, </w:t>
      </w:r>
      <w:r w:rsidRPr="00BB65B5">
        <w:rPr>
          <w:rFonts w:ascii="Times New Roman" w:hAnsi="Times New Roman"/>
          <w:sz w:val="24"/>
          <w:szCs w:val="24"/>
          <w:lang w:eastAsia="ar-SA"/>
        </w:rPr>
        <w:t>że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>remont elewacji w przedmiotowym budynku nie został ujęty w planach remontowych na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>2024 r., jednakże w planach do wykonania przez Zarząd w ramach budżetu przeznaczonego na realizację bieżącej konserwacji obiektów w 2024 r. ujęto prace w zakresie skucia odparzonych tynków oraz ewentualnego uzupełnienia ubytków elewacji nieruchomości.</w:t>
      </w:r>
    </w:p>
    <w:p w:rsidR="0079007E" w:rsidRPr="00BB65B5" w:rsidRDefault="0079007E" w:rsidP="0079007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65B5">
        <w:rPr>
          <w:rFonts w:ascii="Times New Roman" w:hAnsi="Times New Roman"/>
          <w:sz w:val="24"/>
          <w:szCs w:val="24"/>
          <w:lang w:eastAsia="ar-SA"/>
        </w:rPr>
        <w:t xml:space="preserve">W wyniku oględzin przeprowadzonych w dniu 14 grudnia 2022 r. w lokalu przy </w:t>
      </w:r>
      <w:r w:rsidRPr="00BB65B5">
        <w:rPr>
          <w:rFonts w:ascii="Times New Roman" w:hAnsi="Times New Roman"/>
          <w:sz w:val="24"/>
          <w:szCs w:val="24"/>
          <w:lang w:eastAsia="ar-SA"/>
        </w:rPr>
        <w:br/>
        <w:t>ul. Franciszkańskiej przez pracownika Zarządu, stolarka okienna znajdująca się w lokalu została zakwalifikowana do wymiany w trybie przyspieszonym (1 sztuka) oraz wpisana do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>rejestru stolarki do sukcesywnej realizacji. O powyższych działaniach Skarżąca została powiadomiona przez Zarząd pismem z dnia 16 grudnia 2022 r. W korespondencji tej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>zastrzeżono jednak, że prace zostaną wykonane zgodnie z kolejnością zgłoszeń, po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>uzyskaniu środków finansowych na ten cel. Przedmiotowe okno zostało wymienione, a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 xml:space="preserve">prace odebrano w dniu 31 października 2023 r. </w:t>
      </w:r>
    </w:p>
    <w:p w:rsidR="0079007E" w:rsidRPr="00BB65B5" w:rsidRDefault="0079007E" w:rsidP="0079007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65B5">
        <w:rPr>
          <w:rFonts w:ascii="Times New Roman" w:hAnsi="Times New Roman"/>
          <w:sz w:val="24"/>
          <w:szCs w:val="24"/>
          <w:lang w:eastAsia="ar-SA"/>
        </w:rPr>
        <w:t xml:space="preserve">W zakresie parkowania pojazdów na terenie posesji </w:t>
      </w:r>
      <w:r>
        <w:rPr>
          <w:rFonts w:ascii="Times New Roman" w:hAnsi="Times New Roman"/>
          <w:sz w:val="24"/>
          <w:szCs w:val="24"/>
          <w:lang w:eastAsia="ar-SA"/>
        </w:rPr>
        <w:t>wyjaśnia się</w:t>
      </w:r>
      <w:r w:rsidRPr="00BB65B5">
        <w:rPr>
          <w:rFonts w:ascii="Times New Roman" w:hAnsi="Times New Roman"/>
          <w:sz w:val="24"/>
          <w:szCs w:val="24"/>
          <w:lang w:eastAsia="ar-SA"/>
        </w:rPr>
        <w:t>, że umowa najmu lokalu mieszkalnego nie gwarantuje najemcy miejsca postojowego na terenie nieruchomości, na której znajduje się lokal.</w:t>
      </w:r>
    </w:p>
    <w:p w:rsidR="0079007E" w:rsidRPr="00BB65B5" w:rsidRDefault="0079007E" w:rsidP="0079007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65B5">
        <w:rPr>
          <w:rFonts w:ascii="Times New Roman" w:hAnsi="Times New Roman"/>
          <w:sz w:val="24"/>
          <w:szCs w:val="24"/>
          <w:lang w:eastAsia="ar-SA"/>
        </w:rPr>
        <w:t xml:space="preserve">Odnosząc się do kwestii związanej z prywatyzacją nieruchomości usytuowanej przy </w:t>
      </w:r>
      <w:r w:rsidRPr="00BB65B5">
        <w:rPr>
          <w:rFonts w:ascii="Times New Roman" w:hAnsi="Times New Roman"/>
          <w:sz w:val="24"/>
          <w:szCs w:val="24"/>
          <w:lang w:eastAsia="ar-SA"/>
        </w:rPr>
        <w:br/>
        <w:t>ul. Franciszkańskiej</w:t>
      </w:r>
      <w:r>
        <w:rPr>
          <w:rFonts w:ascii="Times New Roman" w:hAnsi="Times New Roman"/>
          <w:sz w:val="24"/>
          <w:szCs w:val="24"/>
          <w:lang w:eastAsia="ar-SA"/>
        </w:rPr>
        <w:t xml:space="preserve">, Rada Miejska </w:t>
      </w:r>
      <w:r w:rsidRPr="00BB65B5">
        <w:rPr>
          <w:rFonts w:ascii="Times New Roman" w:hAnsi="Times New Roman"/>
          <w:sz w:val="24"/>
          <w:szCs w:val="24"/>
          <w:lang w:eastAsia="ar-SA"/>
        </w:rPr>
        <w:t>informuj</w:t>
      </w:r>
      <w:r>
        <w:rPr>
          <w:rFonts w:ascii="Times New Roman" w:hAnsi="Times New Roman"/>
          <w:sz w:val="24"/>
          <w:szCs w:val="24"/>
          <w:lang w:eastAsia="ar-SA"/>
        </w:rPr>
        <w:t>e</w:t>
      </w:r>
      <w:r w:rsidRPr="00BB65B5">
        <w:rPr>
          <w:rFonts w:ascii="Times New Roman" w:hAnsi="Times New Roman"/>
          <w:sz w:val="24"/>
          <w:szCs w:val="24"/>
          <w:lang w:eastAsia="ar-SA"/>
        </w:rPr>
        <w:t>, że najemc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BB65B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przysługuje prawo złożenia wniosku o wyodrębnienie własności lokalu, nie przysługuje mu natomiast w tym zakresie żadne roszczenie wobec Miasta. </w:t>
      </w:r>
      <w:r w:rsidRPr="00BB65B5">
        <w:rPr>
          <w:rFonts w:ascii="Times New Roman" w:hAnsi="Times New Roman"/>
          <w:sz w:val="24"/>
          <w:szCs w:val="24"/>
          <w:lang w:eastAsia="ar-SA"/>
        </w:rPr>
        <w:t>Sprzedaż na rzecz najemców samodzielnych lokali mieszkalnych, garaży oraz nieruchomości zabudowanych domami jednorodzinnymi obecnie odbywa się w oparciu o regulacje wynikające z uchwały Nr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 xml:space="preserve">XXX/776/16 Rady Miejskiej w Łodzi z dnia </w:t>
      </w:r>
      <w:r w:rsidRPr="00BB65B5">
        <w:rPr>
          <w:rFonts w:ascii="Times New Roman" w:hAnsi="Times New Roman"/>
          <w:sz w:val="24"/>
          <w:szCs w:val="24"/>
          <w:lang w:eastAsia="ar-SA"/>
        </w:rPr>
        <w:lastRenderedPageBreak/>
        <w:t>25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>maja 2016 r. w sprawie określenia zasad sprzedaży na rzecz najemców samodzielnych lokali mieszkalnych i garaży oraz nieruchomości zabudowanych domami jednorodzinnymi (Dz. Urz. Woj. Łódzkiego z 2016 r., poz. 2610 z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proofErr w:type="spellStart"/>
      <w:r w:rsidRPr="00BB65B5">
        <w:rPr>
          <w:rFonts w:ascii="Times New Roman" w:hAnsi="Times New Roman"/>
          <w:sz w:val="24"/>
          <w:szCs w:val="24"/>
          <w:lang w:eastAsia="ar-SA"/>
        </w:rPr>
        <w:t>późn</w:t>
      </w:r>
      <w:proofErr w:type="spellEnd"/>
      <w:r w:rsidRPr="00BB65B5">
        <w:rPr>
          <w:rFonts w:ascii="Times New Roman" w:hAnsi="Times New Roman"/>
          <w:sz w:val="24"/>
          <w:szCs w:val="24"/>
          <w:lang w:eastAsia="ar-SA"/>
        </w:rPr>
        <w:t>. zm.). Zgodnie z § 3 ust. 3 powołanego aktu prawnego, lokale znajdujące się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>na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 xml:space="preserve">nieruchomości, z której dotychczas </w:t>
      </w:r>
      <w:r w:rsidRPr="00BB65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rozpoczęto sprzedaży lokali, mogą być przedmiotem sprzedaży, jeżeli wszystkie lokale na tej nieruchomości są samodzielne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B65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rozumieniu przepisów ustawy z dnia 24 czerwca 1994 r.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B65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własności lokali, a z wnioskiem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B65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wykup wystąpią najemcy, których udziały w</w:t>
      </w:r>
      <w:r w:rsidRPr="00BB65B5">
        <w:rPr>
          <w:rFonts w:ascii="Times New Roman" w:eastAsia="Times New Roman" w:hAnsi="Times New Roman"/>
          <w:sz w:val="24"/>
          <w:szCs w:val="24"/>
          <w:lang w:eastAsia="pl-PL"/>
        </w:rPr>
        <w:t xml:space="preserve"> częściach </w:t>
      </w:r>
      <w:r w:rsidRPr="00BB65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wspólnych nieruchomości w wyniku sprzedaży lokali wyniosą co najmniej 50%. Należy jednak podkreślić, że spełnienie warunków formalnych rozpoczęcia prywatyzacji wynikających 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BB65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powołanego przepisu prawa miejscowego </w:t>
      </w:r>
      <w:r w:rsidRPr="00BB65B5">
        <w:rPr>
          <w:rFonts w:ascii="Times New Roman" w:hAnsi="Times New Roman"/>
          <w:sz w:val="24"/>
          <w:szCs w:val="24"/>
          <w:lang w:eastAsia="ar-SA"/>
        </w:rPr>
        <w:t>nie oznacza automatycznej realizacji czynności w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 xml:space="preserve">zakresie wyodrębnienia własności lokali na rzecz ich najemców. </w:t>
      </w:r>
    </w:p>
    <w:p w:rsidR="0079007E" w:rsidRPr="00BB65B5" w:rsidRDefault="0079007E" w:rsidP="0079007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65B5">
        <w:rPr>
          <w:rFonts w:ascii="Times New Roman" w:hAnsi="Times New Roman"/>
          <w:sz w:val="24"/>
          <w:szCs w:val="24"/>
          <w:lang w:eastAsia="ar-SA"/>
        </w:rPr>
        <w:t xml:space="preserve">Wnioski o sprzedaż lokali mieszkalnych złożyło 17 najemców, w tym </w:t>
      </w:r>
      <w:r>
        <w:rPr>
          <w:rFonts w:ascii="Times New Roman" w:hAnsi="Times New Roman"/>
          <w:sz w:val="24"/>
          <w:szCs w:val="24"/>
          <w:lang w:eastAsia="ar-SA"/>
        </w:rPr>
        <w:t xml:space="preserve">Skarżąca, </w:t>
      </w:r>
      <w:r w:rsidRPr="00BB65B5">
        <w:rPr>
          <w:rFonts w:ascii="Times New Roman" w:hAnsi="Times New Roman"/>
          <w:sz w:val="24"/>
          <w:szCs w:val="24"/>
          <w:lang w:eastAsia="ar-SA"/>
        </w:rPr>
        <w:t>co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>stanowi 53% udziałów w częściach wspólnych nieruchomości. Z uwagi na brak możliwości osiągnięcia pełnej prywatyzacji, a co za tym idzie powstanie wspólnoty, w której Gmina w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>przypadku wyodrębnienia własności lokali na rzecz najemców chętnych do ich wykupu pozostałaby z</w:t>
      </w:r>
      <w:r>
        <w:rPr>
          <w:rFonts w:ascii="Times New Roman" w:hAnsi="Times New Roman"/>
          <w:sz w:val="24"/>
          <w:szCs w:val="24"/>
          <w:lang w:eastAsia="ar-SA"/>
        </w:rPr>
        <w:t xml:space="preserve"> niewielkim</w:t>
      </w:r>
      <w:r w:rsidRPr="00BB65B5">
        <w:rPr>
          <w:rFonts w:ascii="Times New Roman" w:hAnsi="Times New Roman"/>
          <w:sz w:val="24"/>
          <w:szCs w:val="24"/>
          <w:lang w:eastAsia="ar-SA"/>
        </w:rPr>
        <w:t xml:space="preserve"> mniejszościowym udziałem, nieruchomość położona przy ul.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BB65B5">
        <w:rPr>
          <w:rFonts w:ascii="Times New Roman" w:hAnsi="Times New Roman"/>
          <w:sz w:val="24"/>
          <w:szCs w:val="24"/>
          <w:lang w:eastAsia="ar-SA"/>
        </w:rPr>
        <w:t>Franciszkańskiej  nie została przeznaczona do prywatyzacji.</w:t>
      </w:r>
    </w:p>
    <w:p w:rsidR="0079007E" w:rsidRPr="00E35CB4" w:rsidRDefault="0079007E" w:rsidP="0079007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79007E" w:rsidRDefault="0079007E" w:rsidP="0079007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Wobec powyższego Rada Miejska w Łodzi uznaje skargę za bezzasadną. </w:t>
      </w:r>
    </w:p>
    <w:p w:rsidR="0079007E" w:rsidRPr="001B127A" w:rsidRDefault="0079007E" w:rsidP="007900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007E" w:rsidRPr="001B127A" w:rsidRDefault="0079007E" w:rsidP="0079007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79007E" w:rsidRPr="001B127A" w:rsidRDefault="0079007E" w:rsidP="0079007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9007E" w:rsidRPr="001B127A" w:rsidRDefault="0079007E" w:rsidP="0079007E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1B12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bookmarkEnd w:id="0"/>
    <w:p w:rsidR="0079007E" w:rsidRDefault="0079007E" w:rsidP="0079007E"/>
    <w:p w:rsidR="00B13424" w:rsidRDefault="00A45C3C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7E"/>
    <w:rsid w:val="001A7B09"/>
    <w:rsid w:val="00776C89"/>
    <w:rsid w:val="0079007E"/>
    <w:rsid w:val="00A4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1D1E1-D3C1-4608-8642-A62FAD79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0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2024-01-15T11:19:00Z</dcterms:created>
  <dcterms:modified xsi:type="dcterms:W3CDTF">2024-01-15T11:19:00Z</dcterms:modified>
</cp:coreProperties>
</file>