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B3E" w:rsidRDefault="0086720B" w:rsidP="001451C4">
      <w:pPr>
        <w:ind w:left="5040" w:firstLine="720"/>
        <w:jc w:val="left"/>
      </w:pPr>
      <w:r>
        <w:t xml:space="preserve">Druk Nr  </w:t>
      </w:r>
      <w:r w:rsidR="001451C4">
        <w:t>111/2024</w:t>
      </w:r>
      <w:r>
        <w:t xml:space="preserve">              </w:t>
      </w:r>
    </w:p>
    <w:p w:rsidR="00A77B3E" w:rsidRDefault="0086720B" w:rsidP="001451C4">
      <w:pPr>
        <w:ind w:left="5040" w:firstLine="720"/>
        <w:jc w:val="left"/>
      </w:pPr>
      <w:bookmarkStart w:id="0" w:name="_GoBack"/>
      <w:bookmarkEnd w:id="0"/>
      <w:r>
        <w:t>Projekt z dnia</w:t>
      </w:r>
      <w:r w:rsidR="001451C4">
        <w:t xml:space="preserve"> 24 kwietnia 2024 r.</w:t>
      </w:r>
    </w:p>
    <w:p w:rsidR="00A77B3E" w:rsidRDefault="00A77B3E">
      <w:pPr>
        <w:ind w:left="6803"/>
        <w:jc w:val="left"/>
      </w:pPr>
    </w:p>
    <w:p w:rsidR="00A77B3E" w:rsidRDefault="0086720B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Miejskiej w Łodzi</w:t>
      </w:r>
    </w:p>
    <w:p w:rsidR="00A77B3E" w:rsidRDefault="0086720B">
      <w:pPr>
        <w:spacing w:after="160"/>
        <w:jc w:val="center"/>
        <w:rPr>
          <w:b/>
          <w:caps/>
        </w:rPr>
      </w:pPr>
      <w:r>
        <w:rPr>
          <w:b/>
        </w:rPr>
        <w:t>z dnia .................... .... r.</w:t>
      </w:r>
    </w:p>
    <w:p w:rsidR="00A77B3E" w:rsidRDefault="0086720B">
      <w:pPr>
        <w:keepNext/>
        <w:spacing w:after="480"/>
        <w:jc w:val="center"/>
      </w:pPr>
      <w:r>
        <w:rPr>
          <w:b/>
        </w:rPr>
        <w:t xml:space="preserve">w sprawie uchwalenia miejscowego planu zagospodarowania przestrzennego dla części obszaru miasta Łodzi położonej w rejonie </w:t>
      </w:r>
      <w:r>
        <w:rPr>
          <w:b/>
        </w:rPr>
        <w:t>doliny rzeki Bałutki, ulic Inowrocławskiej i Omłotowej oraz terenów kolejowych.</w:t>
      </w:r>
    </w:p>
    <w:p w:rsidR="00A77B3E" w:rsidRDefault="0086720B">
      <w:pPr>
        <w:keepLines/>
        <w:spacing w:before="120" w:after="120"/>
        <w:ind w:firstLine="567"/>
      </w:pPr>
      <w:r>
        <w:t>Na podstawie art. 18 ust. 2 pkt 5 i art. 40 ust. 1 ustawy z dnia 8 marca 1990 r. o samorządzie gminnym (Dz. U. z 2023 r. poz. 40, 572, 1463 i 1688) oraz art. 14 ust. 8 i art. 2</w:t>
      </w:r>
      <w:r>
        <w:t>0 ust. 1 ustawy z dnia 27 marca 2003 r. o planowaniu i zagospodarowaniu przestrzennym (Dz. U. z 2023 r. poz. 977, 1506, 1597, 1688, 1890, 2029 i 2739), w związku z art. 67 ust. 3 pkt 4 ustawy z dnia 7 lipca 2023 r. o zmianie ustawy o planowaniu i zagospoda</w:t>
      </w:r>
      <w:r>
        <w:t>rowaniu przestrzennym oraz niektórych innych ustaw (Dz. U. poz. 1688), Rada Miejska w Łodzi</w:t>
      </w:r>
    </w:p>
    <w:p w:rsidR="00A77B3E" w:rsidRDefault="0086720B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:rsidR="00A77B3E" w:rsidRDefault="0086720B">
      <w:pPr>
        <w:keepNext/>
        <w:spacing w:before="280" w:after="28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1. 1. </w:t>
      </w:r>
      <w:r>
        <w:t>Przedmiotem uchwały są ustalenia miejscowego planu zagospodarowania przestrzennego dla części obszaru mias</w:t>
      </w:r>
      <w:r>
        <w:t>ta Łodzi położonej w rejonie doliny rzeki Bałutki, ulic Inowrocławskiej i Omłotowej oraz terenów kolejowych, wraz z jej integralnymi częściami w postaci: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planu wykonanego w skali 1:1000, stanowiącego załącznik Nr 1 do uchwały;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</w:t>
      </w:r>
      <w:r>
        <w:rPr>
          <w:color w:val="000000"/>
          <w:u w:color="000000"/>
        </w:rPr>
        <w:t xml:space="preserve"> o sposobie rozpatrzenia uwag do projektu planu wniesionych w związku z wyłożeniem do publicznego wglądu, stanowiącego załącznik Nr 2 do uchwały;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rozstrzygnięcia o sposobie realizacji, zapisanych w planie, inwestycji z zakresu infrastruktury technicznej</w:t>
      </w:r>
      <w:r>
        <w:rPr>
          <w:color w:val="000000"/>
          <w:u w:color="000000"/>
        </w:rPr>
        <w:t>, które należą do zadań własnych gminy oraz zasadach ich finansowania, zgodnie z przepisami o finansach publicznych, stanowiącego załącznik Nr 3 do uchwały.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 rysunku planu, o którym mowa w ust.1 pkt 1.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</w:t>
      </w:r>
      <w:r>
        <w:rPr>
          <w:color w:val="000000"/>
          <w:u w:color="000000"/>
        </w:rPr>
        <w:t>wierdza się, że plan nie narusza ustaleń „Studium uwarunkowań i kierunków zagospodarowania przestrzennego miasta Łodzi” uchwalonego uchwałą Nr LXIX/1753/18 Rady Miejskiej w Łodzi z dnia 28 marca 2018 r., zmienioną uchwałami Rady Miejskiej w Łodzi Nr VI/215</w:t>
      </w:r>
      <w:r>
        <w:rPr>
          <w:color w:val="000000"/>
          <w:u w:color="000000"/>
        </w:rPr>
        <w:t>/19 z dnia 6 marca 2019 r. i Nr LII/1605/21 z dnia 22 grudnia 2021 r.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Ze względu na brak podstaw wynikających ze stanu faktycznego, w planie nie określa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zasad ochrony dziedzictwa kulturowego i zabytków, w tym krajobrazów kulturowych oraz dóbr </w:t>
      </w:r>
      <w:r>
        <w:rPr>
          <w:color w:val="000000"/>
          <w:u w:color="000000"/>
        </w:rPr>
        <w:t>kultury współczesnej;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granic i sposobów zagospodarowania terenów lub obiektów podlegających ochronie, na podstawie odrębnych przepisów, terenów górniczych, a także obszarów szczególnego zagrożenia powodzią, obszarów osuwania się mas ziemnych, krajobrazó</w:t>
      </w:r>
      <w:r>
        <w:rPr>
          <w:color w:val="000000"/>
          <w:u w:color="000000"/>
        </w:rPr>
        <w:t>w priorytetowych określonych w audycie krajobrazowym oraz w planach zagospodarowania przestrzennego województwa;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sposobu i terminu tymczasowego zagospodarowania, urządzania i użytkowania terenów.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>Określenia stosowane w uchwale należy rozumieć na</w:t>
      </w:r>
      <w:r>
        <w:rPr>
          <w:color w:val="000000"/>
          <w:u w:color="000000"/>
        </w:rPr>
        <w:t>stępująco: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dach płaski – dach o spadkach połaci do 15º;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elektrownia słoneczna – budowla będąca instalacją odnawialnych źródeł energii stanowiąca systemy fotowoltaiczne wraz z towarzyszącą infrastrukturą;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front działki – odcinek granicy działki </w:t>
      </w:r>
      <w:r>
        <w:rPr>
          <w:color w:val="000000"/>
          <w:u w:color="000000"/>
        </w:rPr>
        <w:t>budowlanej przylegający do drogi publicznej lub innego ciągu komunikacyjnego, z którego odbywa się główny wjazd lub wejście na tę działkę;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infrastruktura techniczna – przewody, sieci i urządzenia oraz obiekty budowlane: wodociągowe, kanalizacyjne, ciepł</w:t>
      </w:r>
      <w:r>
        <w:rPr>
          <w:color w:val="000000"/>
          <w:u w:color="000000"/>
        </w:rPr>
        <w:t>ownicze, elektroenergetyczne, gazowe i telekomunikacyjne;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linia rozgraniczająca – wyznaczona na rysunku planu linia ciągła, stanowiąca granicę między terenami o różnym przeznaczeniu lub różnych zasadach zagospodarowania;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linia zabudowy nieprzekraczal</w:t>
      </w:r>
      <w:r>
        <w:rPr>
          <w:color w:val="000000"/>
          <w:u w:color="000000"/>
        </w:rPr>
        <w:t>na  – wyznaczona na rysunku planu linia określająca część działki budowlanej, na której możliwe jest lokalizowanie budynków, z zakazem jej przekraczania, który to zakaz nie dotyczy: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elementów wejścia do budynku, takich jak: schody, pochylnia, podest, ra</w:t>
      </w:r>
      <w:r>
        <w:rPr>
          <w:color w:val="000000"/>
          <w:u w:color="000000"/>
        </w:rPr>
        <w:t>mpa, zadaszenie,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elementów nadwieszeń takich jak: łącznik, balkon, wykusz, gzyms, okap dachu,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ogniomuru, podpory konstrukcyjnej,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tarasów, werand i ogrodów zimowych,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podziemnych części budynku i urządzeń budowlanych związanych z budynkiem,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iz</w:t>
      </w:r>
      <w:r>
        <w:rPr>
          <w:color w:val="000000"/>
          <w:u w:color="000000"/>
        </w:rPr>
        <w:t>olacji termicznej, okładzin oraz zewnętrznych elementów komunikacji pionowej, takich jak klatki schodowe i szyby windowe – wyłącznie w przypadku zabudowy istniejącej;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podniesienie standardów jakości użytkowania – działania budowlane w budynkach istnieją</w:t>
      </w:r>
      <w:r>
        <w:rPr>
          <w:color w:val="000000"/>
          <w:u w:color="000000"/>
        </w:rPr>
        <w:t>cych obejmujące: dobudowę ciągów komunikacji pionowej, łączników pomiędzy budynkami, tarasów, werand, ogrodów zimowych;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przepisy odrębne – przepisy prawa powszechnie obowiązującego, w szczególności ustawy i rozporządzenia, a także akty prawa miejscowego</w:t>
      </w:r>
      <w:r>
        <w:rPr>
          <w:color w:val="000000"/>
          <w:u w:color="000000"/>
        </w:rPr>
        <w:t xml:space="preserve"> obowiązujące na obszarze miasta Łodzi;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przeznaczenie terenu – obiekty budowlane i urządzenia budowlane oraz zagospodarowanie tworzące całość funkcjonalną, określone ustaleniami planu na danym terenie odpowiednio: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– przeznacz</w:t>
      </w:r>
      <w:r>
        <w:rPr>
          <w:color w:val="000000"/>
          <w:u w:color="000000"/>
        </w:rPr>
        <w:t>enie, które przeważa na działce, przy czym wymóg ten nie obowiązuje w przypadku realizacji dróg wewnętrznych, infrastruktury technicznej i wód powierzchniowych,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przeznaczenie uzupełniające – przeznaczenie, które uzupełnia przeznaczenie podstawowe na dan</w:t>
      </w:r>
      <w:r>
        <w:rPr>
          <w:color w:val="000000"/>
          <w:u w:color="000000"/>
        </w:rPr>
        <w:t>ej działce, a w przypadku dróg wewnętrznych, infrastruktury technicznej i wód powierzchniowych – przeznaczenie, które uzupełnia przeznaczenie podstawowe w danym terenie;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 xml:space="preserve">system NCS – system opisu barw publikowany w formie wzorników kolorów; oznaczenie </w:t>
      </w:r>
      <w:r>
        <w:rPr>
          <w:color w:val="000000"/>
          <w:u w:color="000000"/>
        </w:rPr>
        <w:t>koloru składa się z: napisu „NCS S”, czterech cyfr, z których pierwsze dwie oznaczają procentową zawartość czerni, kolejne dwie – poziom chromatyczności oraz, po myślniku, symbolu koloru oznaczającego procentową zawartość kolorów (żółtego – Y, czerwonego –</w:t>
      </w:r>
      <w:r>
        <w:rPr>
          <w:color w:val="000000"/>
          <w:u w:color="000000"/>
        </w:rPr>
        <w:t xml:space="preserve"> R, niebieskiego – B, zielonego – G) lub kolor neutralny – N;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teren – wydzielone liniami rozgraniczającymi nieruchomości lub ich części, oznaczone numerem i symbolem;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uchwała – niniejsza uchwała Rady Miejskiej w Łodzi;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 xml:space="preserve">usługi uciążliwe – </w:t>
      </w:r>
      <w:r>
        <w:rPr>
          <w:color w:val="000000"/>
          <w:u w:color="000000"/>
        </w:rPr>
        <w:t>działalność usługowa powodująca przekroczenie standardów jakości środowiska obowiązujących dla przeznaczenia terenu;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ustawa – ustawa z dnia 27 marca 2003 r. o planowaniu i zagospodarowaniu przestrzennym, o ile z treści przepisu nie wynika inaczej;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>wskaźnik powierzchni biologicznie czynnej – udział procentowy terenu biologicznie czynnego w powierzchni działki budowlanej;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16) </w:t>
      </w:r>
      <w:r>
        <w:rPr>
          <w:color w:val="000000"/>
          <w:u w:color="000000"/>
        </w:rPr>
        <w:t>wskaźnik powierzchni zabudowy – udział procentowy powierzchni wyznaczonej przez rzuty wszystkich budynków w ich obrysie zewnętr</w:t>
      </w:r>
      <w:r>
        <w:rPr>
          <w:color w:val="000000"/>
          <w:u w:color="000000"/>
        </w:rPr>
        <w:t>znym w powierzchni działki budowlanej;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17) </w:t>
      </w:r>
      <w:r>
        <w:rPr>
          <w:color w:val="000000"/>
          <w:u w:color="000000"/>
        </w:rPr>
        <w:t>wysokość zabudowy – określona w metrach wysokość obiektu budowlanego mierzona od najniższego poziomu gruntu w miejscu jego lokalizacji do najwyższego punktu jego konstrukcji, a dla budynków – do najwyższego punktu</w:t>
      </w:r>
      <w:r>
        <w:rPr>
          <w:color w:val="000000"/>
          <w:u w:color="000000"/>
        </w:rPr>
        <w:t xml:space="preserve"> dachu;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18) </w:t>
      </w:r>
      <w:r>
        <w:rPr>
          <w:color w:val="000000"/>
          <w:u w:color="000000"/>
        </w:rPr>
        <w:t>zabudowa istniejąca – budynek istniejący w dniu wejścia w życie planu, a także budynek posiadający w tej dacie prawo do realizacji na podstawie ostatecznej decyzji o pozwoleniu na budowę lub zgłoszenia, o którym mowa w przepisach odrębnych doty</w:t>
      </w:r>
      <w:r>
        <w:rPr>
          <w:color w:val="000000"/>
          <w:u w:color="000000"/>
        </w:rPr>
        <w:t>czących prawa budowlanego.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Określenia użyte w planie, a niezdefiniowane w ust. 1, dotyczące zagadnień przewidzianych ustawą lub przepisami odrębnymi przywołanymi w treści niniejszej uchwały, należy rozumieć w sposób określony w ustawie lub w tych </w:t>
      </w:r>
      <w:r>
        <w:rPr>
          <w:color w:val="000000"/>
          <w:u w:color="000000"/>
        </w:rPr>
        <w:t>przepisach, a w przypadku braku definicji, w rozumieniu powszechnym.</w:t>
      </w:r>
    </w:p>
    <w:p w:rsidR="00A77B3E" w:rsidRDefault="0086720B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następujące zasady ochrony i kształtowania ładu przestrzennego: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kształtowania standardów zagospodarow</w:t>
      </w:r>
      <w:r>
        <w:rPr>
          <w:color w:val="000000"/>
          <w:u w:color="000000"/>
        </w:rPr>
        <w:t>ania i użytkowania terenów: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zabezpieczenie korytarza komunikacyjnego dla realizacji projektowanego przedłużenia ulicy Wojska Polskiego,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zachowanie i ochrona terenów wspierających system ekologiczny miasta,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ochrona walorów krajobrazowych doliny rze</w:t>
      </w:r>
      <w:r>
        <w:rPr>
          <w:color w:val="000000"/>
          <w:u w:color="000000"/>
        </w:rPr>
        <w:t>ki Bałutki oraz jej otoczenia,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zapewnienie właściwych relacji przestrzennych i środowiskowych w sąsiedztwie inwestycji polegającej na budowie linii kolejowej;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w zakresie przeznaczenia terenów zakaz lokalizacji punktów zbierania i przetwarzania odpadó</w:t>
      </w:r>
      <w:r>
        <w:rPr>
          <w:color w:val="000000"/>
          <w:u w:color="000000"/>
        </w:rPr>
        <w:t>w, w tym złomu;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wskaźników i parametrów  zabudowy: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obiektów budowlanych niewskazanych w ustaleniach szczegółowych dla terenów, określa się maksymalną wysokość zabudowy – 50,0 m,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 określona w ustaleniach szczegół</w:t>
      </w:r>
      <w:r>
        <w:rPr>
          <w:color w:val="000000"/>
          <w:u w:color="000000"/>
        </w:rPr>
        <w:t>owych dla terenów, zawartych w rozdziale 3, dotyczy kondygnacji nadziemnych, dla kondygnacji podziemnych dopuszczenie maksymalnej intensywności zabudowy wynoszącej 0,1.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Ustala się następujące zasady ochrony środowiska, przyrody i krajobrazu oraz zasad</w:t>
      </w:r>
      <w:r>
        <w:rPr>
          <w:color w:val="000000"/>
          <w:u w:color="000000"/>
        </w:rPr>
        <w:t>y kształtowania krajobrazu: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zakaz lokalizacji przedsięwzięć mogących znacząco oddziaływać na środowisko, z wyjątkiem: dróg, linii kolejowych, inwestycji z zakresu infrastruktury technicznej, melioracji, obiektów mostowych oraz urządzeń wodnych, a także </w:t>
      </w:r>
      <w:r>
        <w:rPr>
          <w:color w:val="000000"/>
          <w:u w:color="000000"/>
        </w:rPr>
        <w:t>zabudowy systemami fotowoltaicznymi wraz z towarzyszącą im infrastrukturą;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ochrony i kształtowania krajobrazu oraz zieleni: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zapewnienia ciągłości korytarza ekologicznego, wskazanego na rysunku planu jako granice zasięgu morfologiczne</w:t>
      </w:r>
      <w:r>
        <w:rPr>
          <w:color w:val="000000"/>
          <w:u w:color="000000"/>
        </w:rPr>
        <w:t>go doliny rzeki Bałutki w zakresie swobodnego przepływu mas powietrza oraz migracji roślin i zwierząt,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zakaz likwidowania i niszczenia zadrzewień nadwodnych z wyjątkiem działań wynikających z potrzeby zapewnienia przepływu wód powierzchniowych, a także </w:t>
      </w:r>
      <w:r>
        <w:rPr>
          <w:color w:val="000000"/>
          <w:u w:color="000000"/>
        </w:rPr>
        <w:t>budowy, odbudowy, utrzymania i remontów lub napraw urządzeń wodnych oraz prawidłowego funkcjonowania istniejącej infrastruktury technicznej;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gospodarki wodnej i odprowadzania ścieków oraz gospodarki odpadami – nakaz stosowania kompleksowych r</w:t>
      </w:r>
      <w:r>
        <w:rPr>
          <w:color w:val="000000"/>
          <w:u w:color="000000"/>
        </w:rPr>
        <w:t>ozwiązań poprzez: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doprowadzenie infrastruktury technicznej wodociągowej i kanalizacji sanitarnej do wszystkich terenów przeznaczonych na cele zabudowy,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doprowadzenie infrastruktury technicznej kanalizacji deszczowej do terenów przeznaczonych na cele </w:t>
      </w:r>
      <w:r>
        <w:rPr>
          <w:color w:val="000000"/>
          <w:u w:color="000000"/>
        </w:rPr>
        <w:t>zabudowy i dróg oraz retencjonowanie i zagospodarowanie wód opadowych i roztopowych w miejscu ich powstania, z dopuszczeniem odprowadzenia ich do odbiornika na warunkach określonych w przepisach odrębnych dotyczących zbiorowego zaopatrzenia w wodę i zbioro</w:t>
      </w:r>
      <w:r>
        <w:rPr>
          <w:color w:val="000000"/>
          <w:u w:color="000000"/>
        </w:rPr>
        <w:t>wego odprowadzania ścieków oraz prawa wodnego, a także budownictwa,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prowadzenie gospodarki odpadami poprzez miejski system gospodarki odpadami na zasadach określonych w przepisach odrębnych dotyczących utrzymania czystości i porządku w gminie;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</w:t>
      </w:r>
      <w:r>
        <w:rPr>
          <w:color w:val="000000"/>
          <w:u w:color="000000"/>
        </w:rPr>
        <w:t>esie ochrony wód: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utrzymania rzeki Bałutki jako cieku otwartego,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zakaz: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stosowania rozwiązań technicznych stwarzających możliwość zanieczyszczenia wód,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dokonywania zmian stosunków wodnych, jeżeli zmiany te nie wynikają z działań na rzecz </w:t>
      </w:r>
      <w:r>
        <w:rPr>
          <w:color w:val="000000"/>
          <w:u w:color="000000"/>
        </w:rPr>
        <w:t>ochrony przyrody albo racjonalnej gospodarki wodnej,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wykonywania robót polegających na zasypywaniu i likwidacji cieków wodnych, spełniających rolę odbiorników wód powierzchniowych, z dopuszczeniem ich przebudowy i rozbudowy spowodowanej realizacją inwest</w:t>
      </w:r>
      <w:r>
        <w:rPr>
          <w:color w:val="000000"/>
          <w:u w:color="000000"/>
        </w:rPr>
        <w:t>ycji celu publicznego;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ochrony powierzchni ziemi – zakaz dokonywania zmian ukształtowania terenu, które powodowałyby zmianę rzędnej wysokościowej terenu o więcej niż 0,5 m w stosunku do rodzimego gruntu w granicach zasięgu morfologicznego dol</w:t>
      </w:r>
      <w:r>
        <w:rPr>
          <w:color w:val="000000"/>
          <w:u w:color="000000"/>
        </w:rPr>
        <w:t>iny rzeki Bałutki, za wyjątkiem niwelacji niezbędnych do realizacji inwestycji z zakresu: infrastruktury technicznej, dróg, linii kolejowej, obiektów mostowych, urządzeń wodnych oraz rekultywacji technicznej terenu;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ochrony obszarów zagrożony</w:t>
      </w:r>
      <w:r>
        <w:rPr>
          <w:color w:val="000000"/>
          <w:u w:color="000000"/>
        </w:rPr>
        <w:t>ch zalaniem wodami rzeki Bałutki, wskazanym na rysunku planu: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składowania i gromadzenia: ścieków, nawozów naturalnych, środków chemicznych, a także innych materiałów, które mogą zanieczyścić wody, prowadzenia odzysku lub unieszkodliwiania odpadów,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lokalizacji dróg, ciągów pieszych, dróg rowerowych, infrastruktury technicznej, urządzeń wodnych lub obiektów mostowych;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ochrony powietrza – zakaz stosowania źródeł zaopatrzenia w ciepło powodujących emisję substancji przekra</w:t>
      </w:r>
      <w:r>
        <w:rPr>
          <w:color w:val="000000"/>
          <w:u w:color="000000"/>
        </w:rPr>
        <w:t>czającą dopuszczalne normy;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 zakresie ochrony przed polami elektromagnetycznymi – zakaz lokalizacji infrastruktury technicznej, które powodują przekroczenie poziomów pól elektromagnetycznych w środowisku, określonych w przepisach odrębnych z zakresu śr</w:t>
      </w:r>
      <w:r>
        <w:rPr>
          <w:color w:val="000000"/>
          <w:u w:color="000000"/>
        </w:rPr>
        <w:t>odowiska, w budynkach z pomieszczeniami przeznaczonymi na pobyt ludzi, w rozumieniu przepisów odrębnych z zakresu budownictwa;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w zakresie ochrony przed hałasem: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istniejącą zabudowę mieszkaniową w terenach 1ZN i 1PEF-ZN zalicza się do terenów chronion</w:t>
      </w:r>
      <w:r>
        <w:rPr>
          <w:color w:val="000000"/>
          <w:u w:color="000000"/>
        </w:rPr>
        <w:t>ych akustycznie określonych jako „tereny zabudowy mieszkaniowej jednorodzinnej”, w rozumieniu przepisów odrębnych dotyczących ochrony środowiska,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1ZD zalicza się do terenów chronionych akustycznie określonych jako „tereny rekreacyjno-wypoczynkowe”</w:t>
      </w:r>
      <w:r>
        <w:rPr>
          <w:color w:val="000000"/>
          <w:u w:color="000000"/>
        </w:rPr>
        <w:t>, w rozumieniu przepisów odrębnych dotyczących ochrony środowiska;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w zakresie odnawialnych źródeł energii – dopuszczenie lokalizacji mikroinstalacji oraz niebędących mikroinstalacją pozostałych instalacji odnawialnych źródeł energii wytwarzających ener</w:t>
      </w:r>
      <w:r>
        <w:rPr>
          <w:color w:val="000000"/>
          <w:u w:color="000000"/>
        </w:rPr>
        <w:t>gię elektryczną z energii promieniowania słonecznego, będących urządzeniami innymi niż wolnostojące, o których mowa w przepisach odrębnych z zakresu odnawialnych źródeł energii.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Ustala się następujące wymagania wynikające z potrzeb kształtowania przes</w:t>
      </w:r>
      <w:r>
        <w:rPr>
          <w:color w:val="000000"/>
          <w:u w:color="000000"/>
        </w:rPr>
        <w:t>trzeni publicznych: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wyznacza się układ przestrzeni publicznych, do których należą: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komunikacji drogowej publicznej 1KDG i 2KDG,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komunikacji drogowej wewnętrznej 1KR;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nakaz dostosowania przestrzeni publicznych do potrzeb osób ze </w:t>
      </w:r>
      <w:r>
        <w:rPr>
          <w:color w:val="000000"/>
          <w:u w:color="000000"/>
        </w:rPr>
        <w:t>szczególnymi potrzebami.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8. 1. </w:t>
      </w:r>
      <w:r>
        <w:rPr>
          <w:color w:val="000000"/>
          <w:u w:color="000000"/>
        </w:rPr>
        <w:t>Ustala się następujące zasady i warunki scalania i podziału nieruchomości: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nie wyznacza się granic obszarów określonych w przepisach odrębnych wymagających obowiązkowego przeprowadzenia scalenia i podziału nieruchomości;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podziału nieruchomości dokonywanego na wniosek określono w ustaleniach szczegółowych dla terenów.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Parametry działek powstałych w wyniku scalania i podziału nieruchomości, określone w ustaleniach szczegółowych </w:t>
      </w:r>
      <w:r>
        <w:rPr>
          <w:color w:val="000000"/>
          <w:u w:color="000000"/>
        </w:rPr>
        <w:t>dla terenów, nie obowiązują dla działek gruntu wydzielonych pod drogi oraz infrastrukturę techniczną.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Ustala się szczególne warunki zagospodarowania terenów oraz ograniczenia</w:t>
      </w:r>
      <w:r>
        <w:rPr>
          <w:color w:val="000000"/>
          <w:u w:color="000000"/>
        </w:rPr>
        <w:br/>
        <w:t>w ich użytkowaniu: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zakaz lokalizacji budynków przeznaczonych na pobyt </w:t>
      </w:r>
      <w:r>
        <w:rPr>
          <w:color w:val="000000"/>
          <w:u w:color="000000"/>
        </w:rPr>
        <w:t>ludzi we wskazanych na rysunku planu strefach ochronnych od napowietrznych linii elektroenergetycznych;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szczególne warunki zagospodarowania oraz ograniczenia w użytkowaniu wskazanych na rysunku planu stref kontrolowanych od gazociągów określają przepisy</w:t>
      </w:r>
      <w:r>
        <w:rPr>
          <w:color w:val="000000"/>
          <w:u w:color="000000"/>
        </w:rPr>
        <w:t xml:space="preserve"> odrębne dotyczące lokalizacji sieci gazowych;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przypadku likwidacji infrastruktury, o której mowa w pkt 1-2, ustalenia dotyczące odpowiednio strefy ochronnej i strefy kontrolowanej nie obowiązują;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granice stref ochronnych związane z ograniczeniami </w:t>
      </w:r>
      <w:r>
        <w:rPr>
          <w:color w:val="000000"/>
          <w:u w:color="000000"/>
        </w:rPr>
        <w:t>w zabudowie oraz zagospodarowaniu i użytkowaniu terenu oraz występowaniem znaczącego oddziaływania na środowisko od urządzeń wytwarzających energię z odnawialnych źródeł energii o mocy przekraczającej 100 kW pokrywają się z liniami rozgraniczającymi terenu</w:t>
      </w:r>
      <w:r>
        <w:rPr>
          <w:color w:val="000000"/>
          <w:u w:color="000000"/>
        </w:rPr>
        <w:t xml:space="preserve"> 1PEF-ZN;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wynikające z przepisów odrębnych dotyczących transportu kolejowego: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ograniczenia sytuowania budowli i budynków – na obszarze oznaczonym na rysunku planu jako strefa „A”,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ograniczenia w wykonywaniu robót ziemnych – na obszarze oznaczonym </w:t>
      </w:r>
      <w:r>
        <w:rPr>
          <w:color w:val="000000"/>
          <w:u w:color="000000"/>
        </w:rPr>
        <w:t>na rysunku planu jako strefa „B”,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ograniczenia w sytuowaniu drzew i krzewów – zgodnie z przepisami odrębnymi z zakresu transportu kolejowego;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 xml:space="preserve">we wskazanych na rysunku planu strefach oddziaływania kolejowego tunelu średnicowego oznaczonych symbolami: </w:t>
      </w:r>
      <w:r>
        <w:rPr>
          <w:color w:val="000000"/>
          <w:u w:color="000000"/>
        </w:rPr>
        <w:t>SO1, SO2 i SO3: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ograniczenia dopuszczalnego obciążenia niewymagającego sprawdzenia wpływu na tunel do: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75 kN/m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– w strefach SO1 i SO2,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25 kN/m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– w strefie SO3,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ograniczenia głębokości wykopów do 2 m – w strefach SO2 i SO3,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nakaz</w:t>
      </w:r>
      <w:r>
        <w:rPr>
          <w:color w:val="000000"/>
          <w:u w:color="000000"/>
        </w:rPr>
        <w:t xml:space="preserve"> ograniczenia głębokości wykopów nieumocnionych do 3 m – w strefie SO1; wykopy głębsze niż 3 m są dopuszczalne przy zastosowaniu sztywnej obudowy wykopu,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dopuszczenie wyłącznie posadowienia bezpośredniego – w strefach SO2 i SO3,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 xml:space="preserve">w przypadku </w:t>
      </w:r>
      <w:r>
        <w:rPr>
          <w:color w:val="000000"/>
          <w:u w:color="000000"/>
        </w:rPr>
        <w:t>projektowania posadowień pośrednich obciążenie z konstrukcji należy przekazać poniżej poziomu tunelu,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f) </w:t>
      </w:r>
      <w:r>
        <w:rPr>
          <w:color w:val="000000"/>
          <w:u w:color="000000"/>
        </w:rPr>
        <w:t>ograniczenia obciążeń, o których stanowi lit. a nie naruszają możliwości uzyskania na podstawie przepisów odrębnych z zakresu transportu kolejowego i b</w:t>
      </w:r>
      <w:r>
        <w:rPr>
          <w:color w:val="000000"/>
          <w:u w:color="000000"/>
        </w:rPr>
        <w:t>udownictwa, odstępstwa na powstanie konstrukcji, której obciążenie będzie większe;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 xml:space="preserve">wynikające z przepisów odrębnych dotyczących lotnictwa – zakaz budowy lub rozbudowy obiektów budowlanych sprzyjających występowaniu zwierząt stwarzających zagrożenie dla </w:t>
      </w:r>
      <w:r>
        <w:rPr>
          <w:color w:val="000000"/>
          <w:u w:color="000000"/>
        </w:rPr>
        <w:t>ruchu statków powietrznych – na obszarze wskazanym na rysunku planu.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>Ustala się następujące zasady modernizacji, rozbudowy i budowy systemów komunikacji: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droga zapewniająca połączenie obszaru objętego planem z zewnętrznym układem komunikacyjnym – </w:t>
      </w:r>
      <w:r>
        <w:rPr>
          <w:color w:val="000000"/>
          <w:u w:color="000000"/>
        </w:rPr>
        <w:t>tereny drogi głównej 1KDG i 2KDG;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droga stanowiąca lokalny układ komunikacyjny – teren komunikacji drogowej wewnętrznej 1KR;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drogi wewnętrzne niewyznaczone na rysunku planu;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linia kolejowa w terenach: 1KK, 1KDG-KK i 1KK-WS.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11. 1. </w:t>
      </w:r>
      <w:r>
        <w:rPr>
          <w:color w:val="000000"/>
          <w:u w:color="000000"/>
        </w:rPr>
        <w:t xml:space="preserve">Ustala się </w:t>
      </w:r>
      <w:r>
        <w:rPr>
          <w:color w:val="000000"/>
          <w:u w:color="000000"/>
        </w:rPr>
        <w:t>następujące zasady modernizacji, rozbudowy i budowy systemów infrastruktury technicznej: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wyposażenie terenów w infrastrukturę techniczną w oparciu o istniejące systemy, ich przebudowę i rozbudowę, a także budowę nowych systemów;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nakaz lokalizacji now</w:t>
      </w:r>
      <w:r>
        <w:rPr>
          <w:color w:val="000000"/>
          <w:u w:color="000000"/>
        </w:rPr>
        <w:t>ej oraz rozbudowywanej infrastruktury technicznej jako podziemnej, z wyłączeniem stacji transformatorowych, napowietrznych linii elektroenergetycznych o napięciu 110kV lub wyższym oraz infrastruktury technicznej, która jedynie jako nadziemna może pełnić sw</w:t>
      </w:r>
      <w:r>
        <w:rPr>
          <w:color w:val="000000"/>
          <w:u w:color="000000"/>
        </w:rPr>
        <w:t>oją funkcję.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Określa się warunki powiązań infrastruktury technicznej na obszarze planu z układem zewnętrznym: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podstawowy element zaopatrzenia w wodę – magistrala wodociągowa POLESIE 16;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 ścieków – Kolektor V, Kolektor III;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</w:t>
      </w:r>
      <w:r>
        <w:rPr>
          <w:color w:val="000000"/>
          <w:u w:color="000000"/>
        </w:rPr>
        <w:t>odstawowy odbiornik wód opadowych i roztopowych – rzeka Bałutka, zbiorniki chłonne;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podstawowe źródło zaopatrzenia w gaz – gazociąg średniego ciśnienia Dn 200 zlokalizowany wzdłuż południowej granicy planu;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źródła zaopatrzenia w ciepło – r</w:t>
      </w:r>
      <w:r>
        <w:rPr>
          <w:color w:val="000000"/>
          <w:u w:color="000000"/>
        </w:rPr>
        <w:t>urociągi wody gorącej zlokalizowane na południe od rozpatrywanego obszaru: 2 x Dn 80 w ul. Omłotowej oraz 2 x Dn 150 w ul. Siewnej;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podstawowe źródło zaopatrzenia w energię elektryczną – Rejonowy Punkt Zasilania Koziny 110/15 kV.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Ustala się wysoko</w:t>
      </w:r>
      <w:r>
        <w:rPr>
          <w:color w:val="000000"/>
          <w:u w:color="000000"/>
        </w:rPr>
        <w:t>ść stawki procentowej służącej określeniu opłaty, o której mowa w art. 36 ust. 4 ustawy dla wszystkich terenów w wysokości 30%.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13. 1. </w:t>
      </w:r>
      <w:r>
        <w:rPr>
          <w:color w:val="000000"/>
          <w:u w:color="000000"/>
        </w:rPr>
        <w:t>Ustala się granice terenu rozmieszczenia inwestycji celu publicznego o znaczeniu lokalnym, które stanowią wskazane na r</w:t>
      </w:r>
      <w:r>
        <w:rPr>
          <w:color w:val="000000"/>
          <w:u w:color="000000"/>
        </w:rPr>
        <w:t>ysunku planu linie rozgraniczające terenów: 1KDG, 2KDG, 1KDG-KK i 1KDG-WS – dla drogi publicznej.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2. </w:t>
      </w:r>
      <w:r>
        <w:rPr>
          <w:color w:val="000000"/>
          <w:u w:color="000000"/>
        </w:rPr>
        <w:t>Dopuszcza się lokalizację inwestycji celu publicznego o znaczeniu lokalnym w granicach obszaru objętego planem pod warunkiem ich zgodności z przeznaczeniem</w:t>
      </w:r>
      <w:r>
        <w:rPr>
          <w:color w:val="000000"/>
          <w:u w:color="000000"/>
        </w:rPr>
        <w:t xml:space="preserve"> terenów, określonym w ustaleniach szczegółowych dla terenów, zawartych w rozdziale 3.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Ustala się granice terenu rozmieszczenia inwestycji celu publicznego o znaczeniu ponadlokalnym, które stanowią wskazane na rysunku planu linie rozgraniczające tere</w:t>
      </w:r>
      <w:r>
        <w:rPr>
          <w:color w:val="000000"/>
          <w:u w:color="000000"/>
        </w:rPr>
        <w:t>nów: 1KK, 1KDG-KK i 1KK-WS – dla linii kolejowej.</w:t>
      </w:r>
    </w:p>
    <w:p w:rsidR="00A77B3E" w:rsidRDefault="0086720B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terenów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15. 1. </w:t>
      </w:r>
      <w:r>
        <w:rPr>
          <w:color w:val="000000"/>
          <w:u w:color="000000"/>
        </w:rPr>
        <w:t xml:space="preserve">Dla terenu </w:t>
      </w:r>
      <w:r>
        <w:rPr>
          <w:b/>
          <w:color w:val="000000"/>
          <w:u w:color="000000"/>
        </w:rPr>
        <w:t xml:space="preserve">1PEF-ZN </w:t>
      </w:r>
      <w:r>
        <w:rPr>
          <w:color w:val="000000"/>
          <w:u w:color="000000"/>
        </w:rPr>
        <w:t>obowiązują ustalenia zawarte w kolejnych ustępach niniejszego paragrafu.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elektrowni słonecznej lub zieleni naturalnej;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– z wykluczeniem terenów: magazynu gazu, obsługi produktów naftowy</w:t>
      </w:r>
      <w:r>
        <w:rPr>
          <w:color w:val="000000"/>
          <w:u w:color="000000"/>
        </w:rPr>
        <w:t>ch i gospodarowania odpadami.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zakaz lokalizacji urządzeń w strefie „A”, wskazanej na rysunku </w:t>
      </w:r>
      <w:r>
        <w:rPr>
          <w:color w:val="000000"/>
          <w:u w:color="000000"/>
        </w:rPr>
        <w:t>planu;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wskaźnik powierzchni biologicznie czynnej – minimum 50%;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wysokości zabudowy dla elektrowni słonecznej – maksimum 4 m;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zasady kształtowania zabudowy oraz lokalizacji funkcjonowania obiektów i funkcji: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dopuszczenie lokalizacji urządzeń fot</w:t>
      </w:r>
      <w:r>
        <w:rPr>
          <w:color w:val="000000"/>
          <w:u w:color="000000"/>
        </w:rPr>
        <w:t>owoltaicznych o mocy większej niż moc mikroinstalacji, o których mowa w przepisach odrębnych z zakresu odnawialnych źródeł energii,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wprowadza się strefę ograniczeń w zabudowie, wskazaną na rysunku planu, w której obowiązuje zakaz lokalizacji systemów fo</w:t>
      </w:r>
      <w:r>
        <w:rPr>
          <w:color w:val="000000"/>
          <w:u w:color="000000"/>
        </w:rPr>
        <w:t>towoltaicznych.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warunków zabudowy i zagospodarowania terenu dla istniejącej zabudowy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dopuszczenie remontu i przebudowy;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rozbudowy i nadbudowy istniejącej zabudowy mieszkaniowej jednorodzinnej i usługowej na nast</w:t>
      </w:r>
      <w:r>
        <w:rPr>
          <w:color w:val="000000"/>
          <w:u w:color="000000"/>
        </w:rPr>
        <w:t>ępujących warunkach: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powierzchnia zabudowy: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– maksimum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usługowych – maksimum 200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łącznie maksimum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zabudowy: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budynków mieszkalnych – maksimum 9 m,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usługowych – maksimum 9 m,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maksimum 4,5 m,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geometria dachów – dwuspadowe lub wielospadowe o jednakowym kącie nachylenia połaci dachowych do 45° lub dachy płaskie.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 xml:space="preserve">W zakresie szczegółowych zasad i warunków </w:t>
      </w:r>
      <w:r>
        <w:rPr>
          <w:color w:val="000000"/>
          <w:u w:color="000000"/>
        </w:rPr>
        <w:t>scalania i podziału nieruchomości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 1000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30 m;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od 70° do 90°.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16. 1. </w:t>
      </w:r>
      <w:r>
        <w:rPr>
          <w:color w:val="000000"/>
          <w:u w:color="000000"/>
        </w:rPr>
        <w:t xml:space="preserve">Dla terenu </w:t>
      </w:r>
      <w:r>
        <w:rPr>
          <w:b/>
          <w:color w:val="000000"/>
          <w:u w:color="000000"/>
        </w:rPr>
        <w:t>1ZD</w:t>
      </w:r>
      <w:r>
        <w:rPr>
          <w:color w:val="000000"/>
          <w:u w:color="000000"/>
        </w:rPr>
        <w:t xml:space="preserve"> obowiązują ustalenia zawarte w kolejnych ustępach niniejszego paragrafu.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ogrodów działkowych;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– z wykluczeniem terenów: magazynu gazu, obsługi produktów naftowych i gospodarowania odpadami.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budynków, altan działkowych i urządzeń w korytarzu ekologicznym i w strefie „A”, wskazanych na rysunku planu, z wyłączeniem urządzeń wodnych, których lokalizację dopuszcza się na zasadach określonych w przepisach odrębnych z zakresu pr</w:t>
      </w:r>
      <w:r>
        <w:rPr>
          <w:color w:val="000000"/>
          <w:u w:color="000000"/>
        </w:rPr>
        <w:t>awa wodnego;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lokalizację zabudowy w nieprzekraczalnych liniach zabudowy, które stanowią linie rozgraniczające terenu 1ZD;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zagospodarowanie terenu ogrodów działkowych dla nieruchomości stanowiących rodzinne ogrody działkowe w rozumieniu przepisów odrę</w:t>
      </w:r>
      <w:r>
        <w:rPr>
          <w:color w:val="000000"/>
          <w:u w:color="000000"/>
        </w:rPr>
        <w:t>bnych z zakresu rodzinnych ogrodów działkowych: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wskaźniki zagospodarowania działek oraz parametry kształtowania altan działkowych i obiektów gospodarczych w ogrodach działkowych – zgodnie z przepisami odrębnymi z zakresu rodzinnych ogrodów działkowych,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zagospodarowanie i zabudowa terenu ogólnego w rodzinnych ogrodach działkowych: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zabudowy – maksimum 200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zabudowy – budynków – maksimum 5 m,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geometria dachów – dwuspadowe lub wielospadowe o jednakowym kącie nachylenia połac</w:t>
      </w:r>
      <w:r>
        <w:rPr>
          <w:color w:val="000000"/>
          <w:u w:color="000000"/>
        </w:rPr>
        <w:t>i dachowych do 45º lub dachy płaskie;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zagospodarowanie terenu ogrodów działkowych dla nieruchomości niestanowiących rodzinnych ogrodów działkowych, w rozumieniu przepisów z zakresu rodzinnych ogrodów działkowych, budynkami rekreacji indywidualnej z zast</w:t>
      </w:r>
      <w:r>
        <w:rPr>
          <w:color w:val="000000"/>
          <w:u w:color="000000"/>
        </w:rPr>
        <w:t>osowaniem: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wskaźników zagospodarowania terenu: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wskaźnik powierzchni zabudowy – maksimum 15%,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intensywność zabudowy kondygnacji nadziemnych – minimum 0,001, maksimum 0,15,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wskaźnik powierzchni biologicznie czynnej – minimum 70%;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parametrów kszta</w:t>
      </w:r>
      <w:r>
        <w:rPr>
          <w:color w:val="000000"/>
          <w:u w:color="000000"/>
        </w:rPr>
        <w:t>łtowania zabudowy: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zabudowy – dla budynków – maksimum 5 m,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geometria dachów – dwuspadowe lub wielospadowe, o jednakowym kącie nachylenia połaci dachowych do 45º lub dachy płaskie,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maksymalna powierzchnia zabudowy budynkami rekreacji </w:t>
      </w:r>
      <w:r>
        <w:rPr>
          <w:color w:val="000000"/>
          <w:u w:color="000000"/>
        </w:rPr>
        <w:t>indywidualnej na działce budowlanej – 35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250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szerokości frontu działki wzdłuż pasa drogowego – minimum 10 m;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kąt </w:t>
      </w:r>
      <w:r>
        <w:rPr>
          <w:color w:val="000000"/>
          <w:u w:color="000000"/>
        </w:rPr>
        <w:t>położenia granic działki w stosunku do pasa drogowego – od 75° do 90º.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17. 1. </w:t>
      </w:r>
      <w:r>
        <w:rPr>
          <w:color w:val="000000"/>
          <w:u w:color="000000"/>
        </w:rPr>
        <w:t xml:space="preserve">Dla terenu </w:t>
      </w:r>
      <w:r>
        <w:rPr>
          <w:b/>
          <w:color w:val="000000"/>
          <w:u w:color="000000"/>
        </w:rPr>
        <w:t xml:space="preserve">1ZN </w:t>
      </w:r>
      <w:r>
        <w:rPr>
          <w:color w:val="000000"/>
          <w:u w:color="000000"/>
        </w:rPr>
        <w:t>obowiązują ustalenia zawarte w kolejnych ustępach niniejszego paragrafu.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ziele</w:t>
      </w:r>
      <w:r>
        <w:rPr>
          <w:color w:val="000000"/>
          <w:u w:color="000000"/>
        </w:rPr>
        <w:t>ni naturalnej;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– z wykluczeniem terenów: magazynu gazu, obsługi produktów naftowych i gospodarowania odpadami.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</w:t>
      </w:r>
      <w:r>
        <w:rPr>
          <w:color w:val="000000"/>
          <w:u w:color="000000"/>
        </w:rPr>
        <w:t>zagospodarowania terenu oraz zasad ochrony i kształtowania ładu przestrzennego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urządzeń w korytarzu ekologicznym, wskazanym na rysunku planu, z wyłączeniem urządzeń wodnych, których lokalizacj</w:t>
      </w:r>
      <w:r>
        <w:rPr>
          <w:color w:val="000000"/>
          <w:u w:color="000000"/>
        </w:rPr>
        <w:t>ę dopuszcza się na zasadach określonych w przepisach odrębnych z zakresu prawa wodnego;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wskaźnik powierzchni biologicznie czynnej – minimum 80%.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warunków zabudowy i zagospodarowania terenu dla istniejącej zabudowy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dopuszczen</w:t>
      </w:r>
      <w:r>
        <w:rPr>
          <w:color w:val="000000"/>
          <w:u w:color="000000"/>
        </w:rPr>
        <w:t>ie remontu i przebudowy;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dopuszczenie rozbudowy i nadbudowy istniejącej zabudowy mieszkaniowej jednorodzinnej na następujących warunkach: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powierzchnia zabudowy: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– maksimum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- łącznie ma</w:t>
      </w:r>
      <w:r>
        <w:rPr>
          <w:color w:val="000000"/>
          <w:u w:color="000000"/>
        </w:rPr>
        <w:t>ksimum 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wysokość zabudowy: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– maksimum 9 m,</w:t>
      </w:r>
    </w:p>
    <w:p w:rsidR="00A77B3E" w:rsidRDefault="0086720B">
      <w:pPr>
        <w:keepLines/>
        <w:spacing w:before="120" w:after="120"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- maksimum 4,5 m,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geometria dachów – dwuspadowe lub wielospadowe o jednakowym kącie nachylenia połaci dachowych do 45° lub dachy płaskie;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dopuszczenie, o którym mowa w pkt 2 nie dotyczy budynków oraz części budynków położonych w granicach korytarza ekologicznego, wskazanego na rysunku planu jako zasięg morfologiczny doliny rzeki Bałutki.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18. 1. </w:t>
      </w:r>
      <w:r>
        <w:rPr>
          <w:color w:val="000000"/>
          <w:u w:color="000000"/>
        </w:rPr>
        <w:t xml:space="preserve">Dla terenów </w:t>
      </w:r>
      <w:r>
        <w:rPr>
          <w:b/>
          <w:color w:val="000000"/>
          <w:u w:color="000000"/>
        </w:rPr>
        <w:t>1WS</w:t>
      </w:r>
      <w:r>
        <w:rPr>
          <w:color w:val="000000"/>
          <w:u w:color="000000"/>
        </w:rPr>
        <w:t xml:space="preserve"> i </w:t>
      </w:r>
      <w:r>
        <w:rPr>
          <w:b/>
          <w:color w:val="000000"/>
          <w:u w:color="000000"/>
        </w:rPr>
        <w:t>2WS</w:t>
      </w:r>
      <w:r>
        <w:rPr>
          <w:color w:val="000000"/>
          <w:u w:color="000000"/>
        </w:rPr>
        <w:t xml:space="preserve"> obowiązują ustalenia za</w:t>
      </w:r>
      <w:r>
        <w:rPr>
          <w:color w:val="000000"/>
          <w:u w:color="000000"/>
        </w:rPr>
        <w:t>warte w kolejnych ustępach niniejszego paragrafu.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wód powierzchniowych śródlądowych;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teren infrastruktury technicznej – z wykluczeniem teren</w:t>
      </w:r>
      <w:r>
        <w:rPr>
          <w:color w:val="000000"/>
          <w:u w:color="000000"/>
        </w:rPr>
        <w:t>ów: magazynu gazu, obsługi produktów naftowych i gospodarowania odpadami.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zagospodarowania terenu oraz zasad ochrony i kształtowania ładu przestrzennego ustala się dopuszczenie lokalizacji urządzeń wodnych i obiektów mostowych na zas</w:t>
      </w:r>
      <w:r>
        <w:rPr>
          <w:color w:val="000000"/>
          <w:u w:color="000000"/>
        </w:rPr>
        <w:t>adach określonych w przepisach odrębnych dotyczących prawa wodnego.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19. 1. </w:t>
      </w:r>
      <w:r>
        <w:rPr>
          <w:color w:val="000000"/>
          <w:u w:color="000000"/>
        </w:rPr>
        <w:t xml:space="preserve">Dla terenu </w:t>
      </w:r>
      <w:r>
        <w:rPr>
          <w:b/>
          <w:color w:val="000000"/>
          <w:u w:color="000000"/>
        </w:rPr>
        <w:t xml:space="preserve">1KK </w:t>
      </w:r>
      <w:r>
        <w:rPr>
          <w:color w:val="000000"/>
          <w:u w:color="000000"/>
        </w:rPr>
        <w:t>obowiązują ustalenia zawarte w kolejnych ustępach niniejszego paragrafu.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komunika</w:t>
      </w:r>
      <w:r>
        <w:rPr>
          <w:color w:val="000000"/>
          <w:u w:color="000000"/>
        </w:rPr>
        <w:t>cji kolejowej i szynowej;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teren infrastruktury technicznej – z wykluczeniem terenów: magazynu gazu, obsługi produktów naftowych i gospodarowania odpadami.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</w:t>
      </w:r>
      <w:r>
        <w:rPr>
          <w:color w:val="000000"/>
          <w:u w:color="000000"/>
        </w:rPr>
        <w:t xml:space="preserve"> ochrony i kształtowania ładu przestrzennego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wskaźnik powierzchni zabudowy – maksimum 30%,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intensywność zabudowy kondygnacji nadziemnych – minimum 0,01, maksimum 0,6,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wskaźnik powierzchni biologicz</w:t>
      </w:r>
      <w:r>
        <w:rPr>
          <w:color w:val="000000"/>
          <w:u w:color="000000"/>
        </w:rPr>
        <w:t>nie czynnej – minimum 20%;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 dla budynków – maksimum 10 m,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geometria dachów – dachy płaskie z dopuszczeniem innych form wynikających z technologii lub funkcji budynków;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zasady kształtowania </w:t>
      </w:r>
      <w:r>
        <w:rPr>
          <w:color w:val="000000"/>
          <w:u w:color="000000"/>
        </w:rPr>
        <w:t>zabudowy oraz lokalizacji obiektów i funkcji – lokalizacja zabudowy w nieprzekraczalnych liniach zabudowy, które pokrywają się z liniami rozgraniczającymi terenu 1KK.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i podziału nieruchomości ustala się</w:t>
      </w:r>
      <w:r>
        <w:rPr>
          <w:color w:val="000000"/>
          <w:u w:color="000000"/>
        </w:rPr>
        <w:t>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wielkość działki – minimum 5000 m²;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szerokość frontu działki – minimum 30 m;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od 75° do 90°.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20. 1. </w:t>
      </w:r>
      <w:r>
        <w:rPr>
          <w:color w:val="000000"/>
          <w:u w:color="000000"/>
        </w:rPr>
        <w:t xml:space="preserve">Dla terenu </w:t>
      </w:r>
      <w:r>
        <w:rPr>
          <w:b/>
          <w:color w:val="000000"/>
          <w:u w:color="000000"/>
        </w:rPr>
        <w:t xml:space="preserve">1KK-WS </w:t>
      </w:r>
      <w:r>
        <w:rPr>
          <w:color w:val="000000"/>
          <w:u w:color="000000"/>
        </w:rPr>
        <w:t xml:space="preserve">obowiązują ustalenia zawarte w kolejnych ustępach niniejszego </w:t>
      </w:r>
      <w:r>
        <w:rPr>
          <w:color w:val="000000"/>
          <w:u w:color="000000"/>
        </w:rPr>
        <w:t>paragrafu.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komunikacji kolejowej i szynowej lub wód powierzchniowych śródlądowych;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teren infrastruktury technicznej – z wykluczeniem terenów</w:t>
      </w:r>
      <w:r>
        <w:rPr>
          <w:color w:val="000000"/>
          <w:u w:color="000000"/>
        </w:rPr>
        <w:t>: magazynu gazu, obsługi produktów naftowych i gospodarowania odpadami.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dopuszczenie lokalizacji </w:t>
      </w:r>
      <w:r>
        <w:rPr>
          <w:color w:val="000000"/>
          <w:u w:color="000000"/>
        </w:rPr>
        <w:t>urządzeń wodnych i obiektów mostowych na zasadach określonych w przepisach odrębnych dotyczących prawa wodnego.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21. 1. </w:t>
      </w:r>
      <w:r>
        <w:rPr>
          <w:color w:val="000000"/>
          <w:u w:color="000000"/>
        </w:rPr>
        <w:t xml:space="preserve">Dla terenów </w:t>
      </w:r>
      <w:r>
        <w:rPr>
          <w:b/>
          <w:color w:val="000000"/>
          <w:u w:color="000000"/>
        </w:rPr>
        <w:t xml:space="preserve">1KDG i 2KDG </w:t>
      </w:r>
      <w:r>
        <w:rPr>
          <w:color w:val="000000"/>
          <w:u w:color="000000"/>
        </w:rPr>
        <w:t>obowiązują ustalenia zawarte w kolejnych ustępach niniejszego paragrafu.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</w:t>
      </w:r>
      <w:r>
        <w:rPr>
          <w:color w:val="000000"/>
          <w:u w:color="000000"/>
        </w:rPr>
        <w:t>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drogi głównej;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teren infrastruktury technicznej – z wykluczeniem terenów: magazynu gazu, obsługi produktów naftowych i gospodarowania odpadami.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</w:t>
      </w:r>
      <w:r>
        <w:rPr>
          <w:color w:val="000000"/>
          <w:u w:color="000000"/>
        </w:rPr>
        <w:t>w funkcjonalno-technicznych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1KDG: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G – główna;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zmienną od 32,0 m do 51,2 m, zgodnie z rysunkiem planu;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2KDG: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klasę G – główna;</w:t>
      </w:r>
    </w:p>
    <w:p w:rsidR="00A77B3E" w:rsidRDefault="0086720B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</w:t>
      </w:r>
      <w:r>
        <w:rPr>
          <w:color w:val="000000"/>
          <w:u w:color="000000"/>
        </w:rPr>
        <w:t>ych zmienną od 0,0 m do 59,8 m, zgodnie z rysunkiem planu.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Podane szerokości w liniach rozgraniczających nie obejmują lokalnych poszerzeń na łukach i w rejonie skrzyżowań, zgodnie z rysunkiem planu.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22. 1. </w:t>
      </w:r>
      <w:r>
        <w:rPr>
          <w:color w:val="000000"/>
          <w:u w:color="000000"/>
        </w:rPr>
        <w:t xml:space="preserve">Dla terenu </w:t>
      </w:r>
      <w:r>
        <w:rPr>
          <w:b/>
          <w:color w:val="000000"/>
          <w:u w:color="000000"/>
        </w:rPr>
        <w:t xml:space="preserve">1KDG-KK </w:t>
      </w:r>
      <w:r>
        <w:rPr>
          <w:color w:val="000000"/>
          <w:u w:color="000000"/>
        </w:rPr>
        <w:t xml:space="preserve">obowiązują ustalenia </w:t>
      </w:r>
      <w:r>
        <w:rPr>
          <w:color w:val="000000"/>
          <w:u w:color="000000"/>
        </w:rPr>
        <w:t>zawarte w kolejnych ustępach niniejszego paragrafu.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drogi głównej lub komunikacji kolejowej i szynowej;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teren infrastruktury technicznej – z</w:t>
      </w:r>
      <w:r>
        <w:rPr>
          <w:color w:val="000000"/>
          <w:u w:color="000000"/>
        </w:rPr>
        <w:t> wykluczeniem terenów: magazynu gazu, obsługi produktów naftowych i gospodarowania odpadami.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 – zakaz lokalizacji budynków.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4. </w:t>
      </w:r>
      <w:r>
        <w:rPr>
          <w:color w:val="000000"/>
          <w:u w:color="000000"/>
        </w:rPr>
        <w:t>W zakr</w:t>
      </w:r>
      <w:r>
        <w:rPr>
          <w:color w:val="000000"/>
          <w:u w:color="000000"/>
        </w:rPr>
        <w:t>esie warunków i parametrów funkcjonalno-technicznych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klasę G – główna;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w liniach rozgraniczających zmienną od 40,0 m do 59,1 m, zgodnie z rysunkiem planu.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Podane szerokości w liniach rozgraniczających nie obejmują lokalnych p</w:t>
      </w:r>
      <w:r>
        <w:rPr>
          <w:color w:val="000000"/>
          <w:u w:color="000000"/>
        </w:rPr>
        <w:t>oszerzeń na łukach i w rejonie skrzyżowań, zgodnie z rysunkiem planu.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23. 1. </w:t>
      </w:r>
      <w:r>
        <w:rPr>
          <w:color w:val="000000"/>
          <w:u w:color="000000"/>
        </w:rPr>
        <w:t xml:space="preserve">Dla terenu </w:t>
      </w:r>
      <w:r>
        <w:rPr>
          <w:b/>
          <w:color w:val="000000"/>
          <w:u w:color="000000"/>
        </w:rPr>
        <w:t xml:space="preserve">1KDG-WS </w:t>
      </w:r>
      <w:r>
        <w:rPr>
          <w:color w:val="000000"/>
          <w:u w:color="000000"/>
        </w:rPr>
        <w:t>obowiązują ustalenia zawarte w kolejnych ustępach niniejszego paragrafu.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dr</w:t>
      </w:r>
      <w:r>
        <w:rPr>
          <w:color w:val="000000"/>
          <w:u w:color="000000"/>
        </w:rPr>
        <w:t>ogi głównej lub wód powierzchniowych śródlądowych;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teren infrastruktury technicznej – z wykluczeniem terenów: magazynu gazu, obsługi produktów naftowych i gospodarowania odpadami.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</w:t>
      </w:r>
      <w:r>
        <w:rPr>
          <w:color w:val="000000"/>
          <w:u w:color="000000"/>
        </w:rPr>
        <w:t>rowania terenu oraz zasad ochrony i kształtowania ładu przestrzennego ustala się dopuszczenie lokalizacji urządzeń wodnych i obiektów mostowych na zasadach określonych w przepisach odrębnych dotyczących prawa wodnego.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warunków i parametrów fu</w:t>
      </w:r>
      <w:r>
        <w:rPr>
          <w:color w:val="000000"/>
          <w:u w:color="000000"/>
        </w:rPr>
        <w:t>nkcjonalno-technicznych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klasę G – główna;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w liniach rozgraniczających zmienną od 0,0 m do 52,5 m, zgodnie z rysunkiem planu.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Podane szerokości w liniach rozgraniczających nie obejmują lokalnych poszerzeń na łukach i w rejonie</w:t>
      </w:r>
      <w:r>
        <w:rPr>
          <w:color w:val="000000"/>
          <w:u w:color="000000"/>
        </w:rPr>
        <w:t xml:space="preserve"> skrzyżowań, zgodnie z rysunkiem planu.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24. 1. </w:t>
      </w:r>
      <w:r>
        <w:rPr>
          <w:color w:val="000000"/>
          <w:u w:color="000000"/>
        </w:rPr>
        <w:t xml:space="preserve">Dla terenu </w:t>
      </w:r>
      <w:r>
        <w:rPr>
          <w:b/>
          <w:color w:val="000000"/>
          <w:u w:color="000000"/>
        </w:rPr>
        <w:t xml:space="preserve">1KR </w:t>
      </w:r>
      <w:r>
        <w:rPr>
          <w:color w:val="000000"/>
          <w:u w:color="000000"/>
        </w:rPr>
        <w:t>obowiązują ustalenia zawarte w kolejnych ustępach niniejszego paragrafu.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komunikacji drogowej wewnętrznej;</w:t>
      </w:r>
    </w:p>
    <w:p w:rsidR="00A77B3E" w:rsidRDefault="0086720B">
      <w:pPr>
        <w:keepLines/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teren infrastruktury technicznej – z wykluczeniem terenów: magazynu gazu, obsługi produktów naftowych i gospodarowania odpadami.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funkcjonalno-technicznych ustala się szerokość w liniach r</w:t>
      </w:r>
      <w:r>
        <w:rPr>
          <w:color w:val="000000"/>
          <w:u w:color="000000"/>
        </w:rPr>
        <w:t>ozgraniczających zmienną od 4,9 m do 8,0 m, zgodnie z rysunkiem planu.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Podane szerokości w liniach rozgraniczających nie obejmują lokalnych poszerzeń na łukach i w rejonie skrzyżowań, zgodnie z rysunkiem planu.</w:t>
      </w:r>
    </w:p>
    <w:p w:rsidR="00A77B3E" w:rsidRDefault="0086720B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25. </w:t>
      </w:r>
      <w:r>
        <w:rPr>
          <w:color w:val="000000"/>
          <w:u w:color="000000"/>
        </w:rPr>
        <w:t>Dane prz</w:t>
      </w:r>
      <w:r>
        <w:rPr>
          <w:color w:val="000000"/>
          <w:u w:color="000000"/>
        </w:rPr>
        <w:t>estrzenne dla planu w postaci dokumentu elektronicznego, o których mowa w art. 67a ust. 3 ustawy, stanowią załącznik Nr 4 do uchwały.</w:t>
      </w:r>
    </w:p>
    <w:p w:rsidR="00A77B3E" w:rsidRDefault="0086720B">
      <w:pPr>
        <w:keepLines/>
        <w:spacing w:before="120" w:after="120"/>
        <w:ind w:firstLine="567"/>
        <w:rPr>
          <w:color w:val="000000"/>
          <w:u w:color="000000"/>
        </w:rPr>
      </w:pPr>
      <w:r>
        <w:t>§ 26.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86720B">
      <w:pPr>
        <w:keepNext/>
        <w:keepLines/>
        <w:spacing w:before="120" w:after="120"/>
        <w:ind w:firstLine="567"/>
        <w:rPr>
          <w:color w:val="000000"/>
          <w:u w:color="000000"/>
        </w:rPr>
      </w:pPr>
      <w:r>
        <w:lastRenderedPageBreak/>
        <w:t>§ 27. </w:t>
      </w:r>
      <w:r>
        <w:rPr>
          <w:color w:val="000000"/>
          <w:u w:color="000000"/>
        </w:rPr>
        <w:t xml:space="preserve">Uchwała wchodzi w życie po upływie 14 dni od dnia </w:t>
      </w:r>
      <w:r>
        <w:rPr>
          <w:color w:val="000000"/>
          <w:u w:color="000000"/>
        </w:rPr>
        <w:t>jej ogłoszenia w Dzienniku Urzędowym Województwa Łódzkiego.</w:t>
      </w:r>
    </w:p>
    <w:p w:rsidR="00A77B3E" w:rsidRDefault="0086720B">
      <w:pPr>
        <w:keepNext/>
        <w:keepLines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p w:rsidR="00A77B3E" w:rsidRDefault="0086720B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1F3C6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3C6E" w:rsidRDefault="001F3C6E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3C6E" w:rsidRDefault="0086720B">
            <w:pPr>
              <w:keepNext/>
              <w:keepLines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86720B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86720B">
      <w:pPr>
        <w:spacing w:before="120" w:after="120"/>
        <w:rPr>
          <w:color w:val="000000"/>
          <w:u w:color="000000"/>
        </w:rPr>
        <w:sectPr w:rsidR="00A77B3E">
          <w:footerReference w:type="default" r:id="rId7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:rsidR="00A77B3E" w:rsidRDefault="0086720B">
      <w:pPr>
        <w:keepNext/>
        <w:spacing w:before="240" w:after="24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   </w:t>
      </w:r>
    </w:p>
    <w:p w:rsidR="00A77B3E" w:rsidRDefault="0086720B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Rysunek miejscowego planu zagospodarowania przestrzennego dla części obszaru miasta Łodzi położonej w rejonie doliny rzeki Bałutki, ulic Inowrocławsk</w:t>
      </w:r>
      <w:r>
        <w:rPr>
          <w:b/>
          <w:color w:val="000000"/>
          <w:u w:color="000000"/>
        </w:rPr>
        <w:t>iej i Omłotowej oraz terenów kolejowych.</w:t>
      </w:r>
    </w:p>
    <w:p w:rsidR="00A77B3E" w:rsidRDefault="0086720B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68230" cy="4282911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8230" cy="428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6720B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3258" cy="8565642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3258" cy="856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6720B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4095" cy="8588502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4095" cy="858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6720B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1813" cy="8606708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813" cy="860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6720B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2473" cy="8586085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473" cy="858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6720B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2561" cy="8586216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561" cy="858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6720B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2561" cy="8586216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2561" cy="858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6720B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1813" cy="8606708"/>
            <wp:effectExtent l="0" t="0" r="0" b="0"/>
            <wp:docPr id="100015" name="Obraz 10001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1813" cy="860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6720B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2561" cy="8586216"/>
            <wp:effectExtent l="0" t="0" r="0" b="0"/>
            <wp:docPr id="100017" name="Obraz 10001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2561" cy="858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86720B">
      <w:pPr>
        <w:spacing w:before="120" w:after="12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4707288" cy="7808214"/>
            <wp:effectExtent l="0" t="0" r="0" b="0"/>
            <wp:docPr id="100019" name="Obraz 10001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7288" cy="780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spacing w:before="120" w:after="120"/>
        <w:jc w:val="left"/>
        <w:rPr>
          <w:color w:val="000000"/>
          <w:u w:color="000000"/>
        </w:rPr>
        <w:sectPr w:rsidR="00A77B3E">
          <w:footerReference w:type="default" r:id="rId28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86720B">
      <w:pPr>
        <w:keepNext/>
        <w:spacing w:before="240" w:after="24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</w:t>
      </w:r>
    </w:p>
    <w:p w:rsidR="00A77B3E" w:rsidRDefault="0086720B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rozpatrzenia uwag do projektu planu </w:t>
      </w:r>
      <w:r>
        <w:rPr>
          <w:b/>
          <w:color w:val="000000"/>
          <w:u w:color="000000"/>
        </w:rPr>
        <w:t>wniesionych w związku z wyłożeniem do publicznego wglądu.</w:t>
      </w:r>
    </w:p>
    <w:p w:rsidR="00A77B3E" w:rsidRDefault="0086720B">
      <w:pPr>
        <w:keepNext/>
        <w:keepLines/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 xml:space="preserve"> Projekt miejscowego planu zagospodarowania przestrzennego dla części obszaru miasta Łodzi położonej w rejonie doliny rzeki Bałutki, ulic Inowrocławskiej i Omłotowej oraz terenów kolejowych został </w:t>
      </w:r>
      <w:r>
        <w:rPr>
          <w:color w:val="000000"/>
          <w:u w:color="000000"/>
        </w:rPr>
        <w:t>wyłożony do publicznego wglądu w okresie od 20 lutego 2024 r. do 13 marca 2024 r. W terminie wyznaczonym do wnoszenia uwag dotyczących projektu planu tj. do dnia 27 marca 2024 r. nie wpłynęła żadna uwaga.</w:t>
      </w:r>
    </w:p>
    <w:p w:rsidR="00A77B3E" w:rsidRDefault="00A77B3E">
      <w:pPr>
        <w:keepNext/>
        <w:keepLines/>
        <w:spacing w:before="120" w:after="120"/>
        <w:rPr>
          <w:color w:val="000000"/>
          <w:u w:color="000000"/>
        </w:rPr>
      </w:pPr>
    </w:p>
    <w:p w:rsidR="00A77B3E" w:rsidRDefault="0086720B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1F3C6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3C6E" w:rsidRDefault="001F3C6E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3C6E" w:rsidRDefault="0086720B">
            <w:pPr>
              <w:keepNext/>
              <w:keepLines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</w:t>
            </w:r>
            <w:r>
              <w:rPr>
                <w:b/>
              </w:rPr>
              <w:t>GOŁASZEWSKI</w:t>
            </w:r>
          </w:p>
        </w:tc>
      </w:tr>
    </w:tbl>
    <w:p w:rsidR="00A77B3E" w:rsidRDefault="00A77B3E">
      <w:pPr>
        <w:keepNext/>
        <w:rPr>
          <w:color w:val="000000"/>
          <w:u w:color="000000"/>
        </w:rPr>
        <w:sectPr w:rsidR="00A77B3E">
          <w:footerReference w:type="default" r:id="rId29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86720B">
      <w:pPr>
        <w:keepNext/>
        <w:spacing w:before="240" w:after="240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 </w:t>
      </w:r>
    </w:p>
    <w:p w:rsidR="00A77B3E" w:rsidRDefault="0086720B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realizacji, zapisanych w planie inwestycji z zakresu infrastruktury technicznej, które należą </w:t>
      </w:r>
      <w:r>
        <w:rPr>
          <w:b/>
          <w:color w:val="000000"/>
          <w:u w:color="000000"/>
        </w:rPr>
        <w:t>do zadań własnych gminy oraz zasadach ich finansowania, zgodnie z przepisami o finansach publicznych.</w:t>
      </w:r>
    </w:p>
    <w:p w:rsidR="00A77B3E" w:rsidRDefault="0086720B">
      <w:pPr>
        <w:spacing w:before="120" w:after="120"/>
        <w:rPr>
          <w:color w:val="000000"/>
          <w:u w:color="000000"/>
        </w:rPr>
      </w:pPr>
      <w:r>
        <w:rPr>
          <w:color w:val="000000"/>
          <w:u w:color="000000"/>
        </w:rPr>
        <w:t>Do zadań z zakresu infrastruktury technicznej będących zadaniami własnymi gminy w planie należy:</w:t>
      </w:r>
    </w:p>
    <w:p w:rsidR="00A77B3E" w:rsidRDefault="0086720B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wydzielenie i wykup nieruchomości pod realizację inwest</w:t>
      </w:r>
      <w:r>
        <w:rPr>
          <w:color w:val="000000"/>
          <w:u w:color="000000"/>
        </w:rPr>
        <w:t>ycji celu publicznego,</w:t>
      </w:r>
    </w:p>
    <w:p w:rsidR="00A77B3E" w:rsidRDefault="0086720B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uzbrojenie terenu w sieć kanalizacji deszczowej i sieci wodociągowej,</w:t>
      </w:r>
    </w:p>
    <w:p w:rsidR="00A77B3E" w:rsidRDefault="0086720B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uzbrojenie terenu w sieć oświetlenia ulicznego,</w:t>
      </w:r>
    </w:p>
    <w:p w:rsidR="00A77B3E" w:rsidRDefault="0086720B">
      <w:pPr>
        <w:keepLines/>
        <w:spacing w:before="120" w:after="120"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budowa nowych dróg, dróg rowerowych i chodników.</w:t>
      </w:r>
    </w:p>
    <w:p w:rsidR="00A77B3E" w:rsidRDefault="0086720B">
      <w:pPr>
        <w:spacing w:before="120" w:after="120"/>
        <w:ind w:left="227"/>
        <w:rPr>
          <w:color w:val="000000"/>
          <w:u w:color="000000"/>
        </w:rPr>
      </w:pPr>
      <w:r>
        <w:rPr>
          <w:color w:val="000000"/>
          <w:u w:color="000000"/>
        </w:rPr>
        <w:t xml:space="preserve">Powyższe zadania będą umieszczone w programach rozwoju </w:t>
      </w:r>
      <w:r>
        <w:rPr>
          <w:color w:val="000000"/>
          <w:u w:color="000000"/>
        </w:rPr>
        <w:t>poszczególnych elementów zagospodarowania, a następnie w zadaniach rzeczowych budżetu gminy objętych wieloletnią prognozą finansową.</w:t>
      </w:r>
    </w:p>
    <w:p w:rsidR="00A77B3E" w:rsidRDefault="0086720B">
      <w:pPr>
        <w:keepNext/>
        <w:spacing w:before="120" w:after="120"/>
        <w:ind w:left="227"/>
        <w:rPr>
          <w:color w:val="000000"/>
          <w:u w:color="000000"/>
        </w:rPr>
      </w:pPr>
      <w:r>
        <w:rPr>
          <w:color w:val="000000"/>
          <w:u w:color="000000"/>
        </w:rPr>
        <w:t xml:space="preserve">Finansowanie będzie odbywało się w oparciu o budżet gminy, z wykorzystaniem funduszy strukturalnych Unii Europejskiej oraz </w:t>
      </w:r>
      <w:r>
        <w:rPr>
          <w:color w:val="000000"/>
          <w:u w:color="000000"/>
        </w:rPr>
        <w:t>środków Funduszu Ochrony Środowiska, a także innych możliwych do pozyskania środków zewnętrznych.</w:t>
      </w:r>
    </w:p>
    <w:p w:rsidR="00A77B3E" w:rsidRDefault="0086720B">
      <w:pPr>
        <w:keepNext/>
        <w:keepLines/>
        <w:spacing w:before="120" w:after="120"/>
        <w:ind w:left="227"/>
        <w:rPr>
          <w:color w:val="000000"/>
          <w:u w:color="000000"/>
        </w:rPr>
      </w:pPr>
      <w:r>
        <w:rPr>
          <w:color w:val="000000"/>
          <w:u w:color="000000"/>
        </w:rPr>
        <w:t>  </w:t>
      </w:r>
    </w:p>
    <w:p w:rsidR="00A77B3E" w:rsidRDefault="0086720B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1F3C6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3C6E" w:rsidRDefault="001F3C6E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F3C6E" w:rsidRDefault="0086720B">
            <w:pPr>
              <w:keepNext/>
              <w:keepLines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Marcin GOŁASZEWSKI</w:t>
            </w:r>
          </w:p>
        </w:tc>
      </w:tr>
    </w:tbl>
    <w:p w:rsidR="00A77B3E" w:rsidRDefault="00A77B3E">
      <w:pPr>
        <w:keepNext/>
        <w:rPr>
          <w:color w:val="000000"/>
          <w:u w:color="000000"/>
        </w:rPr>
        <w:sectPr w:rsidR="00A77B3E">
          <w:footerReference w:type="default" r:id="rId30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A77B3E" w:rsidRDefault="0086720B">
      <w:pPr>
        <w:keepNext/>
        <w:spacing w:after="16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....................</w:t>
      </w:r>
      <w:r>
        <w:rPr>
          <w:color w:val="000000"/>
          <w:u w:color="000000"/>
        </w:rPr>
        <w:br/>
      </w:r>
      <w:r>
        <w:t>Rady Miejskiej w Łodzi</w:t>
      </w:r>
      <w:r>
        <w:rPr>
          <w:color w:val="000000"/>
          <w:u w:color="000000"/>
        </w:rPr>
        <w:br/>
      </w:r>
      <w:r>
        <w:t>z dnia .................... .... r.</w:t>
      </w:r>
      <w:r>
        <w:rPr>
          <w:color w:val="000000"/>
          <w:u w:color="000000"/>
        </w:rPr>
        <w:br/>
      </w:r>
      <w:hyperlink r:id="rId31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:rsidR="00A77B3E" w:rsidRDefault="0086720B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32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 dla planu w postaci dokumentu elektronicznego, o których mowa w art. 67a ust. 3 ustawy.</w:t>
      </w:r>
    </w:p>
    <w:p w:rsidR="001F3C6E" w:rsidRDefault="0086720B">
      <w:pPr>
        <w:jc w:val="center"/>
        <w:rPr>
          <w:b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shd w:val="clear" w:color="auto" w:fill="FFFFFF"/>
        </w:rPr>
        <w:lastRenderedPageBreak/>
        <w:t xml:space="preserve"> </w:t>
      </w:r>
      <w:r>
        <w:rPr>
          <w:b/>
          <w:color w:val="000000"/>
          <w:szCs w:val="20"/>
          <w:shd w:val="clear" w:color="auto" w:fill="FFFFFF"/>
          <w:lang w:val="x-none" w:eastAsia="en-US" w:bidi="ar-SA"/>
        </w:rPr>
        <w:t>UZASADNIENIE</w:t>
      </w:r>
    </w:p>
    <w:p w:rsidR="001F3C6E" w:rsidRDefault="0086720B">
      <w:pPr>
        <w:keepNext/>
        <w:spacing w:before="100"/>
        <w:jc w:val="center"/>
        <w:rPr>
          <w:b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shd w:val="clear" w:color="auto" w:fill="FFFFFF"/>
          <w:lang w:val="x-none" w:eastAsia="en-US" w:bidi="ar-SA"/>
        </w:rPr>
        <w:t>do projektu uchwały w sprawie uchwalenia miejscowego planu zagospodarowania przestrzennego dla części obszaru miasta Łodzi położonej w rejonie doliny rzeki Bałutki, ulic Inowrocławskiej i Omłotowej oraz terenów kolejowych.</w:t>
      </w:r>
    </w:p>
    <w:p w:rsidR="001F3C6E" w:rsidRDefault="001F3C6E">
      <w:pPr>
        <w:jc w:val="center"/>
        <w:rPr>
          <w:b/>
          <w:strike/>
          <w:color w:val="000000"/>
          <w:szCs w:val="20"/>
          <w:shd w:val="clear" w:color="auto" w:fill="FFFFFF"/>
          <w:lang w:val="x-none" w:eastAsia="en-US" w:bidi="ar-SA"/>
        </w:rPr>
      </w:pPr>
    </w:p>
    <w:p w:rsidR="001F3C6E" w:rsidRDefault="001F3C6E">
      <w:pPr>
        <w:jc w:val="center"/>
        <w:rPr>
          <w:b/>
          <w:strike/>
          <w:color w:val="000000"/>
          <w:szCs w:val="20"/>
          <w:shd w:val="clear" w:color="auto" w:fill="FFFFFF"/>
          <w:lang w:val="x-none" w:eastAsia="en-US" w:bidi="ar-SA"/>
        </w:rPr>
      </w:pPr>
    </w:p>
    <w:p w:rsidR="001F3C6E" w:rsidRDefault="0086720B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Zgodnie z podjętą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uchwałą Nr LX/1818/22 Rady Miejskiej w Łodzi z dnia 1 czerwca 2022 r. przystąpiono do sporządzenia miejscowego planu zagospodarowania przestrzennego dla części obszaru miasta Łodzi położonej w rejonie doliny rzeki Bałutki, ulic Inowrocławskiej i Omłotowej </w:t>
      </w:r>
      <w:r>
        <w:rPr>
          <w:color w:val="000000"/>
          <w:szCs w:val="20"/>
          <w:shd w:val="clear" w:color="auto" w:fill="FFFFFF"/>
          <w:lang w:val="x-none" w:eastAsia="en-US" w:bidi="ar-SA"/>
        </w:rPr>
        <w:t>oraz terenów kolejowych.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Obszar objęty projektem planu miejscowego o powierzchni ok. 17 ha położony jest w zachodniej części miasta, na terenie osiedla Zdrowie. Obejmuje on w dużej części tereny obecnie niezagospodarowane, w znacznym stopniu zadrzewione. W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schodni fragment obszaru został objęty inwestycją kolejową polegającą na </w:t>
      </w:r>
      <w:r>
        <w:rPr>
          <w:color w:val="000000"/>
          <w:szCs w:val="20"/>
          <w:shd w:val="clear" w:color="auto" w:fill="FFFFFF"/>
          <w:lang w:val="x-none" w:eastAsia="en-US" w:bidi="ar-SA"/>
        </w:rPr>
        <w:t>„Udrożnieniu Łódzkiego Węzła Kolejowego</w:t>
      </w:r>
      <w:r>
        <w:rPr>
          <w:color w:val="000000"/>
          <w:szCs w:val="20"/>
          <w:shd w:val="clear" w:color="auto" w:fill="FFFFFF"/>
        </w:rPr>
        <w:t xml:space="preserve"> (TEN-T), </w:t>
      </w:r>
      <w:r>
        <w:rPr>
          <w:color w:val="000000"/>
          <w:szCs w:val="20"/>
          <w:shd w:val="clear" w:color="auto" w:fill="FFFFFF"/>
          <w:lang w:val="x-none" w:eastAsia="en-US" w:bidi="ar-SA"/>
        </w:rPr>
        <w:t>etap II, odcinek Łódź-Fabryczna – Łódź Kaliska/Łódź Żabieniec”. W północnej części natomiast, przy rzece Bałutka, zlokalizowane są ogr</w:t>
      </w:r>
      <w:r>
        <w:rPr>
          <w:color w:val="000000"/>
          <w:szCs w:val="20"/>
          <w:shd w:val="clear" w:color="auto" w:fill="FFFFFF"/>
          <w:lang w:val="x-none" w:eastAsia="en-US" w:bidi="ar-SA"/>
        </w:rPr>
        <w:t>ody działkowe.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Granice obszaru objętego planem miejscowym wyznaczają:</w:t>
      </w:r>
    </w:p>
    <w:p w:rsidR="001F3C6E" w:rsidRDefault="0086720B">
      <w:pPr>
        <w:numPr>
          <w:ilvl w:val="2"/>
          <w:numId w:val="1"/>
        </w:numPr>
        <w:spacing w:before="60" w:after="60"/>
        <w:ind w:left="284" w:hanging="255"/>
        <w:rPr>
          <w:szCs w:val="20"/>
          <w:lang w:val="en-US" w:eastAsia="en-US" w:bidi="en-US"/>
        </w:rPr>
      </w:pPr>
      <w:r>
        <w:rPr>
          <w:szCs w:val="20"/>
          <w:lang w:val="en-US" w:eastAsia="en-US" w:bidi="en-US"/>
        </w:rPr>
        <w:t>od północy – rzeka Bałutka,</w:t>
      </w:r>
    </w:p>
    <w:p w:rsidR="001F3C6E" w:rsidRDefault="0086720B">
      <w:pPr>
        <w:numPr>
          <w:ilvl w:val="2"/>
          <w:numId w:val="1"/>
        </w:numPr>
        <w:spacing w:before="60" w:after="60"/>
        <w:ind w:left="284" w:hanging="255"/>
        <w:rPr>
          <w:szCs w:val="20"/>
          <w:lang w:val="en-US" w:eastAsia="en-US" w:bidi="en-US"/>
        </w:rPr>
      </w:pPr>
      <w:r>
        <w:rPr>
          <w:szCs w:val="20"/>
          <w:lang w:val="en-US" w:eastAsia="en-US" w:bidi="en-US"/>
        </w:rPr>
        <w:t>od wschodu – linia kolejowa nr 15, Bednary – Łódź Kaliska,</w:t>
      </w:r>
    </w:p>
    <w:p w:rsidR="001F3C6E" w:rsidRDefault="0086720B">
      <w:pPr>
        <w:numPr>
          <w:ilvl w:val="2"/>
          <w:numId w:val="1"/>
        </w:numPr>
        <w:spacing w:before="60" w:after="60"/>
        <w:ind w:left="284" w:hanging="255"/>
        <w:rPr>
          <w:szCs w:val="20"/>
          <w:lang w:val="en-US" w:eastAsia="en-US" w:bidi="en-US"/>
        </w:rPr>
      </w:pPr>
      <w:r>
        <w:rPr>
          <w:szCs w:val="20"/>
          <w:lang w:val="en-US" w:eastAsia="en-US" w:bidi="en-US"/>
        </w:rPr>
        <w:t>od południa – granica jednostki funkcjonalno-przestrzennej oznaczonej symbolem Z –</w:t>
      </w:r>
      <w:r>
        <w:rPr>
          <w:i/>
          <w:szCs w:val="20"/>
          <w:u w:color="000000"/>
          <w:lang w:val="en-US" w:eastAsia="en-US" w:bidi="en-US"/>
        </w:rPr>
        <w:t>tereny zieleni ur</w:t>
      </w:r>
      <w:r>
        <w:rPr>
          <w:i/>
          <w:szCs w:val="20"/>
          <w:u w:color="000000"/>
          <w:lang w:val="en-US" w:eastAsia="en-US" w:bidi="en-US"/>
        </w:rPr>
        <w:t xml:space="preserve">ządzonej o powierzchni minimum 3 ha i dolin rzecznych w strefie zurbanizowanej </w:t>
      </w:r>
      <w:r>
        <w:rPr>
          <w:szCs w:val="20"/>
          <w:u w:color="000000"/>
          <w:lang w:val="en-US" w:eastAsia="en-US" w:bidi="en-US"/>
        </w:rPr>
        <w:t>oraz oznaczonej symbolem RW</w:t>
      </w:r>
      <w:r>
        <w:rPr>
          <w:i/>
          <w:szCs w:val="20"/>
          <w:u w:color="000000"/>
          <w:lang w:val="en-US" w:eastAsia="en-US" w:bidi="en-US"/>
        </w:rPr>
        <w:t xml:space="preserve"> – tereny rekreacyjno-wypoczynkowe</w:t>
      </w:r>
      <w:r>
        <w:rPr>
          <w:szCs w:val="20"/>
          <w:u w:color="000000"/>
          <w:lang w:val="en-US" w:eastAsia="en-US" w:bidi="en-US"/>
        </w:rPr>
        <w:t>, a także projektowana droga główna, wyznaczone w obowiązującym Studium uwarunkowań i kierunków zagospodarowania prz</w:t>
      </w:r>
      <w:r>
        <w:rPr>
          <w:szCs w:val="20"/>
          <w:u w:color="000000"/>
          <w:lang w:val="en-US" w:eastAsia="en-US" w:bidi="en-US"/>
        </w:rPr>
        <w:t>estrzennego miasta Łodzi,</w:t>
      </w:r>
    </w:p>
    <w:p w:rsidR="001F3C6E" w:rsidRDefault="0086720B">
      <w:pPr>
        <w:numPr>
          <w:ilvl w:val="2"/>
          <w:numId w:val="1"/>
        </w:numPr>
        <w:spacing w:before="60" w:after="60"/>
        <w:ind w:left="284" w:hanging="255"/>
        <w:rPr>
          <w:szCs w:val="20"/>
          <w:lang w:val="en-US" w:eastAsia="en-US" w:bidi="en-US"/>
        </w:rPr>
      </w:pPr>
      <w:r>
        <w:rPr>
          <w:szCs w:val="20"/>
          <w:lang w:val="en-US" w:eastAsia="en-US" w:bidi="en-US"/>
        </w:rPr>
        <w:t>od zachodu – rzeka Bałutka.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W wyniku realizacji ww. uchwały został opracowany projekt planu miejscowego wraz z prognozą oddziaływania na środowisko i prognozą skutków finansowych uchwalenia miejscowego planu zagospodarowania przes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trzennego.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Celem planu jest zabezpieczenie korytarza komunikacyjnego dla realizacji projektowanego przedłużenia ulicy Wojska Polskiego, zachowanie i ochrona terenów wspierających system ekologiczny miasta, ochrona walorów krajobrazowych doliny rzeki Bałutk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i oraz jej otoczenia, a także zapewnienie właściwych relacji przestrzennych i środowiskowych w sąsiedztwie inwestycji polegającej na budowie linii kolejowej, zgodnie z wymogami ładu przestrzennego oraz realizowaną polityką przestrzenną miasta określoną w o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bowiązującym Studium uwarunkowań i kierunków zagospodarowania przestrzennego miasta Łodzi uchwalonym uchwałą Nr LXIX/1753/18 Rady Miejskiej w Łodzi z dnia 28 marca 2018 r. w sprawie uchwalenia „Studium uwarunkowań i kierunków zagospodarowania przestrzenneg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o miasta Łodzi”, zmienioną uchwałami Rady Miejskiej w Łodzi Nr VI/215/19 z dnia 6 marca 2019 r. i Nr LII/1605/21 z dnia 22 grudnia 2021 r.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W obowiązującym Studium obszar objęty projektem planu miejscowego znajduje się w następujących jednostkach funkcjonal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no-przestrzennych:</w:t>
      </w:r>
    </w:p>
    <w:p w:rsidR="001F3C6E" w:rsidRDefault="0086720B">
      <w:pPr>
        <w:numPr>
          <w:ilvl w:val="0"/>
          <w:numId w:val="2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  <w:lang w:val="x-none" w:eastAsia="en-US" w:bidi="ar-SA"/>
        </w:rPr>
        <w:t>D – tereny ogrodów działkowych, wskazane wzdłuż doliny rzeki Bałutki oraz przy ul. Inowrocławskiej,</w:t>
      </w:r>
    </w:p>
    <w:p w:rsidR="001F3C6E" w:rsidRDefault="0086720B">
      <w:pPr>
        <w:numPr>
          <w:ilvl w:val="0"/>
          <w:numId w:val="2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  <w:lang w:val="x-none" w:eastAsia="en-US" w:bidi="ar-SA"/>
        </w:rPr>
        <w:t xml:space="preserve">RW – tereny rekreacyjno-wypoczynkowe, wskazane w centralnej oraz wschodniej części obszaru opracowania, </w:t>
      </w:r>
    </w:p>
    <w:p w:rsidR="001F3C6E" w:rsidRDefault="0086720B">
      <w:pPr>
        <w:numPr>
          <w:ilvl w:val="0"/>
          <w:numId w:val="2"/>
        </w:numPr>
        <w:spacing w:before="120" w:after="120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  <w:lang w:val="x-none" w:eastAsia="en-US" w:bidi="ar-SA"/>
        </w:rPr>
        <w:lastRenderedPageBreak/>
        <w:t xml:space="preserve">Z – tereny zieleni urządzonej o </w:t>
      </w:r>
      <w:r>
        <w:rPr>
          <w:szCs w:val="20"/>
          <w:u w:color="000000"/>
          <w:lang w:val="x-none" w:eastAsia="en-US" w:bidi="ar-SA"/>
        </w:rPr>
        <w:t>powierzchni minimum 3ha i dolin rzecznych w strefie zurbanizowanej, wskazane po zachodniej stronie obszaru opracowania, wzdłuż doliny rzeki Bałutki.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Obowiązujący dokument Studium nie wyznacza na opracowywanym obszarze terenów zabudowy mieszkaniowej</w:t>
      </w:r>
      <w:r>
        <w:rPr>
          <w:color w:val="000000"/>
          <w:szCs w:val="20"/>
          <w:u w:color="000000"/>
          <w:shd w:val="clear" w:color="auto" w:fill="FFFFFF"/>
        </w:rPr>
        <w:t xml:space="preserve"> i usług</w:t>
      </w:r>
      <w:r>
        <w:rPr>
          <w:color w:val="000000"/>
          <w:szCs w:val="20"/>
          <w:u w:color="000000"/>
          <w:shd w:val="clear" w:color="auto" w:fill="FFFFFF"/>
        </w:rPr>
        <w:t>owej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, natomiast dopuszcza możliwość funkcjonowania istniejącej zabudowy w granicach istniejącego zagospodarowania. W związku z powyższym w projekcie miejscowego planu zagospodarowania przestrzennego dla istniejącej zabudowy mieszkaniowej jednorodzinnej </w:t>
      </w:r>
      <w:r>
        <w:rPr>
          <w:color w:val="000000"/>
          <w:szCs w:val="20"/>
          <w:u w:color="000000"/>
          <w:shd w:val="clear" w:color="auto" w:fill="FFFFFF"/>
        </w:rPr>
        <w:t xml:space="preserve">i usługowej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określone zostały możliwości i zasady prowadzenia robót budowlanych.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W zakresie układu komunikacyjnego Studium wyznacza tereny dróg, tj. projektowane przedłużenie ulicy „Wojska Polskiego” jako drogi klasy głównej, wskazując tę drogę jako przest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rzeń publiczną. Zgodnie z art. 10 ust. 3 ustawy z dnia 27 marca 2003 r. o planowaniu i zagospodarowaniu przestrzennym w przypadku obszarów przestrzeni publicznej obowiązkowe jest przystąpienie do sporządzenia miejscowego planu zagospodarowania przestrzenne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go. W projekcie planu miejscowego utrzymano klasę techniczną drogi głównej, </w:t>
      </w:r>
      <w:r>
        <w:rPr>
          <w:color w:val="000000"/>
          <w:szCs w:val="20"/>
          <w:u w:color="000000"/>
          <w:shd w:val="clear" w:color="auto" w:fill="FFFFFF"/>
        </w:rPr>
        <w:t>wyznaczając tereny: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1KDG</w:t>
      </w:r>
      <w:r>
        <w:rPr>
          <w:color w:val="000000"/>
          <w:szCs w:val="20"/>
          <w:u w:color="000000"/>
          <w:shd w:val="clear" w:color="auto" w:fill="FFFFFF"/>
        </w:rPr>
        <w:t>, 2KDG, 1KDG-KK i 1KDG-WS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oraz doprecyzowano linie rozgraniczające pasa drogowego.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Na obszarze, dla którego sporządzono niniejszy dokument, nie obowiązuje o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becnie miejscowy plan zagospodarowania przestrzennego, w związku z czym określanie sposobu zagospodarowania i warunków zabudowy terenu w ostatnich latach odbywało się w drodze decyzji o warunkach zabudowy i zagospodarowania terenu.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Przedmiotem projektu pla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nu dla części obszaru miasta Łodzi położonej w rejonie doliny rzeki Bałutki, ulic Inowrocławskiej i Omłotowej oraz terenów kolejowych jest ustalenie przeznaczenia i zagospodarowania terenów, określenie zasad ochrony i kształtowania ładu przestrzennego, zas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ad ochrony środowiska, wymagań wynikających z potrzeb kształtowania przestrzeni publicznych, określenie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szczególnych warunków zagospodarowania i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ograniczeń w użytkowaniu terenów, zasad modernizacji, rozbudowy i budowy systemów komunikacji oraz infrastruktu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ry technicznej oraz </w:t>
      </w:r>
      <w:r>
        <w:rPr>
          <w:color w:val="000000"/>
          <w:szCs w:val="20"/>
          <w:shd w:val="clear" w:color="auto" w:fill="FFFFFF"/>
          <w:lang w:val="x-none" w:eastAsia="en-US" w:bidi="ar-SA"/>
        </w:rPr>
        <w:t>granic terenów rozmieszczenia inwestycji celu publicznego o znaczeniu lokalnym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.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Projekt planu zgodnie ze Studium wyznacza:</w:t>
      </w:r>
    </w:p>
    <w:p w:rsidR="001F3C6E" w:rsidRDefault="0086720B">
      <w:pPr>
        <w:numPr>
          <w:ilvl w:val="0"/>
          <w:numId w:val="3"/>
        </w:numPr>
        <w:spacing w:before="120" w:after="120"/>
        <w:ind w:left="567" w:hanging="283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  <w:lang w:val="x-none" w:eastAsia="en-US" w:bidi="ar-SA"/>
        </w:rPr>
        <w:t>teren elektrowni słonecznej lub zieleni naturalnej</w:t>
      </w:r>
      <w:r>
        <w:rPr>
          <w:szCs w:val="20"/>
          <w:u w:color="000000"/>
        </w:rPr>
        <w:t xml:space="preserve"> </w:t>
      </w:r>
      <w:r>
        <w:rPr>
          <w:szCs w:val="20"/>
          <w:u w:color="000000"/>
          <w:lang w:val="x-none" w:eastAsia="en-US" w:bidi="ar-SA"/>
        </w:rPr>
        <w:t>1PEF-ZN, wyznaczony pomiędzy projektowanym przedłużeniem ulicy</w:t>
      </w:r>
      <w:r>
        <w:rPr>
          <w:szCs w:val="20"/>
          <w:u w:color="000000"/>
          <w:lang w:val="x-none" w:eastAsia="en-US" w:bidi="ar-SA"/>
        </w:rPr>
        <w:t xml:space="preserve"> „Wojska Polskiego”, ulicą Inowrocławską oraz terenem komunikacji kolejowej i szynowej,</w:t>
      </w:r>
    </w:p>
    <w:p w:rsidR="001F3C6E" w:rsidRDefault="0086720B">
      <w:pPr>
        <w:numPr>
          <w:ilvl w:val="0"/>
          <w:numId w:val="3"/>
        </w:numPr>
        <w:spacing w:before="120" w:after="120"/>
        <w:ind w:left="567" w:hanging="283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  <w:lang w:val="x-none" w:eastAsia="en-US" w:bidi="ar-SA"/>
        </w:rPr>
        <w:t>teren ogrodów działkowych</w:t>
      </w:r>
      <w:r>
        <w:rPr>
          <w:szCs w:val="20"/>
          <w:u w:color="000000"/>
        </w:rPr>
        <w:t xml:space="preserve"> </w:t>
      </w:r>
      <w:r>
        <w:rPr>
          <w:szCs w:val="20"/>
          <w:u w:color="000000"/>
          <w:lang w:val="x-none" w:eastAsia="en-US" w:bidi="ar-SA"/>
        </w:rPr>
        <w:t xml:space="preserve">1ZD, wyznaczony pomiędzy rzeką Bałutką, torami kolejowymi,  a </w:t>
      </w:r>
      <w:r>
        <w:rPr>
          <w:szCs w:val="20"/>
          <w:u w:color="000000"/>
          <w:shd w:val="clear" w:color="auto" w:fill="FFFFFF"/>
          <w:lang w:val="x-none" w:eastAsia="en-US" w:bidi="ar-SA"/>
        </w:rPr>
        <w:t>projektowanym przedłużeniem ulicy „Wojska Polskiego”</w:t>
      </w:r>
      <w:r>
        <w:rPr>
          <w:szCs w:val="20"/>
          <w:u w:color="000000"/>
          <w:lang w:val="x-none" w:eastAsia="en-US" w:bidi="ar-SA"/>
        </w:rPr>
        <w:t xml:space="preserve"> – stanowić będą one kontynu</w:t>
      </w:r>
      <w:r>
        <w:rPr>
          <w:szCs w:val="20"/>
          <w:u w:color="000000"/>
          <w:lang w:val="x-none" w:eastAsia="en-US" w:bidi="ar-SA"/>
        </w:rPr>
        <w:t>ację funkcji rekreacji indywidualnej, która obecnie znajduje się po północnej stronie rzeki Bałutki,</w:t>
      </w:r>
    </w:p>
    <w:p w:rsidR="001F3C6E" w:rsidRDefault="0086720B">
      <w:pPr>
        <w:numPr>
          <w:ilvl w:val="0"/>
          <w:numId w:val="3"/>
        </w:numPr>
        <w:spacing w:before="120" w:after="120"/>
        <w:ind w:left="567" w:hanging="283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  <w:lang w:val="x-none" w:eastAsia="en-US" w:bidi="ar-SA"/>
        </w:rPr>
        <w:t>teren zieleni naturalnej</w:t>
      </w:r>
      <w:r>
        <w:rPr>
          <w:szCs w:val="20"/>
          <w:u w:color="000000"/>
        </w:rPr>
        <w:t xml:space="preserve"> </w:t>
      </w:r>
      <w:r>
        <w:rPr>
          <w:szCs w:val="20"/>
          <w:u w:color="000000"/>
          <w:lang w:val="x-none" w:eastAsia="en-US" w:bidi="ar-SA"/>
        </w:rPr>
        <w:t>1ZN, wyznaczony pomiędzy projektowanym przedłużeniem ulicy „Wojska Polskiego”, południową granicą planu oraz rzeką Bałutką,</w:t>
      </w:r>
    </w:p>
    <w:p w:rsidR="001F3C6E" w:rsidRDefault="0086720B">
      <w:pPr>
        <w:numPr>
          <w:ilvl w:val="0"/>
          <w:numId w:val="3"/>
        </w:numPr>
        <w:spacing w:before="120" w:after="120"/>
        <w:ind w:left="567" w:hanging="283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  <w:lang w:val="x-none" w:eastAsia="en-US" w:bidi="ar-SA"/>
        </w:rPr>
        <w:t>tereny</w:t>
      </w:r>
      <w:r>
        <w:rPr>
          <w:szCs w:val="20"/>
          <w:u w:color="000000"/>
          <w:lang w:val="x-none" w:eastAsia="en-US" w:bidi="ar-SA"/>
        </w:rPr>
        <w:t xml:space="preserve"> wód powierzchniowych śródlądowych</w:t>
      </w:r>
      <w:r>
        <w:rPr>
          <w:szCs w:val="20"/>
          <w:u w:color="000000"/>
        </w:rPr>
        <w:t xml:space="preserve"> </w:t>
      </w:r>
      <w:r>
        <w:rPr>
          <w:szCs w:val="20"/>
          <w:u w:color="000000"/>
          <w:lang w:val="x-none" w:eastAsia="en-US" w:bidi="ar-SA"/>
        </w:rPr>
        <w:t>1WS i 2WS, wyznaczone w śladzie przebiegu rzeki Bałutki,</w:t>
      </w:r>
    </w:p>
    <w:p w:rsidR="001F3C6E" w:rsidRDefault="0086720B">
      <w:pPr>
        <w:numPr>
          <w:ilvl w:val="0"/>
          <w:numId w:val="3"/>
        </w:numPr>
        <w:spacing w:before="120" w:after="120"/>
        <w:ind w:left="567" w:hanging="283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  <w:lang w:val="x-none" w:eastAsia="en-US" w:bidi="ar-SA"/>
        </w:rPr>
        <w:t>teren komunikacji kolejowej i szynowej</w:t>
      </w:r>
      <w:r>
        <w:rPr>
          <w:szCs w:val="20"/>
          <w:u w:color="000000"/>
        </w:rPr>
        <w:t xml:space="preserve"> </w:t>
      </w:r>
      <w:r>
        <w:rPr>
          <w:szCs w:val="20"/>
          <w:u w:color="000000"/>
          <w:lang w:val="x-none" w:eastAsia="en-US" w:bidi="ar-SA"/>
        </w:rPr>
        <w:t xml:space="preserve">1KK, wyznaczony wzdłuż istniejącej linii kolejowej nr 15 Bednary – Łódź Kaliska, </w:t>
      </w:r>
    </w:p>
    <w:p w:rsidR="001F3C6E" w:rsidRDefault="0086720B">
      <w:pPr>
        <w:numPr>
          <w:ilvl w:val="0"/>
          <w:numId w:val="3"/>
        </w:numPr>
        <w:spacing w:before="120" w:after="120"/>
        <w:ind w:left="567" w:hanging="283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  <w:lang w:val="x-none" w:eastAsia="en-US" w:bidi="ar-SA"/>
        </w:rPr>
        <w:t>teren komunikacji kolejowej i szynowej</w:t>
      </w:r>
      <w:r>
        <w:rPr>
          <w:szCs w:val="20"/>
          <w:u w:color="000000"/>
        </w:rPr>
        <w:t xml:space="preserve"> lub </w:t>
      </w:r>
      <w:r>
        <w:rPr>
          <w:szCs w:val="20"/>
          <w:u w:color="000000"/>
        </w:rPr>
        <w:t xml:space="preserve">wód powierzchniowych śródlądowych </w:t>
      </w:r>
      <w:r>
        <w:rPr>
          <w:szCs w:val="20"/>
          <w:u w:color="000000"/>
          <w:lang w:val="x-none" w:eastAsia="en-US" w:bidi="ar-SA"/>
        </w:rPr>
        <w:t>1KK</w:t>
      </w:r>
      <w:r>
        <w:rPr>
          <w:szCs w:val="20"/>
          <w:u w:color="000000"/>
        </w:rPr>
        <w:t>-WS</w:t>
      </w:r>
      <w:r>
        <w:rPr>
          <w:szCs w:val="20"/>
          <w:u w:color="000000"/>
          <w:lang w:val="x-none" w:eastAsia="en-US" w:bidi="ar-SA"/>
        </w:rPr>
        <w:t xml:space="preserve">, </w:t>
      </w:r>
    </w:p>
    <w:p w:rsidR="001F3C6E" w:rsidRDefault="0086720B">
      <w:pPr>
        <w:numPr>
          <w:ilvl w:val="0"/>
          <w:numId w:val="3"/>
        </w:numPr>
        <w:spacing w:before="120" w:after="120"/>
        <w:ind w:left="567" w:hanging="283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  <w:lang w:val="x-none" w:eastAsia="en-US" w:bidi="ar-SA"/>
        </w:rPr>
        <w:t>teren</w:t>
      </w:r>
      <w:r>
        <w:rPr>
          <w:szCs w:val="20"/>
          <w:u w:color="000000"/>
        </w:rPr>
        <w:t>y</w:t>
      </w:r>
      <w:r>
        <w:rPr>
          <w:szCs w:val="20"/>
          <w:u w:color="000000"/>
          <w:lang w:val="x-none" w:eastAsia="en-US" w:bidi="ar-SA"/>
        </w:rPr>
        <w:t xml:space="preserve"> drogi głównej 1KDG</w:t>
      </w:r>
      <w:r>
        <w:rPr>
          <w:szCs w:val="20"/>
          <w:u w:color="000000"/>
        </w:rPr>
        <w:t xml:space="preserve"> i 2KDG</w:t>
      </w:r>
      <w:r>
        <w:rPr>
          <w:szCs w:val="20"/>
          <w:u w:color="000000"/>
          <w:lang w:val="x-none" w:eastAsia="en-US" w:bidi="ar-SA"/>
        </w:rPr>
        <w:t xml:space="preserve"> (projektowana ulica „Wojska Polskiego”)</w:t>
      </w:r>
      <w:r>
        <w:rPr>
          <w:szCs w:val="20"/>
          <w:u w:color="000000"/>
        </w:rPr>
        <w:t>,</w:t>
      </w:r>
    </w:p>
    <w:p w:rsidR="001F3C6E" w:rsidRDefault="0086720B">
      <w:pPr>
        <w:numPr>
          <w:ilvl w:val="0"/>
          <w:numId w:val="3"/>
        </w:numPr>
        <w:spacing w:before="120" w:after="120"/>
        <w:ind w:left="567" w:hanging="283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</w:rPr>
        <w:t>teren drogi głównej lub komunikacji kolejowej i szynowej 1KDG-KK,</w:t>
      </w:r>
    </w:p>
    <w:p w:rsidR="001F3C6E" w:rsidRDefault="0086720B">
      <w:pPr>
        <w:numPr>
          <w:ilvl w:val="0"/>
          <w:numId w:val="3"/>
        </w:numPr>
        <w:spacing w:before="120" w:after="120"/>
        <w:ind w:left="567" w:hanging="283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</w:rPr>
        <w:lastRenderedPageBreak/>
        <w:t>teren drogi głównej lub wód powierzchniowych śródlądowych 1KDG-WS,</w:t>
      </w:r>
    </w:p>
    <w:p w:rsidR="001F3C6E" w:rsidRDefault="0086720B">
      <w:pPr>
        <w:numPr>
          <w:ilvl w:val="0"/>
          <w:numId w:val="3"/>
        </w:numPr>
        <w:spacing w:before="120" w:after="120"/>
        <w:ind w:left="567" w:hanging="283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  <w:lang w:val="x-none" w:eastAsia="en-US" w:bidi="ar-SA"/>
        </w:rPr>
        <w:t xml:space="preserve">teren </w:t>
      </w:r>
      <w:r>
        <w:rPr>
          <w:szCs w:val="20"/>
          <w:u w:color="000000"/>
          <w:lang w:val="x-none" w:eastAsia="en-US" w:bidi="ar-SA"/>
        </w:rPr>
        <w:t>drogi wewnętrznej 1KR (ul. Inowrocławska).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projekcie planu zrezygnowano z ustalania szczególnych warunków zagospodarowania oraz ograniczeń w użytkowaniu terenów wynikających z występowania istniejących sieci wodociągowej, kanalizacji sanitarnej i deszczo</w:t>
      </w:r>
      <w:r>
        <w:rPr>
          <w:color w:val="000000"/>
          <w:szCs w:val="20"/>
          <w:shd w:val="clear" w:color="auto" w:fill="FFFFFF"/>
          <w:lang w:val="x-none" w:eastAsia="en-US" w:bidi="ar-SA"/>
        </w:rPr>
        <w:t>wej. Szczegółowe rozwiązania dotyczące ograniczeń w użytkowaniu nieruchomości, przez które t</w:t>
      </w:r>
      <w:r>
        <w:rPr>
          <w:color w:val="000000"/>
          <w:szCs w:val="20"/>
          <w:shd w:val="clear" w:color="auto" w:fill="FFFFFF"/>
        </w:rPr>
        <w:t>e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sie</w:t>
      </w:r>
      <w:r>
        <w:rPr>
          <w:color w:val="000000"/>
          <w:szCs w:val="20"/>
          <w:shd w:val="clear" w:color="auto" w:fill="FFFFFF"/>
        </w:rPr>
        <w:t>ci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przebiega</w:t>
      </w:r>
      <w:r>
        <w:rPr>
          <w:color w:val="000000"/>
          <w:szCs w:val="20"/>
          <w:shd w:val="clear" w:color="auto" w:fill="FFFFFF"/>
        </w:rPr>
        <w:t>ją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będą wdrażane na etapie realizacji inwestycji, na warunkach uzyskanych od gestora sieci. Wynika to z konieczności zapewnienia racjonalnych możl</w:t>
      </w:r>
      <w:r>
        <w:rPr>
          <w:color w:val="000000"/>
          <w:szCs w:val="20"/>
          <w:shd w:val="clear" w:color="auto" w:fill="FFFFFF"/>
          <w:lang w:val="x-none" w:eastAsia="en-US" w:bidi="ar-SA"/>
        </w:rPr>
        <w:t>iwości zagospodarowania i realizacji zabudowy na nieruchomościach przeznaczonych na cele budowlane. Rezygnacja z ww. ustaleń podyktowana jest brakiem powszechnie obowiązujących przepisów prawnych wskazujących zakres ograniczeń w zagospodarowaniu terenu wyn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ikających z występowania tej infrastruktury technicznej. Wprawdzie przepis art. 15 ust. 2 pkt 9 ustawy z dnia 27 marca 2003 r. o planowaniu i zagospodarowaniu przestrzennym </w:t>
      </w:r>
      <w:r>
        <w:rPr>
          <w:color w:val="000000"/>
          <w:szCs w:val="20"/>
          <w:shd w:val="clear" w:color="auto" w:fill="FFFFFF"/>
        </w:rPr>
        <w:t xml:space="preserve">(Dz. U. z 2023 r. poz. 977, 1506, 1597, 1688, 1890, 2029 i 2739) </w:t>
      </w:r>
      <w:r>
        <w:rPr>
          <w:color w:val="000000"/>
          <w:szCs w:val="20"/>
          <w:shd w:val="clear" w:color="auto" w:fill="FFFFFF"/>
          <w:lang w:val="x-none" w:eastAsia="en-US" w:bidi="ar-SA"/>
        </w:rPr>
        <w:t>daje organowi plan</w:t>
      </w:r>
      <w:r>
        <w:rPr>
          <w:color w:val="000000"/>
          <w:szCs w:val="20"/>
          <w:shd w:val="clear" w:color="auto" w:fill="FFFFFF"/>
          <w:lang w:val="x-none" w:eastAsia="en-US" w:bidi="ar-SA"/>
        </w:rPr>
        <w:t>istycznemu upoważnienie do zawarcia w planie miejscowym postanowień, które mogą w konsekwencji w sposób istotny ograniczać lub nawet pozbawić właściciela lub użytkownika wieczystego możliwości wykonywania konstytucyjnie chronionego prawa własności, jednakż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e tak poważna ingerencja w prawo własności musi być uzasadniona i proporcjonalna w stosunku do celów, których osiągnięciu ma służyć. 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Ze względu na występowanie w obszarze objętym projektem planu napowietrznych linii elektroenergetycznych wysokiego napięci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a 110 kV, wyznaczono na rysunku projektu planu strefy ochronne od tych sieci. Zaznaczyć jednak należy, że Główny Inspektor Ochrony Środowiska, zgodnie z art. 124 ustawy z dnia 27 kwietnia 2001 r. </w:t>
      </w:r>
      <w:r>
        <w:rPr>
          <w:color w:val="000000"/>
          <w:szCs w:val="20"/>
          <w:shd w:val="clear" w:color="auto" w:fill="FFFFFF"/>
        </w:rPr>
        <w:t>P</w:t>
      </w:r>
      <w:r>
        <w:rPr>
          <w:color w:val="000000"/>
          <w:szCs w:val="20"/>
          <w:shd w:val="clear" w:color="auto" w:fill="FFFFFF"/>
          <w:lang w:val="x-none" w:eastAsia="en-US" w:bidi="ar-SA"/>
        </w:rPr>
        <w:t>rawo ochrony środowiska</w:t>
      </w:r>
      <w:r>
        <w:rPr>
          <w:color w:val="000000"/>
          <w:szCs w:val="20"/>
          <w:shd w:val="clear" w:color="auto" w:fill="FFFFFF"/>
        </w:rPr>
        <w:t xml:space="preserve"> (Dz. U. z 2024 r. poz. 54)</w:t>
      </w:r>
      <w:r>
        <w:rPr>
          <w:color w:val="000000"/>
          <w:szCs w:val="20"/>
          <w:shd w:val="clear" w:color="auto" w:fill="FFFFFF"/>
          <w:lang w:val="x-none" w:eastAsia="en-US" w:bidi="ar-SA"/>
        </w:rPr>
        <w:t>, prowadz</w:t>
      </w:r>
      <w:r>
        <w:rPr>
          <w:color w:val="000000"/>
          <w:szCs w:val="20"/>
          <w:shd w:val="clear" w:color="auto" w:fill="FFFFFF"/>
          <w:lang w:val="x-none" w:eastAsia="en-US" w:bidi="ar-SA"/>
        </w:rPr>
        <w:t>i aktualizowany corocznie rejestr zawierający informacje o terenach, na których stwierdzono przekroczenie dopuszczalnych poziomów pól elektromagnetycznych w środowisku, z wyszczególnieniem przekroczeń dotyczących terenów przeznaczonych pod zabudowę mieszka</w:t>
      </w:r>
      <w:r>
        <w:rPr>
          <w:color w:val="000000"/>
          <w:szCs w:val="20"/>
          <w:shd w:val="clear" w:color="auto" w:fill="FFFFFF"/>
          <w:lang w:val="x-none" w:eastAsia="en-US" w:bidi="ar-SA"/>
        </w:rPr>
        <w:t>niową oraz miejsc dostępnych dla ludności. Rejestr przygotowywany jest w oparciu o dane pozyskane w ramach realizacji zadań Inspekcji Ochrony Środowiska, tj. prowadzenia państwowego monitoringu środowiska, kontroli podmiotów korzystających ze środowiska or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az ze sprawozdań przekazywanych zgodnie z art. 122 a ustawy z dnia 27 kwietnia 2001 r. </w:t>
      </w:r>
      <w:r>
        <w:rPr>
          <w:color w:val="000000"/>
          <w:szCs w:val="20"/>
          <w:shd w:val="clear" w:color="auto" w:fill="FFFFFF"/>
        </w:rPr>
        <w:t>P</w:t>
      </w:r>
      <w:r>
        <w:rPr>
          <w:color w:val="000000"/>
          <w:szCs w:val="20"/>
          <w:shd w:val="clear" w:color="auto" w:fill="FFFFFF"/>
          <w:lang w:val="x-none" w:eastAsia="en-US" w:bidi="ar-SA"/>
        </w:rPr>
        <w:t>rawo ochrony środowiska</w:t>
      </w:r>
      <w:r>
        <w:rPr>
          <w:color w:val="000000"/>
          <w:szCs w:val="20"/>
          <w:shd w:val="clear" w:color="auto" w:fill="FFFFFF"/>
        </w:rPr>
        <w:t xml:space="preserve"> z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e źródeł tych nie wynikają przekroczenia dopuszczalnych poziomów pól elektromagnetycznych w środowisku na terenie województwa łódzkiego. 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Dla s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ieci gazowych zastosowano </w:t>
      </w:r>
      <w:r>
        <w:rPr>
          <w:color w:val="000000"/>
          <w:szCs w:val="20"/>
          <w:shd w:val="clear" w:color="auto" w:fill="FFFFFF"/>
        </w:rPr>
        <w:t>r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ozporządzenie Ministra Gospodarki z dnia 26 kwietnia 2013 r. w sprawie warunków technicznych, jakim powinny odpowiadać sieci gazowe i ich usytuowanie (Dz. U. </w:t>
      </w:r>
      <w:r>
        <w:rPr>
          <w:color w:val="000000"/>
          <w:szCs w:val="20"/>
          <w:shd w:val="clear" w:color="auto" w:fill="FFFFFF"/>
        </w:rPr>
        <w:t xml:space="preserve">z 2013 r.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poz. 640). W wyniku przeprowadzonej analizy parametrów istnie</w:t>
      </w:r>
      <w:r>
        <w:rPr>
          <w:color w:val="000000"/>
          <w:szCs w:val="20"/>
          <w:shd w:val="clear" w:color="auto" w:fill="FFFFFF"/>
          <w:lang w:val="x-none" w:eastAsia="en-US" w:bidi="ar-SA"/>
        </w:rPr>
        <w:t>jącej sieci gazowej stwierdzono, że w granicach obszaru objętego projektem planu przebiega sieć gazociągu średniego ciśnienia, dla której wyznaczono strefę kontrolowaną.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Wzdłuż rzeki Bałutki, zgodnie z ustaleniami Studium wyznaczono obszar zagrożony zalani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em wodami rzeki Bałutki oraz korytarz ekologiczny – zasięg morfologiczny doliny rzeki Bałutki.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Ze względu na dolinę rzeki Bałutki oraz znaczne zadrzewienie obszaru projektu planu jedynie na niewielkim fragmencie, pomiędzy istniejącą ul. Inowrocławską, proj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ektowaną ulicą główną oraz terenem komunikacji kołowej i szynowej wyznaczono teren elektrowni słonecznej lub zieleni naturalnej (1PEF-ZN), w którym dopuszczono lokalizację </w:t>
      </w:r>
      <w:r>
        <w:rPr>
          <w:color w:val="000000"/>
          <w:szCs w:val="20"/>
          <w:shd w:val="clear" w:color="auto" w:fill="FFFFFF"/>
          <w:lang w:val="x-none" w:eastAsia="en-US" w:bidi="ar-SA"/>
        </w:rPr>
        <w:t>urządzeń fotowoltaicznych o mocy większej niż moc mikroinstalacji, o której mowa w p</w:t>
      </w:r>
      <w:r>
        <w:rPr>
          <w:color w:val="000000"/>
          <w:szCs w:val="20"/>
          <w:shd w:val="clear" w:color="auto" w:fill="FFFFFF"/>
          <w:lang w:val="x-none" w:eastAsia="en-US" w:bidi="ar-SA"/>
        </w:rPr>
        <w:t>rzepisach odrębnych z zakresu odnawialnych źródeł energii.</w:t>
      </w:r>
    </w:p>
    <w:p w:rsidR="001F3C6E" w:rsidRDefault="0086720B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 xml:space="preserve">Obszar objęty projektem planu znajduje się w bezpośrednim sąsiedztwie linii kolejowej o znaczeniu państwowym nr 15 relacji Bednary-Łódź Kaliska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(działka nr 1/8, obręb B-44, znajdująca się poza gran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icami obszaru objętego projektem planu, stanowiąca teren zamknięty zgodnie z Decyzją Nr 14 Ministra Infrastruktury z dnia 18 września 2020 r.). Linia ta częściowo włączona została w zakres inwestycji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pn. „Udrożnienie Łódzkiego Węzła Kolejowego (TEN-T), eta</w:t>
      </w:r>
      <w:r>
        <w:rPr>
          <w:color w:val="000000"/>
          <w:szCs w:val="20"/>
          <w:shd w:val="clear" w:color="auto" w:fill="FFFFFF"/>
          <w:lang w:val="x-none" w:eastAsia="en-US" w:bidi="ar-SA"/>
        </w:rPr>
        <w:t>p II, odcinek Łódź Fabryczna – Łódź Kaliska/Łódź Żabieniec”, która stanowi inwestycję celu publicznego o znaczeniu ponadlokalnym. Fragment ww. inwestycji znajduje się w granicy obszaru objętego projektem planu</w:t>
      </w:r>
      <w:r>
        <w:rPr>
          <w:color w:val="000000"/>
          <w:szCs w:val="20"/>
          <w:shd w:val="clear" w:color="auto" w:fill="FFFFFF"/>
        </w:rPr>
        <w:t>. Zgodnie z jego zapisami granice terenu inwest</w:t>
      </w:r>
      <w:r>
        <w:rPr>
          <w:color w:val="000000"/>
          <w:szCs w:val="20"/>
          <w:shd w:val="clear" w:color="auto" w:fill="FFFFFF"/>
        </w:rPr>
        <w:t>ycji celu publicznego o znaczeniu ponadlokalnym stanowią linie rozgraniczające terenów: 1KK, 1KDG-KK i 1KK-WS.</w:t>
      </w:r>
    </w:p>
    <w:p w:rsidR="001F3C6E" w:rsidRDefault="0086720B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W związku z powyższym, w celu prawidłowego wyznaczenia stref, w których będą obowiązywały ograniczenia w zagospodarowaniu, zgodnie z przepisami o</w:t>
      </w:r>
      <w:r>
        <w:rPr>
          <w:color w:val="000000"/>
          <w:szCs w:val="20"/>
          <w:shd w:val="clear" w:color="auto" w:fill="FFFFFF"/>
          <w:lang w:val="x-none" w:eastAsia="en-US" w:bidi="ar-SA"/>
        </w:rPr>
        <w:t>drębnymi z zakresu transportu kolejowego, od spółki PKP Polskie Linie kolejowe S.A. pozyskano projekt ww. inwestycji. Na podstawie otrzymanego materiału w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projekcie planu wyznaczono strefę „A” z ograniczeniami w sytuowaniu budowli i budynków oraz strefę „B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” z ograniczeniami w wykonywaniu robót ziemnych, wynikające z przepisów odrębnych z zakresu transportu kolejowego. Wskazano również ograniczenia w sytuowaniu drzew i krzewów, zgodnie z przepisami odrębnymi z zakresu transportu kolejowego.</w:t>
      </w:r>
      <w:r>
        <w:rPr>
          <w:color w:val="000000"/>
          <w:szCs w:val="20"/>
          <w:u w:color="000000"/>
          <w:shd w:val="clear" w:color="auto" w:fill="FFFFFF"/>
        </w:rPr>
        <w:t xml:space="preserve"> Ponadto zgodnie z</w:t>
      </w:r>
      <w:r>
        <w:rPr>
          <w:color w:val="000000"/>
          <w:szCs w:val="20"/>
          <w:u w:color="000000"/>
          <w:shd w:val="clear" w:color="auto" w:fill="FFFFFF"/>
        </w:rPr>
        <w:t xml:space="preserve"> Decyzją Wojewody Łódzkiego Nr 5/2019 z dnia 31 maja 2019 r. o ustaleniu lokalizacji linii kolejowej (znak: IR-I.747.2.2019 MM) oraz Decyzją Wojewody Łódzkiego Nr 8/2021 z dnia 14 września 2021 r. o ustaleniu lokalizacji linii kolejowej (znak: GPB-I.747.4.</w:t>
      </w:r>
      <w:r>
        <w:rPr>
          <w:color w:val="000000"/>
          <w:szCs w:val="20"/>
          <w:u w:color="000000"/>
          <w:shd w:val="clear" w:color="auto" w:fill="FFFFFF"/>
        </w:rPr>
        <w:t>2021 MM/MMa) w projekcie planu wyznaczono strefy oddziaływania kolejowego tunelu średnicowego, oznaczone symbolami SO1, SO2 i SO3.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Procedura formalno-prawna sporządzenia planu miejscowego została przeprowadzona w trybie art. 17 ustawy z dnia 27 marca 2003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r. o planowaniu i zagospodarowaniu przestrzennym.</w:t>
      </w:r>
    </w:p>
    <w:p w:rsidR="001F3C6E" w:rsidRDefault="0086720B">
      <w:pPr>
        <w:spacing w:before="120"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Projekt planu został sporządzony zgodnie z zakresem art. 15 ustawy z dnia 27 marca 2003 r. o planowaniu i zagospodarowaniu przestrzennym, uwzględniając wymogi wynikające z art. 1 ust. 2-4 ww. ustawy.</w:t>
      </w:r>
    </w:p>
    <w:p w:rsidR="001F3C6E" w:rsidRDefault="0086720B">
      <w:pPr>
        <w:spacing w:before="120" w:after="120"/>
        <w:ind w:left="426" w:hanging="426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u w:color="000000"/>
          <w:shd w:val="clear" w:color="auto" w:fill="FFFFFF"/>
          <w:lang w:val="x-none" w:eastAsia="en-US" w:bidi="ar-SA"/>
        </w:rPr>
        <w:t>I.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ab/>
      </w:r>
      <w:r>
        <w:rPr>
          <w:b/>
          <w:color w:val="000000"/>
          <w:szCs w:val="20"/>
          <w:u w:color="000000"/>
          <w:shd w:val="clear" w:color="auto" w:fill="FFFFFF"/>
          <w:lang w:val="x-none" w:eastAsia="en-US" w:bidi="ar-SA"/>
        </w:rPr>
        <w:t>Sp</w:t>
      </w:r>
      <w:r>
        <w:rPr>
          <w:b/>
          <w:color w:val="000000"/>
          <w:szCs w:val="20"/>
          <w:u w:color="000000"/>
          <w:shd w:val="clear" w:color="auto" w:fill="FFFFFF"/>
          <w:lang w:val="x-none" w:eastAsia="en-US" w:bidi="ar-SA"/>
        </w:rPr>
        <w:t>osób realizacji wymogów wynikających z art. 1 ust. 2-4 ustawy z dnia 27 marca 2003 r. o planowaniu i zagospodarowaniu przestrzennym.</w:t>
      </w:r>
    </w:p>
    <w:p w:rsidR="001F3C6E" w:rsidRDefault="0086720B">
      <w:pPr>
        <w:spacing w:before="120"/>
        <w:ind w:left="284" w:hanging="284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1. W projekcie planu uwzględniono:</w:t>
      </w:r>
    </w:p>
    <w:p w:rsidR="001F3C6E" w:rsidRDefault="0086720B">
      <w:pPr>
        <w:numPr>
          <w:ilvl w:val="0"/>
          <w:numId w:val="4"/>
        </w:numPr>
        <w:ind w:left="720" w:hanging="436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  <w:lang w:val="x-none" w:eastAsia="en-US" w:bidi="ar-SA"/>
        </w:rPr>
        <w:t xml:space="preserve">wymagania ładu przestrzennego, w tym urbanistyki i architektury, poprzez określenie </w:t>
      </w:r>
      <w:r>
        <w:rPr>
          <w:color w:val="000000"/>
          <w:szCs w:val="20"/>
          <w:u w:color="000000"/>
          <w:lang w:val="x-none" w:eastAsia="en-US" w:bidi="ar-SA"/>
        </w:rPr>
        <w:t>prze</w:t>
      </w:r>
      <w:r>
        <w:rPr>
          <w:color w:val="000000"/>
          <w:szCs w:val="20"/>
          <w:u w:color="000000"/>
          <w:lang w:val="x-none" w:eastAsia="en-US" w:bidi="ar-SA"/>
        </w:rPr>
        <w:t>znaczenia terenów, linii rozgraniczających, wskaźników zagospodarowania terenów, parametrów i zasad kształtowania zabudowy;</w:t>
      </w:r>
    </w:p>
    <w:p w:rsidR="001F3C6E" w:rsidRDefault="0086720B">
      <w:pPr>
        <w:numPr>
          <w:ilvl w:val="0"/>
          <w:numId w:val="4"/>
        </w:numPr>
        <w:spacing w:before="120" w:after="120"/>
        <w:ind w:left="720" w:hanging="437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  <w:lang w:val="x-none" w:eastAsia="en-US" w:bidi="ar-SA"/>
        </w:rPr>
        <w:t xml:space="preserve">walory architektoniczne i krajobrazowe poprzez określenie: </w:t>
      </w:r>
    </w:p>
    <w:p w:rsidR="001F3C6E" w:rsidRDefault="0086720B">
      <w:pPr>
        <w:numPr>
          <w:ilvl w:val="0"/>
          <w:numId w:val="5"/>
        </w:numPr>
        <w:ind w:left="1005" w:hanging="284"/>
        <w:contextualSpacing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 xml:space="preserve">zasad kształtowania zabudowy i zagospodarowania terenu z uwzględnieniem </w:t>
      </w:r>
      <w:r>
        <w:rPr>
          <w:color w:val="000000"/>
          <w:szCs w:val="20"/>
          <w:lang w:val="x-none" w:eastAsia="en-US" w:bidi="ar-SA"/>
        </w:rPr>
        <w:t xml:space="preserve"> istniejącej zabudowy i sposobu zagospodarowania obszaru oraz istniejącej infrastruktury technicznej i drogowej, a także ukształtowania terenu i występowania obszarów zieleni,</w:t>
      </w:r>
    </w:p>
    <w:p w:rsidR="001F3C6E" w:rsidRDefault="0086720B">
      <w:pPr>
        <w:numPr>
          <w:ilvl w:val="0"/>
          <w:numId w:val="5"/>
        </w:numPr>
        <w:ind w:left="1005" w:hanging="284"/>
        <w:contextualSpacing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wymagań w zakresie kształtowania przestrzeni publicznych, do których na obszarze</w:t>
      </w:r>
      <w:r>
        <w:rPr>
          <w:color w:val="000000"/>
          <w:szCs w:val="20"/>
          <w:lang w:val="x-none" w:eastAsia="en-US" w:bidi="ar-SA"/>
        </w:rPr>
        <w:t xml:space="preserve"> planu należą teren drogi głównej i teren komunikacji drogowej wewnętrznej,</w:t>
      </w:r>
    </w:p>
    <w:p w:rsidR="001F3C6E" w:rsidRDefault="0086720B">
      <w:pPr>
        <w:numPr>
          <w:ilvl w:val="0"/>
          <w:numId w:val="5"/>
        </w:numPr>
        <w:ind w:left="1005" w:hanging="284"/>
        <w:contextualSpacing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zasad sytuowania infrastruktury technicznej, poprzez nakaz lokalizacji nowej i rozbudowywanej infrastruktury technicznej jako podziemnej, z wyłączeniami określonymi w tekście proje</w:t>
      </w:r>
      <w:r>
        <w:rPr>
          <w:color w:val="000000"/>
          <w:szCs w:val="20"/>
          <w:lang w:val="x-none" w:eastAsia="en-US" w:bidi="ar-SA"/>
        </w:rPr>
        <w:t>ktu planu.</w:t>
      </w:r>
    </w:p>
    <w:p w:rsidR="001F3C6E" w:rsidRDefault="0086720B">
      <w:pPr>
        <w:numPr>
          <w:ilvl w:val="0"/>
          <w:numId w:val="4"/>
        </w:numPr>
        <w:spacing w:before="120" w:after="120"/>
        <w:ind w:left="720" w:hanging="435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  <w:lang w:val="x-none" w:eastAsia="en-US" w:bidi="ar-SA"/>
        </w:rPr>
        <w:t xml:space="preserve">wymagania ochrony środowiska, w tym gospodarowania wodami i ochrony gruntów rolnych i leśnych </w:t>
      </w:r>
      <w:r>
        <w:rPr>
          <w:szCs w:val="20"/>
          <w:u w:color="000000"/>
        </w:rPr>
        <w:t xml:space="preserve">oraz ochrony złóż kopalin </w:t>
      </w:r>
      <w:r>
        <w:rPr>
          <w:szCs w:val="20"/>
          <w:u w:color="000000"/>
          <w:lang w:val="x-none" w:eastAsia="en-US" w:bidi="ar-SA"/>
        </w:rPr>
        <w:t>poprzez wprowadzenie:</w:t>
      </w:r>
    </w:p>
    <w:p w:rsidR="001F3C6E" w:rsidRDefault="0086720B">
      <w:pPr>
        <w:numPr>
          <w:ilvl w:val="0"/>
          <w:numId w:val="6"/>
        </w:numPr>
        <w:spacing w:before="120" w:after="120"/>
        <w:ind w:left="1005" w:hanging="303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  <w:lang w:val="x-none" w:eastAsia="en-US" w:bidi="ar-SA"/>
        </w:rPr>
        <w:lastRenderedPageBreak/>
        <w:t xml:space="preserve">zakazu lokalizacji przedsięwzięć mogących znacząco oddziaływać na środowisko z wyjątkiem: </w:t>
      </w:r>
      <w:r>
        <w:rPr>
          <w:szCs w:val="20"/>
          <w:lang w:val="x-none" w:eastAsia="en-US" w:bidi="ar-SA"/>
        </w:rPr>
        <w:t xml:space="preserve">dróg, </w:t>
      </w:r>
      <w:r>
        <w:rPr>
          <w:szCs w:val="20"/>
        </w:rPr>
        <w:t xml:space="preserve"> linii </w:t>
      </w:r>
      <w:r>
        <w:rPr>
          <w:szCs w:val="20"/>
        </w:rPr>
        <w:t>kolejowych,</w:t>
      </w:r>
      <w:r>
        <w:rPr>
          <w:szCs w:val="20"/>
          <w:lang w:val="x-none" w:eastAsia="en-US" w:bidi="ar-SA"/>
        </w:rPr>
        <w:t xml:space="preserve"> inwestycji z zakresu infrastruktury technicznej, melioracji, obiektów mostowych oraz urządzeń wodnych, a także zabudowy systemami fotowoltaicznymi wraz z towarzyszącą im infrastrukturą, </w:t>
      </w:r>
    </w:p>
    <w:p w:rsidR="001F3C6E" w:rsidRDefault="0086720B">
      <w:pPr>
        <w:numPr>
          <w:ilvl w:val="0"/>
          <w:numId w:val="6"/>
        </w:numPr>
        <w:spacing w:before="120" w:after="120"/>
        <w:ind w:left="1005" w:hanging="303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 xml:space="preserve">nakazu zapewnienia ciągłości korytarza ekologicznego, </w:t>
      </w:r>
      <w:r>
        <w:rPr>
          <w:szCs w:val="20"/>
          <w:lang w:val="x-none" w:eastAsia="en-US" w:bidi="ar-SA"/>
        </w:rPr>
        <w:t>wskazanego na rysunku planu jako granice zasięgu morfologicznego doliny rzeki Bałutki w zakresie swobodnego przepływu mas powietrza oraz migracji roślin i zwierząt,</w:t>
      </w:r>
    </w:p>
    <w:p w:rsidR="001F3C6E" w:rsidRDefault="0086720B">
      <w:pPr>
        <w:numPr>
          <w:ilvl w:val="0"/>
          <w:numId w:val="6"/>
        </w:numPr>
        <w:spacing w:before="120" w:after="120"/>
        <w:ind w:left="1005" w:hanging="303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zakazu likwidowania i niszczenia zadrzewień nadwodnych z wyjątkiem działań wynikających z p</w:t>
      </w:r>
      <w:r>
        <w:rPr>
          <w:szCs w:val="20"/>
          <w:lang w:val="x-none" w:eastAsia="en-US" w:bidi="ar-SA"/>
        </w:rPr>
        <w:t>otrzeby zapewnienia przepływu wód powierzchniowych, a także budowy, odbudowy, utrzymania i remontów lub napraw urządzeń wodnych oraz prawidłowego funkcjonowania istniejącej infrastruktury technicznej,</w:t>
      </w:r>
    </w:p>
    <w:p w:rsidR="001F3C6E" w:rsidRDefault="0086720B">
      <w:pPr>
        <w:numPr>
          <w:ilvl w:val="0"/>
          <w:numId w:val="6"/>
        </w:numPr>
        <w:spacing w:before="120" w:after="120"/>
        <w:ind w:left="1005" w:hanging="303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nakazu utrzymania rzeki Bałutki jako cieku otwartego,</w:t>
      </w:r>
    </w:p>
    <w:p w:rsidR="001F3C6E" w:rsidRDefault="0086720B">
      <w:pPr>
        <w:numPr>
          <w:ilvl w:val="0"/>
          <w:numId w:val="6"/>
        </w:numPr>
        <w:spacing w:before="120" w:after="120"/>
        <w:ind w:left="1005" w:hanging="303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z</w:t>
      </w:r>
      <w:r>
        <w:rPr>
          <w:szCs w:val="20"/>
          <w:lang w:val="x-none" w:eastAsia="en-US" w:bidi="ar-SA"/>
        </w:rPr>
        <w:t>asad ochrony obszarów zagrożonych zalaniem wodami rzeki Bałutki,</w:t>
      </w:r>
    </w:p>
    <w:p w:rsidR="001F3C6E" w:rsidRDefault="0086720B">
      <w:pPr>
        <w:numPr>
          <w:ilvl w:val="0"/>
          <w:numId w:val="6"/>
        </w:numPr>
        <w:spacing w:before="120" w:after="120"/>
        <w:ind w:left="1005" w:hanging="303"/>
        <w:contextualSpacing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>zasad w zakresie ochrony wód, powierzchni ziemi, powietrza, ochrony przed promieniowaniem elektromagnetycznym i hałasem, a także zasad w zakresie odnawialnych źródeł energii,</w:t>
      </w:r>
    </w:p>
    <w:p w:rsidR="001F3C6E" w:rsidRDefault="0086720B">
      <w:pPr>
        <w:numPr>
          <w:ilvl w:val="0"/>
          <w:numId w:val="6"/>
        </w:numPr>
        <w:spacing w:before="120" w:after="120"/>
        <w:ind w:left="1005" w:hanging="303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nakazu stosowani</w:t>
      </w:r>
      <w:r>
        <w:rPr>
          <w:szCs w:val="20"/>
          <w:lang w:val="x-none" w:eastAsia="en-US" w:bidi="ar-SA"/>
        </w:rPr>
        <w:t>a kompleksowych rozwiązań w zakresie gospodarki wodnej i odprowadzania ścieków oraz gospodarki odpadami poprzez:</w:t>
      </w:r>
    </w:p>
    <w:p w:rsidR="001F3C6E" w:rsidRDefault="0086720B">
      <w:pPr>
        <w:keepLines/>
        <w:numPr>
          <w:ilvl w:val="0"/>
          <w:numId w:val="7"/>
        </w:numPr>
        <w:spacing w:before="120" w:after="120"/>
        <w:ind w:left="1290" w:hanging="274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doprowadzenie infrastruktury technicznej wodociągowej i kanalizacji sanitarnej do wszystkich terenów przeznaczonych na cele zabudowy,</w:t>
      </w:r>
    </w:p>
    <w:p w:rsidR="001F3C6E" w:rsidRDefault="0086720B">
      <w:pPr>
        <w:keepLines/>
        <w:numPr>
          <w:ilvl w:val="0"/>
          <w:numId w:val="7"/>
        </w:numPr>
        <w:spacing w:before="120" w:after="120"/>
        <w:ind w:left="1290" w:hanging="274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doprowadz</w:t>
      </w:r>
      <w:r>
        <w:rPr>
          <w:szCs w:val="20"/>
          <w:lang w:val="x-none" w:eastAsia="en-US" w:bidi="ar-SA"/>
        </w:rPr>
        <w:t>enie infrastruktury technicznej kanalizacji deszczowej do terenów przeznaczonych na cele zabudowy i dróg oraz retencjonowanie i zagospodarowanie wód opadowych i roztopowych w miejscu ich powstania, z dopuszczeniem odprowadzenia ich do odbiornika na warunka</w:t>
      </w:r>
      <w:r>
        <w:rPr>
          <w:szCs w:val="20"/>
          <w:lang w:val="x-none" w:eastAsia="en-US" w:bidi="ar-SA"/>
        </w:rPr>
        <w:t>ch określonych w przepisach odrębnych dotyczących zbiorowego zaopatrzenia w wodę i zbiorowego odprowadzania ścieków oraz prawa wodnego, a także budownictwa,</w:t>
      </w:r>
    </w:p>
    <w:p w:rsidR="001F3C6E" w:rsidRDefault="0086720B">
      <w:pPr>
        <w:keepLines/>
        <w:numPr>
          <w:ilvl w:val="0"/>
          <w:numId w:val="7"/>
        </w:numPr>
        <w:ind w:left="1290" w:hanging="272"/>
        <w:rPr>
          <w:szCs w:val="20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prowadzenie gospodarki odpadami poprzez miejski system gospodarki odpadami na zasadach określonych </w:t>
      </w:r>
      <w:r>
        <w:rPr>
          <w:color w:val="000000"/>
          <w:szCs w:val="20"/>
          <w:shd w:val="clear" w:color="auto" w:fill="FFFFFF"/>
        </w:rPr>
        <w:t>w przepisach odrębnych dotyczących utrzymania czystości i porządku w mieście,</w:t>
      </w:r>
    </w:p>
    <w:p w:rsidR="001F3C6E" w:rsidRDefault="0086720B">
      <w:pPr>
        <w:ind w:left="851" w:hanging="284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</w:rPr>
        <w:t xml:space="preserve">h) </w:t>
      </w:r>
      <w:r>
        <w:rPr>
          <w:color w:val="000000"/>
          <w:szCs w:val="20"/>
          <w:shd w:val="clear" w:color="auto" w:fill="FFFFFF"/>
          <w:lang w:val="x-none" w:eastAsia="en-US" w:bidi="ar-SA"/>
        </w:rPr>
        <w:t>nie wprowadzono wymogów w zakresie ochrony gruntów leśnych ze względu na brak ich występowania w obszarze planu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,</w:t>
      </w:r>
    </w:p>
    <w:p w:rsidR="001F3C6E" w:rsidRDefault="0086720B">
      <w:pPr>
        <w:ind w:left="851" w:hanging="284"/>
        <w:rPr>
          <w:szCs w:val="20"/>
        </w:rPr>
      </w:pPr>
      <w:r>
        <w:rPr>
          <w:szCs w:val="20"/>
        </w:rPr>
        <w:t xml:space="preserve">i) nie wprowadzono wymogów w zakresie ochrony gruntów rolnych </w:t>
      </w:r>
      <w:r>
        <w:rPr>
          <w:szCs w:val="20"/>
        </w:rPr>
        <w:t>– stosownie do art. 10a ustawy o ochronie gruntów rolnych i leśnych (Dz. U. z 2024 r. poz. 82) przepisów rozdziału 2 nie stosuje się do gruntów rolnych położonych w granicach administracyjnych miast,</w:t>
      </w:r>
    </w:p>
    <w:p w:rsidR="001F3C6E" w:rsidRDefault="0086720B">
      <w:pPr>
        <w:ind w:left="851" w:hanging="284"/>
        <w:rPr>
          <w:szCs w:val="20"/>
        </w:rPr>
      </w:pPr>
      <w:r>
        <w:rPr>
          <w:szCs w:val="20"/>
        </w:rPr>
        <w:t>j) nie wprowadzono wymogów w zakresie ochrony złóż kopal</w:t>
      </w:r>
      <w:r>
        <w:rPr>
          <w:szCs w:val="20"/>
        </w:rPr>
        <w:t>in ze względu na brak ich występowania w obszarze planu;</w:t>
      </w:r>
    </w:p>
    <w:p w:rsidR="001F3C6E" w:rsidRDefault="0086720B">
      <w:pPr>
        <w:spacing w:after="120"/>
        <w:ind w:left="720" w:hanging="435"/>
        <w:contextualSpacing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u w:color="000000"/>
        </w:rPr>
        <w:t xml:space="preserve">4) </w:t>
      </w:r>
      <w:r>
        <w:rPr>
          <w:color w:val="000000"/>
          <w:szCs w:val="20"/>
          <w:u w:color="000000"/>
        </w:rPr>
        <w:tab/>
      </w:r>
      <w:r>
        <w:rPr>
          <w:color w:val="000000"/>
          <w:szCs w:val="20"/>
          <w:u w:color="000000"/>
          <w:lang w:val="x-none" w:eastAsia="en-US" w:bidi="ar-SA"/>
        </w:rPr>
        <w:t>wymagania ochrony zdrowia oraz bezpieczeństwa ludzi i mienia, a także potrzeby osób ze szczególnymi potrzebami, poprzez:</w:t>
      </w:r>
    </w:p>
    <w:p w:rsidR="001F3C6E" w:rsidRDefault="0086720B">
      <w:pPr>
        <w:numPr>
          <w:ilvl w:val="1"/>
          <w:numId w:val="4"/>
        </w:numPr>
        <w:spacing w:before="120" w:after="120"/>
        <w:ind w:left="1005" w:hanging="285"/>
        <w:contextualSpacing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 xml:space="preserve">określenie zasad ochrony środowiska, </w:t>
      </w:r>
    </w:p>
    <w:p w:rsidR="001F3C6E" w:rsidRDefault="0086720B">
      <w:pPr>
        <w:numPr>
          <w:ilvl w:val="1"/>
          <w:numId w:val="4"/>
        </w:numPr>
        <w:spacing w:before="120" w:after="120"/>
        <w:ind w:left="1005" w:hanging="284"/>
        <w:contextualSpacing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>ustalenie wymagań wynikających z pot</w:t>
      </w:r>
      <w:r>
        <w:rPr>
          <w:color w:val="000000"/>
          <w:szCs w:val="20"/>
          <w:u w:color="000000"/>
          <w:lang w:val="x-none" w:eastAsia="en-US" w:bidi="ar-SA"/>
        </w:rPr>
        <w:t xml:space="preserve">rzeb kształtowania przestrzeni publicznych poprzez </w:t>
      </w:r>
      <w:r>
        <w:rPr>
          <w:szCs w:val="20"/>
          <w:lang w:val="x-none" w:eastAsia="en-US" w:bidi="ar-SA"/>
        </w:rPr>
        <w:t>nakaz stosowania rozwiązań technicznych uwzględniających potrzeby osób ze szczególnymi potrzebami</w:t>
      </w:r>
      <w:r>
        <w:rPr>
          <w:color w:val="000000"/>
          <w:szCs w:val="20"/>
          <w:u w:color="000000"/>
          <w:lang w:val="x-none" w:eastAsia="en-US" w:bidi="ar-SA"/>
        </w:rPr>
        <w:t>,</w:t>
      </w:r>
    </w:p>
    <w:p w:rsidR="001F3C6E" w:rsidRDefault="0086720B">
      <w:pPr>
        <w:numPr>
          <w:ilvl w:val="1"/>
          <w:numId w:val="4"/>
        </w:numPr>
        <w:spacing w:before="120" w:after="120"/>
        <w:ind w:left="1005" w:hanging="284"/>
        <w:contextualSpacing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>ustalenie szczególnych warunków zagospodarowania terenów oraz ograniczeń w ich użytkowaniu:</w:t>
      </w:r>
    </w:p>
    <w:p w:rsidR="001F3C6E" w:rsidRDefault="0086720B">
      <w:pPr>
        <w:numPr>
          <w:ilvl w:val="2"/>
          <w:numId w:val="8"/>
        </w:numPr>
        <w:spacing w:before="120" w:after="120"/>
        <w:ind w:left="1290" w:hanging="274"/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 xml:space="preserve">w strefach kontrolowanych od gazociągów, </w:t>
      </w:r>
    </w:p>
    <w:p w:rsidR="001F3C6E" w:rsidRDefault="0086720B">
      <w:pPr>
        <w:numPr>
          <w:ilvl w:val="2"/>
          <w:numId w:val="8"/>
        </w:numPr>
        <w:spacing w:before="120" w:after="120"/>
        <w:ind w:left="1290" w:hanging="274"/>
        <w:contextualSpacing/>
        <w:rPr>
          <w:color w:val="000000"/>
          <w:szCs w:val="20"/>
          <w:lang w:val="x-none" w:eastAsia="en-US" w:bidi="ar-SA"/>
        </w:rPr>
      </w:pPr>
      <w:r>
        <w:rPr>
          <w:szCs w:val="20"/>
          <w:u w:color="000000"/>
          <w:lang w:val="x-none" w:eastAsia="en-US" w:bidi="ar-SA"/>
        </w:rPr>
        <w:t>w strefach ochronnych od napowietrznych linii elektroenergetycznych</w:t>
      </w:r>
      <w:r>
        <w:rPr>
          <w:szCs w:val="20"/>
          <w:u w:color="000000"/>
        </w:rPr>
        <w:t>,</w:t>
      </w:r>
    </w:p>
    <w:p w:rsidR="001F3C6E" w:rsidRDefault="0086720B">
      <w:pPr>
        <w:numPr>
          <w:ilvl w:val="2"/>
          <w:numId w:val="8"/>
        </w:numPr>
        <w:spacing w:before="120" w:after="120"/>
        <w:ind w:left="1290" w:hanging="274"/>
        <w:contextualSpacing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</w:rPr>
        <w:t xml:space="preserve">wynikających ze wskazanych na rysunku planu stref ochronnych związanych z ograniczeniami w zabudowie oraz zagospodarowaniu i użytkowaniu terenu </w:t>
      </w:r>
      <w:r>
        <w:rPr>
          <w:color w:val="000000"/>
          <w:szCs w:val="20"/>
        </w:rPr>
        <w:lastRenderedPageBreak/>
        <w:t>o</w:t>
      </w:r>
      <w:r>
        <w:rPr>
          <w:color w:val="000000"/>
          <w:szCs w:val="20"/>
        </w:rPr>
        <w:t>raz występowaniem znaczącego oddziaływania na środowisko od urządzeń wytwarzających energię z odnawialnych źródeł energii o mocy przekraczającej 100 kW,</w:t>
      </w:r>
    </w:p>
    <w:p w:rsidR="001F3C6E" w:rsidRDefault="0086720B">
      <w:pPr>
        <w:numPr>
          <w:ilvl w:val="2"/>
          <w:numId w:val="8"/>
        </w:numPr>
        <w:spacing w:before="120" w:after="120"/>
        <w:ind w:left="1290" w:hanging="274"/>
        <w:contextualSpacing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 xml:space="preserve">wynikających z położenia w sąsiedztwie linii kolejowej ograniczenia sytuowania budowli i budynków – na </w:t>
      </w:r>
      <w:r>
        <w:rPr>
          <w:color w:val="000000"/>
          <w:szCs w:val="20"/>
          <w:u w:color="000000"/>
          <w:lang w:val="x-none" w:eastAsia="en-US" w:bidi="ar-SA"/>
        </w:rPr>
        <w:t>obszarze oznaczonym na rysunku planu jako strefa „A”, ograniczenia w wykonywaniu robót ziemnych – na obszarze oznaczonym na rysunku planu jako strefa „B”</w:t>
      </w:r>
      <w:r>
        <w:rPr>
          <w:color w:val="000000"/>
          <w:szCs w:val="20"/>
          <w:u w:color="000000"/>
        </w:rPr>
        <w:t xml:space="preserve"> </w:t>
      </w:r>
      <w:r>
        <w:rPr>
          <w:color w:val="000000"/>
          <w:szCs w:val="20"/>
          <w:u w:color="000000"/>
          <w:lang w:val="x-none" w:eastAsia="en-US" w:bidi="ar-SA"/>
        </w:rPr>
        <w:t>oraz ograniczenia w sytuowaniu drzew i krzewów – zgodnie z przepisami odrębnymi z zakresu transportu k</w:t>
      </w:r>
      <w:r>
        <w:rPr>
          <w:color w:val="000000"/>
          <w:szCs w:val="20"/>
          <w:u w:color="000000"/>
          <w:lang w:val="x-none" w:eastAsia="en-US" w:bidi="ar-SA"/>
        </w:rPr>
        <w:t>olejowego,</w:t>
      </w:r>
    </w:p>
    <w:p w:rsidR="001F3C6E" w:rsidRDefault="0086720B">
      <w:pPr>
        <w:numPr>
          <w:ilvl w:val="2"/>
          <w:numId w:val="8"/>
        </w:numPr>
        <w:spacing w:before="120" w:after="120"/>
        <w:ind w:left="1290" w:hanging="274"/>
        <w:contextualSpacing/>
        <w:rPr>
          <w:szCs w:val="20"/>
          <w:lang w:val="x-none" w:eastAsia="en-US" w:bidi="ar-SA"/>
        </w:rPr>
      </w:pPr>
      <w:r>
        <w:rPr>
          <w:color w:val="000000"/>
          <w:szCs w:val="20"/>
        </w:rPr>
        <w:t>wynikających ze wskazanych na rysunku planu stref oddziaływania kolejowego tunelu średnicowego oznaczonych symbolami: SO1, SO2 i SO3:</w:t>
      </w:r>
    </w:p>
    <w:p w:rsidR="001F3C6E" w:rsidRDefault="0086720B">
      <w:pPr>
        <w:numPr>
          <w:ilvl w:val="2"/>
          <w:numId w:val="8"/>
        </w:numPr>
        <w:spacing w:before="120" w:after="120"/>
        <w:ind w:left="1290" w:hanging="274"/>
        <w:contextualSpacing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>wynikając</w:t>
      </w:r>
      <w:r>
        <w:rPr>
          <w:color w:val="000000"/>
          <w:szCs w:val="20"/>
          <w:u w:color="000000"/>
        </w:rPr>
        <w:t>ych</w:t>
      </w:r>
      <w:r>
        <w:rPr>
          <w:color w:val="000000"/>
          <w:szCs w:val="20"/>
          <w:u w:color="000000"/>
          <w:lang w:val="x-none" w:eastAsia="en-US" w:bidi="ar-SA"/>
        </w:rPr>
        <w:t xml:space="preserve"> z położenia fragmentu obszaru planu w granicach obszaru zakazu budowy lub rozbudowy obiektów budow</w:t>
      </w:r>
      <w:r>
        <w:rPr>
          <w:color w:val="000000"/>
          <w:szCs w:val="20"/>
          <w:u w:color="000000"/>
          <w:lang w:val="x-none" w:eastAsia="en-US" w:bidi="ar-SA"/>
        </w:rPr>
        <w:t>lanych sprzyjających występowaniu zwierząt stwarzających zagrożenie dla ruchu statków powietrznych;</w:t>
      </w:r>
    </w:p>
    <w:p w:rsidR="001F3C6E" w:rsidRDefault="0086720B">
      <w:pPr>
        <w:spacing w:before="120" w:after="120"/>
        <w:ind w:left="720" w:hanging="435"/>
        <w:contextualSpacing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u w:color="000000"/>
        </w:rPr>
        <w:t xml:space="preserve">5) </w:t>
      </w:r>
      <w:r>
        <w:rPr>
          <w:color w:val="000000"/>
          <w:szCs w:val="20"/>
          <w:u w:color="000000"/>
          <w:lang w:val="x-none" w:eastAsia="en-US" w:bidi="ar-SA"/>
        </w:rPr>
        <w:t xml:space="preserve">walory </w:t>
      </w:r>
      <w:r>
        <w:rPr>
          <w:color w:val="000000"/>
          <w:szCs w:val="20"/>
          <w:lang w:val="x-none" w:eastAsia="en-US" w:bidi="ar-SA"/>
        </w:rPr>
        <w:t>ekonomiczne przestrzeni poprzez racjonalne wykorzystanie istniejących elementów zagospodarowania terenu i wyposażenia technicznego przy wyznaczani</w:t>
      </w:r>
      <w:r>
        <w:rPr>
          <w:color w:val="000000"/>
          <w:szCs w:val="20"/>
          <w:lang w:val="x-none" w:eastAsia="en-US" w:bidi="ar-SA"/>
        </w:rPr>
        <w:t xml:space="preserve">u nowych korytarzy drogowych, wykorzystanie </w:t>
      </w:r>
      <w:r>
        <w:rPr>
          <w:szCs w:val="20"/>
          <w:lang w:val="x-none" w:eastAsia="en-US" w:bidi="ar-SA"/>
        </w:rPr>
        <w:t>naturalnych zasobów środowiska dla kształtowania terenów rekreacyjno-wypoczynkowych i zieleni</w:t>
      </w:r>
      <w:r>
        <w:rPr>
          <w:color w:val="000000"/>
          <w:szCs w:val="20"/>
          <w:lang w:val="x-none" w:eastAsia="en-US" w:bidi="ar-SA"/>
        </w:rPr>
        <w:t xml:space="preserve"> oraz minimalizację wydatków na realizację zadań publicznych określonych w projekcie planu;</w:t>
      </w:r>
    </w:p>
    <w:p w:rsidR="001F3C6E" w:rsidRDefault="0086720B">
      <w:pPr>
        <w:spacing w:before="120" w:after="120"/>
        <w:ind w:left="720" w:hanging="435"/>
        <w:contextualSpacing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u w:color="000000"/>
        </w:rPr>
        <w:t xml:space="preserve">6) </w:t>
      </w:r>
      <w:r>
        <w:rPr>
          <w:color w:val="000000"/>
          <w:szCs w:val="20"/>
          <w:u w:color="000000"/>
          <w:lang w:val="x-none" w:eastAsia="en-US" w:bidi="ar-SA"/>
        </w:rPr>
        <w:t>prawo własności, poprzez</w:t>
      </w:r>
      <w:r>
        <w:rPr>
          <w:color w:val="000000"/>
          <w:szCs w:val="20"/>
          <w:u w:color="000000"/>
          <w:lang w:val="x-none" w:eastAsia="en-US" w:bidi="ar-SA"/>
        </w:rPr>
        <w:t xml:space="preserve"> kształtowanie przeznaczenia terenów z uwzględnieniem dotychczasowego ich zagospodarowania i zabudowy, ingerując we własność prywatną w sposób racjonalny, ograniczony do uzasadnionych potrzeb wynikających z interesu publicznego, w celu wyznaczenia terenów </w:t>
      </w:r>
      <w:r>
        <w:rPr>
          <w:color w:val="000000"/>
          <w:szCs w:val="20"/>
          <w:u w:color="000000"/>
          <w:lang w:val="x-none" w:eastAsia="en-US" w:bidi="ar-SA"/>
        </w:rPr>
        <w:t>rozmieszczenia inwestycji celu publicznego o znaczeniu lokalnym, a także w celu ochrony środowiska, przyrody i krajobrazu oraz ładu przestrzennego;</w:t>
      </w:r>
    </w:p>
    <w:p w:rsidR="001F3C6E" w:rsidRDefault="0086720B">
      <w:pPr>
        <w:spacing w:before="120" w:after="120"/>
        <w:ind w:left="720" w:hanging="435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</w:rPr>
        <w:t xml:space="preserve">7) </w:t>
      </w:r>
      <w:r>
        <w:rPr>
          <w:szCs w:val="20"/>
          <w:u w:color="000000"/>
          <w:lang w:val="x-none" w:eastAsia="en-US" w:bidi="ar-SA"/>
        </w:rPr>
        <w:t>potrzeby obronności i bezpieczeństwa państwa ustalając ograniczenia w sposobie zagospodarowania terenu po</w:t>
      </w:r>
      <w:r>
        <w:rPr>
          <w:szCs w:val="20"/>
          <w:u w:color="000000"/>
          <w:lang w:val="x-none" w:eastAsia="en-US" w:bidi="ar-SA"/>
        </w:rPr>
        <w:t>przez określenie maksymalnej wysokości obiektów budowlanych, a także dostosowanie dróg publicznych, sieci i urządzeń infrastruktury technicznej do działań w sytuacjach szczególnych zagrożeń;</w:t>
      </w:r>
    </w:p>
    <w:p w:rsidR="001F3C6E" w:rsidRDefault="0086720B">
      <w:pPr>
        <w:ind w:left="720" w:hanging="435"/>
        <w:contextualSpacing/>
        <w:rPr>
          <w:szCs w:val="20"/>
          <w:lang w:val="x-none" w:eastAsia="en-US" w:bidi="ar-SA"/>
        </w:rPr>
      </w:pPr>
      <w:r>
        <w:rPr>
          <w:szCs w:val="20"/>
        </w:rPr>
        <w:t xml:space="preserve">8) </w:t>
      </w:r>
      <w:r>
        <w:rPr>
          <w:szCs w:val="20"/>
          <w:lang w:val="x-none" w:eastAsia="en-US" w:bidi="ar-SA"/>
        </w:rPr>
        <w:t>potrzeby interesu publicznego, wskazując w projekcie planu gra</w:t>
      </w:r>
      <w:r>
        <w:rPr>
          <w:szCs w:val="20"/>
          <w:lang w:val="x-none" w:eastAsia="en-US" w:bidi="ar-SA"/>
        </w:rPr>
        <w:t xml:space="preserve">nice terenów rozmieszczenia inwestycji celu publicznego o znaczeniu lokalnym, </w:t>
      </w:r>
      <w:r>
        <w:rPr>
          <w:color w:val="000000"/>
          <w:szCs w:val="20"/>
          <w:u w:color="000000"/>
          <w:lang w:val="x-none" w:eastAsia="en-US" w:bidi="ar-SA"/>
        </w:rPr>
        <w:t>a także zasady ochrony środowiska, przyrody i krajobrazu oraz ładu przestrzennego;</w:t>
      </w:r>
    </w:p>
    <w:p w:rsidR="001F3C6E" w:rsidRDefault="0086720B">
      <w:pPr>
        <w:spacing w:before="120" w:after="120"/>
        <w:ind w:left="720" w:hanging="435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</w:rPr>
        <w:t xml:space="preserve">9) </w:t>
      </w:r>
      <w:r>
        <w:rPr>
          <w:szCs w:val="20"/>
          <w:u w:color="000000"/>
          <w:lang w:val="x-none" w:eastAsia="en-US" w:bidi="ar-SA"/>
        </w:rPr>
        <w:t>potrzeby w zakresie rozwoju infrastruktury technicznej, w szczególności sieci szerokopasmowy</w:t>
      </w:r>
      <w:r>
        <w:rPr>
          <w:szCs w:val="20"/>
          <w:u w:color="000000"/>
          <w:lang w:val="x-none" w:eastAsia="en-US" w:bidi="ar-SA"/>
        </w:rPr>
        <w:t>ch, określając możliwość wyposażenia terenów w sieci i urządzenia infrastruktury technicznej;</w:t>
      </w:r>
    </w:p>
    <w:p w:rsidR="001F3C6E" w:rsidRDefault="0086720B">
      <w:pPr>
        <w:spacing w:before="120" w:after="120"/>
        <w:ind w:left="720" w:hanging="435"/>
        <w:contextualSpacing/>
        <w:rPr>
          <w:color w:val="000000"/>
          <w:szCs w:val="20"/>
          <w:lang w:val="x-none" w:eastAsia="en-US" w:bidi="ar-SA"/>
        </w:rPr>
      </w:pPr>
      <w:r>
        <w:rPr>
          <w:szCs w:val="20"/>
          <w:u w:color="000000"/>
        </w:rPr>
        <w:t xml:space="preserve">10) </w:t>
      </w:r>
      <w:r>
        <w:rPr>
          <w:color w:val="000000"/>
          <w:szCs w:val="20"/>
          <w:lang w:val="x-none" w:eastAsia="en-US" w:bidi="ar-SA"/>
        </w:rPr>
        <w:t xml:space="preserve">zapewnienie udziału społeczeństwa w pracach nad miejscowym planem zagospodarowania przestrzennego, w tym przy użyciu środków komunikacji elektronicznej </w:t>
      </w:r>
      <w:r>
        <w:rPr>
          <w:color w:val="000000"/>
          <w:szCs w:val="20"/>
          <w:lang w:val="x-none" w:eastAsia="en-US" w:bidi="ar-SA"/>
        </w:rPr>
        <w:t>poprzez:</w:t>
      </w:r>
    </w:p>
    <w:p w:rsidR="001F3C6E" w:rsidRDefault="0086720B">
      <w:pPr>
        <w:spacing w:before="120" w:after="120"/>
        <w:ind w:left="1005" w:hanging="285"/>
        <w:contextualSpacing/>
        <w:rPr>
          <w:szCs w:val="20"/>
          <w:u w:color="000000"/>
          <w:lang w:val="x-none" w:eastAsia="en-US" w:bidi="ar-SA"/>
        </w:rPr>
      </w:pPr>
      <w:r>
        <w:rPr>
          <w:szCs w:val="20"/>
          <w:u w:color="000000"/>
        </w:rPr>
        <w:t xml:space="preserve">a) </w:t>
      </w:r>
      <w:r>
        <w:rPr>
          <w:szCs w:val="20"/>
          <w:u w:color="000000"/>
          <w:lang w:val="x-none" w:eastAsia="en-US" w:bidi="ar-SA"/>
        </w:rPr>
        <w:t xml:space="preserve">podanie do publicznej wiadomości informacji o przystąpieniu do sporządzenia projektu planu </w:t>
      </w:r>
      <w:r>
        <w:rPr>
          <w:color w:val="000000"/>
          <w:szCs w:val="20"/>
          <w:u w:color="000000"/>
          <w:lang w:val="x-none" w:eastAsia="en-US" w:bidi="ar-SA"/>
        </w:rPr>
        <w:t xml:space="preserve">i możliwości składania wniosków do planu miejscowego na piśmie w formie papierowej, w formie elektronicznej za pomocą środków komunikacji elektronicznej </w:t>
      </w:r>
      <w:r>
        <w:rPr>
          <w:color w:val="000000"/>
          <w:szCs w:val="20"/>
          <w:u w:color="000000"/>
          <w:lang w:val="x-none" w:eastAsia="en-US" w:bidi="ar-SA"/>
        </w:rPr>
        <w:t>lub ustnie do protokołu</w:t>
      </w:r>
      <w:r>
        <w:rPr>
          <w:szCs w:val="20"/>
          <w:u w:color="000000"/>
          <w:lang w:val="x-none" w:eastAsia="en-US" w:bidi="ar-SA"/>
        </w:rPr>
        <w:t>,</w:t>
      </w:r>
    </w:p>
    <w:p w:rsidR="001F3C6E" w:rsidRDefault="0086720B">
      <w:pPr>
        <w:spacing w:before="120" w:after="120"/>
        <w:ind w:left="1005" w:hanging="285"/>
        <w:contextualSpacing/>
        <w:rPr>
          <w:color w:val="000000"/>
          <w:szCs w:val="20"/>
          <w:u w:color="000000"/>
        </w:rPr>
      </w:pPr>
      <w:r>
        <w:rPr>
          <w:szCs w:val="20"/>
          <w:u w:color="000000"/>
        </w:rPr>
        <w:t xml:space="preserve">b) </w:t>
      </w:r>
      <w:r>
        <w:rPr>
          <w:color w:val="000000"/>
          <w:szCs w:val="20"/>
          <w:u w:color="000000"/>
          <w:lang w:val="x-none" w:eastAsia="en-US" w:bidi="ar-SA"/>
        </w:rPr>
        <w:t>umożliwienie zapoznania się z niezbędną dokumentacją sprawy w siedzibie Miejskiej Pracowni Urbanistycznej w Łodzi</w:t>
      </w:r>
      <w:r>
        <w:rPr>
          <w:color w:val="000000"/>
          <w:szCs w:val="20"/>
          <w:u w:color="000000"/>
        </w:rPr>
        <w:t>,</w:t>
      </w:r>
    </w:p>
    <w:p w:rsidR="001F3C6E" w:rsidRDefault="0086720B">
      <w:pPr>
        <w:spacing w:before="120" w:after="120"/>
        <w:ind w:left="1005" w:hanging="285"/>
        <w:contextualSpacing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c) podanie do publicznej wiadomości informacji o wyłożeniu do publicznego wglądu projektu planu miejscowego i </w:t>
      </w:r>
      <w:r>
        <w:rPr>
          <w:color w:val="000000"/>
          <w:szCs w:val="20"/>
          <w:u w:color="000000"/>
        </w:rPr>
        <w:t>organizacji dyskusji publicznej, zgodnie z wymogami przepisów ustawy z dnia 27 marca 2003 r. o planowaniu i zagospodarowaniu przestrzennym w formie ogłoszeń w prasie, obwieszczeń umieszczonych na tablicy ogłoszeń oraz zamieszczonych na stronie internetowej</w:t>
      </w:r>
      <w:r>
        <w:rPr>
          <w:color w:val="000000"/>
          <w:szCs w:val="20"/>
          <w:u w:color="000000"/>
        </w:rPr>
        <w:t xml:space="preserve"> Miejskiej Pracowni Urbanistycznej w Łodzi,</w:t>
      </w:r>
    </w:p>
    <w:p w:rsidR="001F3C6E" w:rsidRDefault="0086720B">
      <w:pPr>
        <w:spacing w:before="120" w:after="120"/>
        <w:ind w:left="1005" w:hanging="285"/>
        <w:contextualSpacing/>
        <w:rPr>
          <w:szCs w:val="20"/>
          <w:u w:color="000000"/>
          <w:lang w:val="x-none" w:eastAsia="en-US" w:bidi="ar-SA"/>
        </w:rPr>
      </w:pPr>
      <w:r>
        <w:rPr>
          <w:color w:val="000000"/>
          <w:szCs w:val="20"/>
          <w:u w:color="000000"/>
        </w:rPr>
        <w:lastRenderedPageBreak/>
        <w:t>d) umożliwienie składania uwag do projektu planu;</w:t>
      </w:r>
    </w:p>
    <w:p w:rsidR="001F3C6E" w:rsidRDefault="0086720B">
      <w:pPr>
        <w:spacing w:before="120" w:after="120"/>
        <w:ind w:left="720" w:hanging="435"/>
        <w:contextualSpacing/>
        <w:rPr>
          <w:szCs w:val="20"/>
          <w:lang w:val="x-none" w:eastAsia="en-US" w:bidi="ar-SA"/>
        </w:rPr>
      </w:pPr>
      <w:r>
        <w:rPr>
          <w:szCs w:val="20"/>
          <w:u w:color="000000"/>
        </w:rPr>
        <w:t xml:space="preserve">11) </w:t>
      </w:r>
      <w:r>
        <w:rPr>
          <w:szCs w:val="20"/>
          <w:u w:color="000000"/>
          <w:lang w:val="x-none" w:eastAsia="en-US" w:bidi="ar-SA"/>
        </w:rPr>
        <w:t>zachowanie jawności i przejrzystości procedur planistycznych, poprzez zastosowanie się do czynności formalno-prawnych określonych w art. 17 ustawy z dnia 27 m</w:t>
      </w:r>
      <w:r>
        <w:rPr>
          <w:szCs w:val="20"/>
          <w:u w:color="000000"/>
          <w:lang w:val="x-none" w:eastAsia="en-US" w:bidi="ar-SA"/>
        </w:rPr>
        <w:t>arca 2003 r. o planowaniu i zagospodarowaniu przestrzennym, jak również na podstawie art. 21, art. 39 i art. 54 ustawy z dnia 3 października 2008 r. o udostępnianiu informacji o środowisku i jego ochronie, udziale społeczeństwa w ochronie środowiska oraz o</w:t>
      </w:r>
      <w:r>
        <w:rPr>
          <w:szCs w:val="20"/>
          <w:u w:color="000000"/>
          <w:lang w:val="x-none" w:eastAsia="en-US" w:bidi="ar-SA"/>
        </w:rPr>
        <w:t> ocenach oddziaływania na środowisko (Dz. U. z 202</w:t>
      </w:r>
      <w:r>
        <w:rPr>
          <w:szCs w:val="20"/>
          <w:u w:color="000000"/>
        </w:rPr>
        <w:t>3 r. poz. 1094, 1113, 1501, 1506, 1688, 1719, 1890, 1906 i 2029</w:t>
      </w:r>
      <w:r>
        <w:rPr>
          <w:szCs w:val="20"/>
          <w:u w:color="000000"/>
          <w:lang w:val="x-none" w:eastAsia="en-US" w:bidi="ar-SA"/>
        </w:rPr>
        <w:t>) przeprowadzając strategiczną ocenę oddziaływania na środowisko skutków realizacji przedmiotowego miejscowego planu zagospodarowania przestrze</w:t>
      </w:r>
      <w:r>
        <w:rPr>
          <w:szCs w:val="20"/>
          <w:u w:color="000000"/>
          <w:lang w:val="x-none" w:eastAsia="en-US" w:bidi="ar-SA"/>
        </w:rPr>
        <w:t>nnego;</w:t>
      </w:r>
    </w:p>
    <w:p w:rsidR="001F3C6E" w:rsidRDefault="0086720B">
      <w:pPr>
        <w:spacing w:before="120" w:after="120"/>
        <w:ind w:left="720" w:hanging="435"/>
        <w:contextualSpacing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u w:color="000000"/>
        </w:rPr>
        <w:t xml:space="preserve">12) </w:t>
      </w:r>
      <w:r>
        <w:rPr>
          <w:color w:val="000000"/>
          <w:szCs w:val="20"/>
          <w:u w:color="000000"/>
          <w:lang w:val="x-none" w:eastAsia="en-US" w:bidi="ar-SA"/>
        </w:rPr>
        <w:t>potrzebę zapewnienia odpowiedniej ilości i jakości wody, do celów zaopatrzenia ludności, poprzez wykorzystanie istniejącej sieci wodociągowej i umożliwienie jej przebudowy i rozbudowy, a także poprzez budowę nowej sieci, umożliwiając obsługę ist</w:t>
      </w:r>
      <w:r>
        <w:rPr>
          <w:color w:val="000000"/>
          <w:szCs w:val="20"/>
          <w:u w:color="000000"/>
          <w:lang w:val="x-none" w:eastAsia="en-US" w:bidi="ar-SA"/>
        </w:rPr>
        <w:t>niejącej zabudowy i altan działkowych.</w:t>
      </w:r>
    </w:p>
    <w:p w:rsidR="001F3C6E" w:rsidRDefault="0086720B">
      <w:pPr>
        <w:numPr>
          <w:ilvl w:val="1"/>
          <w:numId w:val="1"/>
        </w:numPr>
        <w:ind w:left="284" w:hanging="284"/>
        <w:contextualSpacing/>
        <w:rPr>
          <w:color w:val="000000"/>
          <w:szCs w:val="20"/>
          <w:lang w:val="x-none" w:eastAsia="en-US" w:bidi="ar-SA"/>
        </w:rPr>
      </w:pPr>
      <w:r>
        <w:rPr>
          <w:color w:val="000000"/>
          <w:szCs w:val="20"/>
          <w:lang w:val="x-none" w:eastAsia="en-US" w:bidi="ar-SA"/>
        </w:rPr>
        <w:t>Ze względu na brak podstaw wynikających ze stanu faktycznego zagospodarowania obszaru w projekcie planu nie określono:</w:t>
      </w:r>
    </w:p>
    <w:p w:rsidR="001F3C6E" w:rsidRDefault="0086720B">
      <w:pPr>
        <w:numPr>
          <w:ilvl w:val="2"/>
          <w:numId w:val="1"/>
        </w:numPr>
        <w:ind w:left="709" w:hanging="283"/>
        <w:contextualSpacing/>
        <w:rPr>
          <w:szCs w:val="20"/>
          <w:lang w:val="en-US" w:eastAsia="en-US" w:bidi="en-US"/>
        </w:rPr>
      </w:pPr>
      <w:r>
        <w:rPr>
          <w:szCs w:val="20"/>
          <w:lang w:val="en-US" w:eastAsia="en-US" w:bidi="en-US"/>
        </w:rPr>
        <w:t xml:space="preserve">zasad ochrony dziedzictwa kulturowego i zabytków, w tym krajobrazów kulturowych oraz dóbr kultury </w:t>
      </w:r>
      <w:r>
        <w:rPr>
          <w:szCs w:val="20"/>
          <w:lang w:val="en-US" w:eastAsia="en-US" w:bidi="en-US"/>
        </w:rPr>
        <w:t>współczesnej;</w:t>
      </w:r>
    </w:p>
    <w:p w:rsidR="001F3C6E" w:rsidRDefault="0086720B">
      <w:pPr>
        <w:numPr>
          <w:ilvl w:val="2"/>
          <w:numId w:val="1"/>
        </w:numPr>
        <w:ind w:left="709" w:hanging="283"/>
        <w:contextualSpacing/>
        <w:rPr>
          <w:szCs w:val="20"/>
          <w:lang w:val="en-US" w:eastAsia="en-US" w:bidi="en-US"/>
        </w:rPr>
      </w:pPr>
      <w:r>
        <w:rPr>
          <w:szCs w:val="20"/>
          <w:lang w:val="en-US" w:eastAsia="en-US" w:bidi="en-US"/>
        </w:rPr>
        <w:t>granic i sposobów zagospodarowania terenów lub obiektów podlegających ochronie, na podstawie odrębnych przepisów, terenów górniczych, a także obszarów szczególnego zagrożenia powodzią, obszarów osuwania się mas ziemnych, krajobrazów priorytet</w:t>
      </w:r>
      <w:r>
        <w:rPr>
          <w:szCs w:val="20"/>
          <w:lang w:val="en-US" w:eastAsia="en-US" w:bidi="en-US"/>
        </w:rPr>
        <w:t>owych określonych w audycie krajobrazowym oraz w planach zagospodarowania przestrzennego województwa;</w:t>
      </w:r>
    </w:p>
    <w:p w:rsidR="001F3C6E" w:rsidRDefault="0086720B">
      <w:pPr>
        <w:numPr>
          <w:ilvl w:val="2"/>
          <w:numId w:val="1"/>
        </w:numPr>
        <w:spacing w:after="120"/>
        <w:ind w:left="709" w:hanging="283"/>
        <w:contextualSpacing/>
        <w:rPr>
          <w:szCs w:val="20"/>
          <w:lang w:val="en-US" w:eastAsia="en-US" w:bidi="en-US"/>
        </w:rPr>
      </w:pPr>
      <w:r>
        <w:rPr>
          <w:szCs w:val="20"/>
          <w:lang w:val="en-US" w:eastAsia="en-US" w:bidi="en-US"/>
        </w:rPr>
        <w:t>sposobu i terminu tymczasowego zagospodarowania, urządzania i użytkowania terenów.</w:t>
      </w:r>
    </w:p>
    <w:p w:rsidR="001F3C6E" w:rsidRDefault="0086720B">
      <w:pPr>
        <w:numPr>
          <w:ilvl w:val="1"/>
          <w:numId w:val="9"/>
        </w:numPr>
        <w:spacing w:before="120"/>
        <w:ind w:left="284" w:hanging="284"/>
        <w:rPr>
          <w:szCs w:val="20"/>
          <w:lang w:val="x-none" w:eastAsia="en-US" w:bidi="ar-SA"/>
        </w:rPr>
      </w:pPr>
      <w:r>
        <w:rPr>
          <w:color w:val="000000"/>
          <w:szCs w:val="20"/>
          <w:u w:color="000000"/>
          <w:lang w:val="x-none" w:eastAsia="en-US" w:bidi="ar-SA"/>
        </w:rPr>
        <w:t>Zgodnie z art. 1 ust. 3 ww. ustawy u</w:t>
      </w:r>
      <w:r>
        <w:rPr>
          <w:szCs w:val="20"/>
          <w:u w:color="000000"/>
          <w:lang w:val="x-none" w:eastAsia="en-US" w:bidi="ar-SA"/>
        </w:rPr>
        <w:t>stalając przeznaczenie terenu, a ta</w:t>
      </w:r>
      <w:r>
        <w:rPr>
          <w:szCs w:val="20"/>
          <w:u w:color="000000"/>
          <w:lang w:val="x-none" w:eastAsia="en-US" w:bidi="ar-SA"/>
        </w:rPr>
        <w:t>kże określając sposób zagospodarowania i korzystania z terenu, Prezydent Miasta Łodzi zważył interes publiczny i interesy prywatne</w:t>
      </w:r>
      <w:r>
        <w:rPr>
          <w:szCs w:val="20"/>
          <w:lang w:val="x-none" w:eastAsia="en-US" w:bidi="ar-SA"/>
        </w:rPr>
        <w:t>,</w:t>
      </w:r>
      <w:r>
        <w:rPr>
          <w:color w:val="000000"/>
          <w:szCs w:val="20"/>
          <w:lang w:val="x-none" w:eastAsia="en-US" w:bidi="ar-SA"/>
        </w:rPr>
        <w:t xml:space="preserve"> </w:t>
      </w:r>
      <w:r>
        <w:rPr>
          <w:color w:val="000000"/>
          <w:szCs w:val="20"/>
          <w:u w:color="000000"/>
          <w:lang w:val="x-none" w:eastAsia="en-US" w:bidi="ar-SA"/>
        </w:rPr>
        <w:t>zmierzające do ochrony istniejącego stanu zagospodarowania terenu,</w:t>
      </w:r>
      <w:r>
        <w:rPr>
          <w:szCs w:val="20"/>
          <w:lang w:val="x-none" w:eastAsia="en-US" w:bidi="ar-SA"/>
        </w:rPr>
        <w:t xml:space="preserve"> jak i zmian w zakresie jego zagospodarowania, </w:t>
      </w:r>
      <w:r>
        <w:rPr>
          <w:color w:val="000000"/>
          <w:szCs w:val="20"/>
          <w:u w:color="000000"/>
          <w:lang w:val="x-none" w:eastAsia="en-US" w:bidi="ar-SA"/>
        </w:rPr>
        <w:t>a także ana</w:t>
      </w:r>
      <w:r>
        <w:rPr>
          <w:color w:val="000000"/>
          <w:szCs w:val="20"/>
          <w:u w:color="000000"/>
          <w:lang w:val="x-none" w:eastAsia="en-US" w:bidi="ar-SA"/>
        </w:rPr>
        <w:t>lizy ekonomiczne, środowiskowe i społeczne</w:t>
      </w:r>
      <w:r>
        <w:rPr>
          <w:szCs w:val="20"/>
          <w:u w:color="000000"/>
          <w:lang w:val="x-none" w:eastAsia="en-US" w:bidi="ar-SA"/>
        </w:rPr>
        <w:t xml:space="preserve">. Do projektu planu w przewidzianym w ogłoszeniu i obwieszczeniu terminie nie wpłynął żaden wniosek. </w:t>
      </w:r>
    </w:p>
    <w:p w:rsidR="001F3C6E" w:rsidRDefault="0086720B">
      <w:pPr>
        <w:spacing w:after="120"/>
        <w:ind w:left="284" w:hanging="284"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ab/>
      </w:r>
      <w:r>
        <w:rPr>
          <w:szCs w:val="20"/>
        </w:rPr>
        <w:t>Projekt planu miejscowego wraz z prognozą oddziaływania na środowisko został wyłożony do publicznego wglądu w t</w:t>
      </w:r>
      <w:r>
        <w:rPr>
          <w:szCs w:val="20"/>
        </w:rPr>
        <w:t>erminie od 20 lutego 2024 r. do 13 marca 2024 r. Dyskusja publiczna nad przyjętymi w projekcie planu rozwiązaniami odbyła się w dniu 6 marca 2024 r. W terminie przewidzianym do składania uwag, tj. do dnia 27 marca 2024 r. nie wpłynęła żadna uwaga.</w:t>
      </w:r>
    </w:p>
    <w:p w:rsidR="001F3C6E" w:rsidRDefault="0086720B">
      <w:pPr>
        <w:spacing w:before="120" w:after="120"/>
        <w:ind w:left="285" w:hanging="285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</w:rPr>
        <w:t>4. Zgodnie z art. 1 ust. 4 ustawy uwzględniając wymagania ładu przestrzennego, efektywnego gospodarowania przestrzenią oraz walory ekonomiczne przestrzeni w projekcie planu miejscowego zaplanowano rozwiązania przestrzenne i funkcjonalne będące wynikiem ana</w:t>
      </w:r>
      <w:r>
        <w:rPr>
          <w:color w:val="000000"/>
          <w:szCs w:val="20"/>
          <w:u w:color="000000"/>
          <w:shd w:val="clear" w:color="auto" w:fill="FFFFFF"/>
        </w:rPr>
        <w:t xml:space="preserve">lizy obecnego stanu zagospodarowania obszaru oraz potrzeb rozwojowych tej części miasta.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W projekcie planu miejscowego wyznaczono pas drogowy projektowanej ulicy „Wojska Polskiego”, którego szerokość umożliwia lokalizację wszystkich elementów drogi, w tym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również ścieżek rowerowych i pieszych, a także dopuszczono realizację dróg wewnętrznych w</w:t>
      </w:r>
      <w:r>
        <w:rPr>
          <w:color w:val="000000"/>
          <w:szCs w:val="20"/>
          <w:u w:color="000000"/>
          <w:shd w:val="clear" w:color="auto" w:fill="FFFFFF"/>
        </w:rPr>
        <w:t xml:space="preserve"> terenach: 1PEF-ZN, 1ZD i 1ZN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. Ponadto uwzględniono w nim projektowaną inwestycję kolejową polegającą na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„Udrożnieniu Łódzkiego Węzła Kolejowego </w:t>
      </w:r>
      <w:r>
        <w:rPr>
          <w:color w:val="000000"/>
          <w:szCs w:val="20"/>
          <w:shd w:val="clear" w:color="auto" w:fill="FFFFFF"/>
        </w:rPr>
        <w:t>(TEN-T),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etap II, odci</w:t>
      </w:r>
      <w:r>
        <w:rPr>
          <w:color w:val="000000"/>
          <w:szCs w:val="20"/>
          <w:shd w:val="clear" w:color="auto" w:fill="FFFFFF"/>
          <w:lang w:val="x-none" w:eastAsia="en-US" w:bidi="ar-SA"/>
        </w:rPr>
        <w:t>nek Łódź-Fabryczna – Łódź Kaliska/Łódź Żabieniec”, wyznaczając teren komunikacji kolejowej i szynowej</w:t>
      </w:r>
      <w:r>
        <w:rPr>
          <w:color w:val="000000"/>
          <w:szCs w:val="20"/>
          <w:shd w:val="clear" w:color="auto" w:fill="FFFFFF"/>
        </w:rPr>
        <w:t xml:space="preserve"> (1KK), teren drogi głównej lub komunikacji kolejowej i szynowej (1KDG-KK) i teren komunikacji kolejowej i szynowej lub wód powierzchniowych śródlądowych (</w:t>
      </w:r>
      <w:r>
        <w:rPr>
          <w:color w:val="000000"/>
          <w:szCs w:val="20"/>
          <w:shd w:val="clear" w:color="auto" w:fill="FFFFFF"/>
        </w:rPr>
        <w:t>1KK-WS)</w:t>
      </w:r>
      <w:r>
        <w:rPr>
          <w:color w:val="000000"/>
          <w:szCs w:val="20"/>
          <w:shd w:val="clear" w:color="auto" w:fill="FFFFFF"/>
          <w:lang w:val="x-none" w:eastAsia="en-US" w:bidi="ar-SA"/>
        </w:rPr>
        <w:t>.</w:t>
      </w:r>
    </w:p>
    <w:p w:rsidR="001F3C6E" w:rsidRDefault="0086720B">
      <w:pPr>
        <w:spacing w:before="120" w:after="120"/>
        <w:ind w:left="285"/>
        <w:rPr>
          <w:color w:val="000000"/>
          <w:szCs w:val="20"/>
          <w:u w:color="00000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lastRenderedPageBreak/>
        <w:t xml:space="preserve">W projekcie planu uwzględniono również ochronę doliny rzeki Bałutki, wskazano tereny umożliwiające rozwój funkcji ogrodów działkowych, teren przeznaczony na zieleń naturalną, a także teren elektrowni słonecznej lub zieleni naturalnej. </w:t>
      </w:r>
    </w:p>
    <w:p w:rsidR="001F3C6E" w:rsidRDefault="0086720B">
      <w:pPr>
        <w:spacing w:before="120" w:after="120"/>
        <w:ind w:left="285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Przy 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wyborze ostatecznych rozwiązań pod uwagę brano także wnioski zgłaszane m.in. przez instytucje i ograny uprawnione do uzgadniania i opiniowania projektu planu oraz zalecenia wynikające z opracowania ekofizjograficznego i prognozy oddziaływania na środowisko</w:t>
      </w:r>
      <w:r>
        <w:rPr>
          <w:color w:val="000000"/>
          <w:szCs w:val="20"/>
          <w:u w:color="000000"/>
          <w:shd w:val="clear" w:color="auto" w:fill="FFFFFF"/>
          <w:lang w:val="x-none" w:eastAsia="en-US" w:bidi="ar-SA"/>
        </w:rPr>
        <w:t>. Podczas prac nad projektem planu miejscowego kierowano się jednocześnie potrzebą uporządkowania i właściwego ukształtowania ładu przestrzennego, koniecznością spełnienia wymogów przepisów odrębnych oraz równoważeniem interesów publicznych i prywatnych.</w:t>
      </w:r>
    </w:p>
    <w:p w:rsidR="001F3C6E" w:rsidRDefault="0086720B">
      <w:pPr>
        <w:spacing w:before="120" w:after="120"/>
        <w:ind w:left="426" w:hanging="426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u w:color="000000"/>
          <w:shd w:val="clear" w:color="auto" w:fill="FFFFFF"/>
          <w:lang w:val="x-none" w:eastAsia="en-US" w:bidi="ar-SA"/>
        </w:rPr>
        <w:t>I</w:t>
      </w:r>
      <w:r>
        <w:rPr>
          <w:b/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I. </w:t>
      </w:r>
      <w:r>
        <w:rPr>
          <w:b/>
          <w:color w:val="000000"/>
          <w:szCs w:val="20"/>
          <w:u w:color="000000"/>
          <w:shd w:val="clear" w:color="auto" w:fill="FFFFFF"/>
          <w:lang w:val="x-none" w:eastAsia="en-US" w:bidi="ar-SA"/>
        </w:rPr>
        <w:tab/>
        <w:t>Zgodność z wynikami analizy dotyczącej oceny aktualności studium uwarunkowań i kierunków zagospodarowania przestrzennego oraz miejscowych planów zagospodarowania przestrzennego Łodzi oraz sposób uwzględnienia uniwersalnego projektowania.</w:t>
      </w:r>
    </w:p>
    <w:p w:rsidR="001F3C6E" w:rsidRDefault="0086720B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Zgodnie z wymo</w:t>
      </w:r>
      <w:r>
        <w:rPr>
          <w:color w:val="000000"/>
          <w:szCs w:val="20"/>
          <w:shd w:val="clear" w:color="auto" w:fill="FFFFFF"/>
          <w:lang w:val="x-none" w:eastAsia="en-US" w:bidi="ar-SA"/>
        </w:rPr>
        <w:t>giem art. 32 ust. 1 ustawy z dnia 27 marca 2003 r. o planowaniu i zagospodarowaniu przestrzennym w celu oceny aktualności studium i planów miejscowych Prezydent Miasta Łodzi dokonał analizy zmian w zagospodarowaniu przestrzennym. Wyniki analiz przekazał Ra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dzie Miejskiej w Łodzi. W dniu </w:t>
      </w:r>
      <w:r>
        <w:rPr>
          <w:color w:val="000000"/>
          <w:szCs w:val="20"/>
          <w:shd w:val="clear" w:color="auto" w:fill="FFFFFF"/>
        </w:rPr>
        <w:t>13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</w:t>
      </w:r>
      <w:r>
        <w:rPr>
          <w:color w:val="000000"/>
          <w:szCs w:val="20"/>
          <w:shd w:val="clear" w:color="auto" w:fill="FFFFFF"/>
        </w:rPr>
        <w:t>marca 2024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r. Rada Miejska w Łodzi, zgodnie z art. 32 ust. 2 ww. ustawy, podjęła uchwałę Nr L</w:t>
      </w:r>
      <w:r>
        <w:rPr>
          <w:color w:val="000000"/>
          <w:szCs w:val="20"/>
          <w:shd w:val="clear" w:color="auto" w:fill="FFFFFF"/>
        </w:rPr>
        <w:t>XXXVIII/2684/24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 w sprawie aktualności Studium uwarunkowań i kierunków zagospodarowania przestrzennego</w:t>
      </w:r>
      <w:r>
        <w:rPr>
          <w:color w:val="000000"/>
          <w:szCs w:val="20"/>
          <w:shd w:val="clear" w:color="auto" w:fill="FFFFFF"/>
        </w:rPr>
        <w:t xml:space="preserve"> oraz miejscowych planów zag</w:t>
      </w:r>
      <w:r>
        <w:rPr>
          <w:color w:val="000000"/>
          <w:szCs w:val="20"/>
          <w:shd w:val="clear" w:color="auto" w:fill="FFFFFF"/>
        </w:rPr>
        <w:t>ospodarowania przestrzennego miasta Łodzi</w:t>
      </w:r>
      <w:r>
        <w:rPr>
          <w:color w:val="000000"/>
          <w:szCs w:val="20"/>
          <w:shd w:val="clear" w:color="auto" w:fill="FFFFFF"/>
          <w:lang w:val="x-none" w:eastAsia="en-US" w:bidi="ar-SA"/>
        </w:rPr>
        <w:t>. Analiza ta wykazała, że nie zachodzi przesłanka, w której należałoby zweryfikować politykę przestrzenną miasta na obszarze objętym projektem przedmiotowego planu miejscowego.</w:t>
      </w:r>
    </w:p>
    <w:p w:rsidR="001F3C6E" w:rsidRDefault="001F3C6E">
      <w:pPr>
        <w:ind w:firstLine="284"/>
        <w:rPr>
          <w:color w:val="000000"/>
          <w:szCs w:val="20"/>
          <w:shd w:val="clear" w:color="auto" w:fill="FFFFFF"/>
          <w:lang w:val="x-none" w:eastAsia="en-US" w:bidi="ar-SA"/>
        </w:rPr>
      </w:pPr>
    </w:p>
    <w:p w:rsidR="001F3C6E" w:rsidRDefault="0086720B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Projekt planu uwzględnia uniwersalne </w:t>
      </w:r>
      <w:r>
        <w:rPr>
          <w:color w:val="000000"/>
          <w:szCs w:val="20"/>
          <w:shd w:val="clear" w:color="auto" w:fill="FFFFFF"/>
          <w:lang w:val="x-none" w:eastAsia="en-US" w:bidi="ar-SA"/>
        </w:rPr>
        <w:t>projektowanie:</w:t>
      </w:r>
    </w:p>
    <w:p w:rsidR="001F3C6E" w:rsidRDefault="0086720B">
      <w:pPr>
        <w:numPr>
          <w:ilvl w:val="0"/>
          <w:numId w:val="10"/>
        </w:numPr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 xml:space="preserve">w zakresie dostępności architektonicznej – poprzez </w:t>
      </w:r>
      <w:r>
        <w:rPr>
          <w:color w:val="000000"/>
          <w:szCs w:val="20"/>
          <w:u w:color="000000"/>
          <w:lang w:val="x-none" w:eastAsia="en-US" w:bidi="ar-SA"/>
        </w:rPr>
        <w:t>ustalenie wymagań wynikających z potrzeb kształtowania przestrzeni publicznych ustalając nakaz stosowania rozwiązań technicznych uwzględniających potrzeby osób ze szczególnymi potrzebami,</w:t>
      </w:r>
    </w:p>
    <w:p w:rsidR="001F3C6E" w:rsidRDefault="0086720B">
      <w:pPr>
        <w:numPr>
          <w:ilvl w:val="0"/>
          <w:numId w:val="10"/>
        </w:numPr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 xml:space="preserve">w </w:t>
      </w:r>
      <w:r>
        <w:rPr>
          <w:szCs w:val="20"/>
          <w:lang w:val="x-none" w:eastAsia="en-US" w:bidi="ar-SA"/>
        </w:rPr>
        <w:t>zakresie dostępności cyfrowej – poprzez zapewnienie dostępności strony internetowej Miejskiej Pracowni Urbanistycznej w Łodzi zgodnie z zmieszczoną deklaracją dostępności, wymaganą ustawą z dnia 4 kwietnia 2019 r. o dostępności cyfrowej stron internetowych</w:t>
      </w:r>
      <w:r>
        <w:rPr>
          <w:szCs w:val="20"/>
          <w:lang w:val="x-none" w:eastAsia="en-US" w:bidi="ar-SA"/>
        </w:rPr>
        <w:t xml:space="preserve"> i aplikacji mobilnych podmiotów publicznych (</w:t>
      </w:r>
      <w:r>
        <w:rPr>
          <w:color w:val="000000"/>
          <w:szCs w:val="20"/>
          <w:u w:color="000000"/>
          <w:lang w:val="x-none" w:eastAsia="en-US" w:bidi="ar-SA"/>
        </w:rPr>
        <w:t xml:space="preserve">Dz. U. z 2023 r. poz. </w:t>
      </w:r>
      <w:r>
        <w:rPr>
          <w:color w:val="000000"/>
          <w:szCs w:val="20"/>
          <w:u w:color="000000"/>
        </w:rPr>
        <w:t>1440</w:t>
      </w:r>
      <w:r>
        <w:rPr>
          <w:szCs w:val="20"/>
          <w:lang w:val="x-none" w:eastAsia="en-US" w:bidi="ar-SA"/>
        </w:rPr>
        <w:t>), która umożliwia zapoznanie się ze stanem zaawansowania prac planistycznych, obwieszczeniami o przystąpieniu do sporządzenia planu i  o wyłożeniu projektu planu do publicznego wglądu</w:t>
      </w:r>
      <w:r>
        <w:rPr>
          <w:szCs w:val="20"/>
          <w:lang w:val="x-none" w:eastAsia="en-US" w:bidi="ar-SA"/>
        </w:rPr>
        <w:t>, uzyskanie informacji o możliwości i terminach składania wniosków i uwag oraz umożliwia zapoznanie się z rozwiązaniami planistycznymi przyjętymi w wyłożonym do publicznego wglądu projekcie zmiany planu,</w:t>
      </w:r>
    </w:p>
    <w:p w:rsidR="001F3C6E" w:rsidRDefault="0086720B">
      <w:pPr>
        <w:numPr>
          <w:ilvl w:val="0"/>
          <w:numId w:val="10"/>
        </w:numPr>
        <w:contextualSpacing/>
        <w:rPr>
          <w:szCs w:val="20"/>
          <w:lang w:val="x-none" w:eastAsia="en-US" w:bidi="ar-SA"/>
        </w:rPr>
      </w:pPr>
      <w:r>
        <w:rPr>
          <w:szCs w:val="20"/>
          <w:lang w:val="x-none" w:eastAsia="en-US" w:bidi="ar-SA"/>
        </w:rPr>
        <w:t>w zakresie dostępności informacyjno-komunikacyjnej p</w:t>
      </w:r>
      <w:r>
        <w:rPr>
          <w:szCs w:val="20"/>
          <w:lang w:val="x-none" w:eastAsia="en-US" w:bidi="ar-SA"/>
        </w:rPr>
        <w:t>oprzez wykorzystanie w serwisie internetowym Miejskiej Pracowni Urbanistycznej w Łodzi zdalnego dostępu online do usługi tłumacza przez strony internetowe i aplikacje, zamieszczanie na stronie internetowej  postaci plików elektronicznych zawierających teks</w:t>
      </w:r>
      <w:r>
        <w:rPr>
          <w:szCs w:val="20"/>
          <w:lang w:val="x-none" w:eastAsia="en-US" w:bidi="ar-SA"/>
        </w:rPr>
        <w:t>ty odczytywane maszynowo, a także zapewnienie, na wniosek osoby ze szczególnymi potrzebami, komunikacji z podmiotem publicznym w formie określonej w tym wniosku.</w:t>
      </w:r>
    </w:p>
    <w:p w:rsidR="001F3C6E" w:rsidRDefault="0086720B">
      <w:pPr>
        <w:spacing w:before="120" w:after="120"/>
        <w:ind w:left="426" w:hanging="426"/>
        <w:rPr>
          <w:b/>
          <w:color w:val="000000"/>
          <w:szCs w:val="20"/>
          <w:shd w:val="clear" w:color="auto" w:fill="FFFFFF"/>
          <w:lang w:val="x-none" w:eastAsia="en-US" w:bidi="ar-SA"/>
        </w:rPr>
      </w:pPr>
      <w:r>
        <w:rPr>
          <w:b/>
          <w:color w:val="000000"/>
          <w:szCs w:val="20"/>
          <w:u w:color="000000"/>
          <w:shd w:val="clear" w:color="auto" w:fill="FFFFFF"/>
          <w:lang w:val="x-none" w:eastAsia="en-US" w:bidi="ar-SA"/>
        </w:rPr>
        <w:t xml:space="preserve">III. </w:t>
      </w:r>
      <w:r>
        <w:rPr>
          <w:b/>
          <w:color w:val="000000"/>
          <w:szCs w:val="20"/>
          <w:u w:color="000000"/>
          <w:shd w:val="clear" w:color="auto" w:fill="FFFFFF"/>
          <w:lang w:val="x-none" w:eastAsia="en-US" w:bidi="ar-SA"/>
        </w:rPr>
        <w:tab/>
        <w:t>Wpływ na finanse publiczne, w tym budżet gminy.</w:t>
      </w:r>
    </w:p>
    <w:p w:rsidR="001F3C6E" w:rsidRDefault="0086720B">
      <w:pPr>
        <w:spacing w:after="120"/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Prognoza finansowa skutków uchwalenia pl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anu określa potencjalne dochody i wpływy z tytułu uchwalenia miejscowego planu zagospodarowania przestrzennego. Wykonane obliczenia wykazały ujemny wynik finansowy przedsięwzięcia, co oznacza, że wydatki generowane przez nowe zagospodarowanie przewyższają </w:t>
      </w:r>
      <w:r>
        <w:rPr>
          <w:color w:val="000000"/>
          <w:szCs w:val="20"/>
          <w:shd w:val="clear" w:color="auto" w:fill="FFFFFF"/>
          <w:lang w:val="x-none" w:eastAsia="en-US" w:bidi="ar-SA"/>
        </w:rPr>
        <w:t xml:space="preserve">dochody. Głównym źródłem </w:t>
      </w:r>
      <w:r>
        <w:rPr>
          <w:color w:val="000000"/>
          <w:szCs w:val="20"/>
          <w:shd w:val="clear" w:color="auto" w:fill="FFFFFF"/>
          <w:lang w:val="x-none" w:eastAsia="en-US" w:bidi="ar-SA"/>
        </w:rPr>
        <w:lastRenderedPageBreak/>
        <w:t>wydatków z budżetu gminy będą wydatki z tytułu realizacji inwestycji z zakresu układu komunikacyjnego oraz nabycie terenów pod inwestycje celu publicznego. Należy jednak podkreślić, że z uwagi na nieprzewidywalność cen rynkowych or</w:t>
      </w:r>
      <w:r>
        <w:rPr>
          <w:color w:val="000000"/>
          <w:szCs w:val="20"/>
          <w:shd w:val="clear" w:color="auto" w:fill="FFFFFF"/>
          <w:lang w:val="x-none" w:eastAsia="en-US" w:bidi="ar-SA"/>
        </w:rPr>
        <w:t>az zmienność uwarunkowań w czasie, wskazany ujemny wynik finansowy może ulec zmianie.</w:t>
      </w:r>
    </w:p>
    <w:p w:rsidR="001F3C6E" w:rsidRDefault="0086720B">
      <w:pPr>
        <w:rPr>
          <w:color w:val="000000"/>
          <w:szCs w:val="20"/>
          <w:shd w:val="clear" w:color="auto" w:fill="FFFFFF"/>
          <w:lang w:val="x-none" w:eastAsia="en-US" w:bidi="ar-SA"/>
        </w:rPr>
      </w:pPr>
      <w:r>
        <w:rPr>
          <w:color w:val="000000"/>
          <w:szCs w:val="20"/>
          <w:shd w:val="clear" w:color="auto" w:fill="FFFFFF"/>
          <w:lang w:val="x-none" w:eastAsia="en-US" w:bidi="ar-SA"/>
        </w:rPr>
        <w:t>Prognoza skutków finansowych oparta jest na maksymalnych możliwościach zagospodarowania obszaru objętego planem, faktyczne wartości wydatków i wpływów do budżetu gminy mo</w:t>
      </w:r>
      <w:r>
        <w:rPr>
          <w:color w:val="000000"/>
          <w:szCs w:val="20"/>
          <w:shd w:val="clear" w:color="auto" w:fill="FFFFFF"/>
          <w:lang w:val="x-none" w:eastAsia="en-US" w:bidi="ar-SA"/>
        </w:rPr>
        <w:t>gą odbiegać od przewidywanych w opracowanej prognozie.</w:t>
      </w:r>
    </w:p>
    <w:sectPr w:rsidR="001F3C6E">
      <w:footerReference w:type="default" r:id="rId33"/>
      <w:pgSz w:w="11906" w:h="16838"/>
      <w:pgMar w:top="1417" w:right="1417" w:bottom="1417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20B" w:rsidRDefault="0086720B">
      <w:r>
        <w:separator/>
      </w:r>
    </w:p>
  </w:endnote>
  <w:endnote w:type="continuationSeparator" w:id="0">
    <w:p w:rsidR="0086720B" w:rsidRDefault="00867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1F3C6E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F3C6E" w:rsidRDefault="0086720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F3C6E" w:rsidRDefault="0086720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1451C4">
            <w:rPr>
              <w:sz w:val="18"/>
            </w:rPr>
            <w:fldChar w:fldCharType="separate"/>
          </w:r>
          <w:r w:rsidR="001451C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1F3C6E" w:rsidRDefault="001F3C6E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1F3C6E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F3C6E" w:rsidRDefault="0086720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F3C6E" w:rsidRDefault="0086720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1451C4">
            <w:rPr>
              <w:sz w:val="18"/>
            </w:rPr>
            <w:fldChar w:fldCharType="separate"/>
          </w:r>
          <w:r w:rsidR="001451C4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:rsidR="001F3C6E" w:rsidRDefault="001F3C6E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1F3C6E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F3C6E" w:rsidRDefault="0086720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F3C6E" w:rsidRDefault="0086720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1451C4">
            <w:rPr>
              <w:sz w:val="18"/>
            </w:rPr>
            <w:fldChar w:fldCharType="separate"/>
          </w:r>
          <w:r w:rsidR="001451C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1F3C6E" w:rsidRDefault="001F3C6E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1F3C6E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F3C6E" w:rsidRDefault="0086720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F3C6E" w:rsidRDefault="0086720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1451C4">
            <w:rPr>
              <w:sz w:val="18"/>
            </w:rPr>
            <w:fldChar w:fldCharType="separate"/>
          </w:r>
          <w:r w:rsidR="001451C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1F3C6E" w:rsidRDefault="001F3C6E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1F3C6E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F3C6E" w:rsidRDefault="0086720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F3C6E" w:rsidRDefault="0086720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1451C4">
            <w:rPr>
              <w:sz w:val="18"/>
            </w:rPr>
            <w:fldChar w:fldCharType="separate"/>
          </w:r>
          <w:r w:rsidR="001451C4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1F3C6E" w:rsidRDefault="001F3C6E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7"/>
      <w:gridCol w:w="3024"/>
    </w:tblGrid>
    <w:tr w:rsidR="001F3C6E">
      <w:tc>
        <w:tcPr>
          <w:tcW w:w="604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F3C6E" w:rsidRDefault="0086720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1F3C6E" w:rsidRDefault="0086720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1451C4">
            <w:rPr>
              <w:sz w:val="18"/>
            </w:rPr>
            <w:fldChar w:fldCharType="separate"/>
          </w:r>
          <w:r w:rsidR="001451C4">
            <w:rPr>
              <w:noProof/>
              <w:sz w:val="18"/>
            </w:rPr>
            <w:t>10</w:t>
          </w:r>
          <w:r>
            <w:rPr>
              <w:sz w:val="18"/>
            </w:rPr>
            <w:fldChar w:fldCharType="end"/>
          </w:r>
        </w:p>
      </w:tc>
    </w:tr>
  </w:tbl>
  <w:p w:rsidR="001F3C6E" w:rsidRDefault="001F3C6E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20B" w:rsidRDefault="0086720B">
      <w:r>
        <w:separator/>
      </w:r>
    </w:p>
  </w:footnote>
  <w:footnote w:type="continuationSeparator" w:id="0">
    <w:p w:rsidR="0086720B" w:rsidRDefault="008672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16DEB"/>
    <w:multiLevelType w:val="multilevel"/>
    <w:tmpl w:val="00000000"/>
    <w:lvl w:ilvl="0">
      <w:start w:val="1"/>
      <w:numFmt w:val="decimal"/>
      <w:lvlText w:val="§ %1."/>
      <w:lvlJc w:val="left"/>
      <w:pPr>
        <w:ind w:left="-340" w:firstLine="340"/>
      </w:pPr>
      <w:rPr>
        <w:rFonts w:ascii="Times New Roman" w:hAnsi="Times New Roman"/>
        <w:noProof w:val="0"/>
        <w:lang w:val="pl-PL" w:eastAsia="pl-PL" w:bidi="pl-PL"/>
      </w:rPr>
    </w:lvl>
    <w:lvl w:ilvl="1">
      <w:start w:val="3"/>
      <w:numFmt w:val="decimal"/>
      <w:lvlText w:val="%2."/>
      <w:lvlJc w:val="left"/>
      <w:pPr>
        <w:ind w:left="86" w:firstLine="340"/>
      </w:pPr>
      <w:rPr>
        <w:noProof w:val="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397" w:hanging="397"/>
      </w:pPr>
      <w:rPr>
        <w:noProof w:val="0"/>
        <w:lang w:val="pl-PL" w:eastAsia="pl-PL" w:bidi="pl-PL"/>
      </w:rPr>
    </w:lvl>
    <w:lvl w:ilvl="3">
      <w:start w:val="1"/>
      <w:numFmt w:val="lowerLetter"/>
      <w:lvlText w:val="%4)"/>
      <w:lvlJc w:val="left"/>
      <w:pPr>
        <w:ind w:left="624" w:hanging="340"/>
      </w:pPr>
      <w:rPr>
        <w:noProof w:val="0"/>
        <w:lang w:val="pl-PL" w:eastAsia="pl-PL" w:bidi="pl-PL"/>
      </w:rPr>
    </w:lvl>
    <w:lvl w:ilvl="4">
      <w:start w:val="1"/>
      <w:numFmt w:val="decimal"/>
      <w:lvlText w:val="%5)"/>
      <w:lvlJc w:val="left"/>
      <w:pPr>
        <w:ind w:left="851" w:hanging="227"/>
      </w:pPr>
      <w:rPr>
        <w:noProof w:val="0"/>
        <w:lang w:val="pl-PL" w:eastAsia="pl-PL" w:bidi="pl-PL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Symbol" w:hAnsi="Symbol"/>
        <w:noProof w:val="0"/>
        <w:lang w:val="pl-PL" w:eastAsia="pl-PL" w:bidi="pl-PL"/>
      </w:rPr>
    </w:lvl>
    <w:lvl w:ilvl="6">
      <w:start w:val="1"/>
      <w:numFmt w:val="decimal"/>
      <w:lvlText w:val="%7."/>
      <w:lvlJc w:val="left"/>
      <w:pPr>
        <w:ind w:left="2520" w:hanging="360"/>
      </w:pPr>
      <w:rPr>
        <w:noProof w:val="0"/>
        <w:lang w:val="pl-PL" w:eastAsia="pl-PL" w:bidi="pl-PL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noProof w:val="0"/>
        <w:lang w:val="pl-PL" w:eastAsia="pl-PL" w:bidi="pl-PL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noProof w:val="0"/>
        <w:lang w:val="pl-PL" w:eastAsia="pl-PL" w:bidi="pl-PL"/>
      </w:rPr>
    </w:lvl>
  </w:abstractNum>
  <w:abstractNum w:abstractNumId="1" w15:restartNumberingAfterBreak="0">
    <w:nsid w:val="068B3319"/>
    <w:multiLevelType w:val="multilevel"/>
    <w:tmpl w:val="00000000"/>
    <w:lvl w:ilvl="0">
      <w:start w:val="1"/>
      <w:numFmt w:val="decimal"/>
      <w:lvlText w:val="§ %1."/>
      <w:lvlJc w:val="left"/>
      <w:pPr>
        <w:ind w:left="-340" w:firstLine="340"/>
      </w:pPr>
      <w:rPr>
        <w:rFonts w:ascii="Times New Roman" w:hAnsi="Times New Roman"/>
        <w:noProof w:val="0"/>
        <w:lang w:val="pl-PL" w:eastAsia="pl-PL" w:bidi="pl-PL"/>
      </w:rPr>
    </w:lvl>
    <w:lvl w:ilvl="1">
      <w:start w:val="1"/>
      <w:numFmt w:val="decimal"/>
      <w:lvlText w:val="%2."/>
      <w:lvlJc w:val="left"/>
      <w:pPr>
        <w:ind w:left="86" w:firstLine="340"/>
      </w:pPr>
      <w:rPr>
        <w:noProof w:val="0"/>
        <w:lang w:val="pl-PL" w:eastAsia="pl-PL" w:bidi="pl-PL"/>
      </w:rPr>
    </w:lvl>
    <w:lvl w:ilvl="2">
      <w:start w:val="1"/>
      <w:numFmt w:val="decimal"/>
      <w:lvlText w:val="%3)"/>
      <w:lvlJc w:val="left"/>
      <w:pPr>
        <w:ind w:left="397" w:hanging="397"/>
      </w:pPr>
      <w:rPr>
        <w:noProof w:val="0"/>
        <w:lang w:val="pl-PL" w:eastAsia="pl-PL" w:bidi="pl-PL"/>
      </w:rPr>
    </w:lvl>
    <w:lvl w:ilvl="3">
      <w:start w:val="1"/>
      <w:numFmt w:val="lowerLetter"/>
      <w:lvlText w:val="%4)"/>
      <w:lvlJc w:val="left"/>
      <w:pPr>
        <w:ind w:left="680" w:hanging="340"/>
      </w:pPr>
      <w:rPr>
        <w:noProof w:val="0"/>
        <w:lang w:val="pl-PL" w:eastAsia="pl-PL" w:bidi="pl-PL"/>
      </w:rPr>
    </w:lvl>
    <w:lvl w:ilvl="4">
      <w:start w:val="1"/>
      <w:numFmt w:val="decimal"/>
      <w:lvlText w:val="–"/>
      <w:lvlJc w:val="left"/>
      <w:pPr>
        <w:ind w:left="851" w:hanging="227"/>
      </w:pPr>
      <w:rPr>
        <w:noProof w:val="0"/>
        <w:lang w:val="pl-PL" w:eastAsia="pl-PL" w:bidi="pl-PL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Symbol" w:hAnsi="Symbol"/>
        <w:noProof w:val="0"/>
        <w:lang w:val="pl-PL" w:eastAsia="pl-PL" w:bidi="pl-PL"/>
      </w:rPr>
    </w:lvl>
    <w:lvl w:ilvl="6">
      <w:start w:val="1"/>
      <w:numFmt w:val="decimal"/>
      <w:lvlText w:val="%7."/>
      <w:lvlJc w:val="left"/>
      <w:pPr>
        <w:ind w:left="2520" w:hanging="360"/>
      </w:pPr>
      <w:rPr>
        <w:noProof w:val="0"/>
        <w:lang w:val="pl-PL" w:eastAsia="pl-PL" w:bidi="pl-PL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noProof w:val="0"/>
        <w:lang w:val="pl-PL" w:eastAsia="pl-PL" w:bidi="pl-PL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noProof w:val="0"/>
        <w:lang w:val="pl-PL" w:eastAsia="pl-PL" w:bidi="pl-PL"/>
      </w:rPr>
    </w:lvl>
  </w:abstractNum>
  <w:abstractNum w:abstractNumId="2" w15:restartNumberingAfterBreak="0">
    <w:nsid w:val="0F9C75B2"/>
    <w:multiLevelType w:val="hybridMultilevel"/>
    <w:tmpl w:val="00000000"/>
    <w:lvl w:ilvl="0" w:tplc="902097DE">
      <w:start w:val="1"/>
      <w:numFmt w:val="decimal"/>
      <w:lvlText w:val="%1)"/>
      <w:lvlJc w:val="left"/>
      <w:pPr>
        <w:ind w:left="643" w:hanging="360"/>
      </w:pPr>
      <w:rPr>
        <w:noProof w:val="0"/>
        <w:lang w:val="pl-PL" w:eastAsia="pl-PL" w:bidi="pl-PL"/>
      </w:rPr>
    </w:lvl>
    <w:lvl w:ilvl="1" w:tplc="8C6C72F8">
      <w:start w:val="1"/>
      <w:numFmt w:val="lowerLetter"/>
      <w:lvlText w:val="%2)"/>
      <w:lvlJc w:val="left"/>
      <w:pPr>
        <w:ind w:left="643" w:hanging="360"/>
      </w:pPr>
      <w:rPr>
        <w:noProof w:val="0"/>
        <w:lang w:val="pl-PL" w:eastAsia="pl-PL" w:bidi="pl-PL"/>
      </w:rPr>
    </w:lvl>
    <w:lvl w:ilvl="2" w:tplc="0BDEBDD0">
      <w:start w:val="1"/>
      <w:numFmt w:val="bullet"/>
      <w:lvlText w:val="-"/>
      <w:lvlJc w:val="left"/>
      <w:pPr>
        <w:ind w:left="1125" w:hanging="360"/>
      </w:pPr>
      <w:rPr>
        <w:rFonts w:ascii="Symbol" w:hAnsi="Symbol"/>
        <w:noProof w:val="0"/>
        <w:lang w:val="pl-PL" w:eastAsia="pl-PL" w:bidi="pl-PL"/>
      </w:rPr>
    </w:lvl>
    <w:lvl w:ilvl="3" w:tplc="569E5D92">
      <w:start w:val="1"/>
      <w:numFmt w:val="decimal"/>
      <w:lvlText w:val="%4."/>
      <w:lvlJc w:val="left"/>
      <w:pPr>
        <w:ind w:left="2803" w:hanging="360"/>
      </w:pPr>
      <w:rPr>
        <w:noProof w:val="0"/>
        <w:lang w:val="pl-PL" w:eastAsia="pl-PL" w:bidi="pl-PL"/>
      </w:rPr>
    </w:lvl>
    <w:lvl w:ilvl="4" w:tplc="074642B6">
      <w:start w:val="1"/>
      <w:numFmt w:val="lowerLetter"/>
      <w:lvlText w:val="%5."/>
      <w:lvlJc w:val="left"/>
      <w:pPr>
        <w:ind w:left="3523" w:hanging="360"/>
      </w:pPr>
      <w:rPr>
        <w:noProof w:val="0"/>
        <w:lang w:val="pl-PL" w:eastAsia="pl-PL" w:bidi="pl-PL"/>
      </w:rPr>
    </w:lvl>
    <w:lvl w:ilvl="5" w:tplc="CD26D3F4">
      <w:start w:val="1"/>
      <w:numFmt w:val="lowerRoman"/>
      <w:lvlText w:val="%6."/>
      <w:lvlJc w:val="right"/>
      <w:pPr>
        <w:ind w:left="4243" w:hanging="180"/>
      </w:pPr>
      <w:rPr>
        <w:noProof w:val="0"/>
        <w:lang w:val="pl-PL" w:eastAsia="pl-PL" w:bidi="pl-PL"/>
      </w:rPr>
    </w:lvl>
    <w:lvl w:ilvl="6" w:tplc="F3FA6D9A">
      <w:start w:val="1"/>
      <w:numFmt w:val="decimal"/>
      <w:lvlText w:val="%7."/>
      <w:lvlJc w:val="left"/>
      <w:pPr>
        <w:ind w:left="4963" w:hanging="360"/>
      </w:pPr>
      <w:rPr>
        <w:noProof w:val="0"/>
        <w:lang w:val="pl-PL" w:eastAsia="pl-PL" w:bidi="pl-PL"/>
      </w:rPr>
    </w:lvl>
    <w:lvl w:ilvl="7" w:tplc="058045CA">
      <w:start w:val="1"/>
      <w:numFmt w:val="lowerLetter"/>
      <w:lvlText w:val="%8."/>
      <w:lvlJc w:val="left"/>
      <w:pPr>
        <w:ind w:left="5683" w:hanging="360"/>
      </w:pPr>
      <w:rPr>
        <w:noProof w:val="0"/>
        <w:lang w:val="pl-PL" w:eastAsia="pl-PL" w:bidi="pl-PL"/>
      </w:rPr>
    </w:lvl>
    <w:lvl w:ilvl="8" w:tplc="CE66DAD8">
      <w:start w:val="1"/>
      <w:numFmt w:val="lowerRoman"/>
      <w:lvlText w:val="%9."/>
      <w:lvlJc w:val="right"/>
      <w:pPr>
        <w:ind w:left="6403" w:hanging="180"/>
      </w:pPr>
      <w:rPr>
        <w:noProof w:val="0"/>
        <w:lang w:val="pl-PL" w:eastAsia="pl-PL" w:bidi="pl-PL"/>
      </w:rPr>
    </w:lvl>
  </w:abstractNum>
  <w:abstractNum w:abstractNumId="3" w15:restartNumberingAfterBreak="0">
    <w:nsid w:val="33191470"/>
    <w:multiLevelType w:val="hybridMultilevel"/>
    <w:tmpl w:val="00000000"/>
    <w:lvl w:ilvl="0" w:tplc="4A4CD6B2">
      <w:start w:val="1"/>
      <w:numFmt w:val="bullet"/>
      <w:lvlText w:val="-"/>
      <w:lvlJc w:val="left"/>
      <w:pPr>
        <w:ind w:left="1125" w:hanging="360"/>
      </w:pPr>
      <w:rPr>
        <w:rFonts w:ascii="Symbol" w:hAnsi="Symbol"/>
        <w:noProof w:val="0"/>
        <w:lang w:val="pl-PL" w:eastAsia="pl-PL" w:bidi="pl-PL"/>
      </w:rPr>
    </w:lvl>
    <w:lvl w:ilvl="1" w:tplc="05AA8C7C">
      <w:start w:val="1"/>
      <w:numFmt w:val="lowerLetter"/>
      <w:lvlText w:val="%2."/>
      <w:lvlJc w:val="left"/>
      <w:pPr>
        <w:ind w:left="1845" w:hanging="360"/>
      </w:pPr>
      <w:rPr>
        <w:noProof w:val="0"/>
        <w:lang w:val="pl-PL" w:eastAsia="pl-PL" w:bidi="pl-PL"/>
      </w:rPr>
    </w:lvl>
    <w:lvl w:ilvl="2" w:tplc="19FAD4FE">
      <w:start w:val="1"/>
      <w:numFmt w:val="lowerRoman"/>
      <w:lvlText w:val="%3."/>
      <w:lvlJc w:val="right"/>
      <w:pPr>
        <w:ind w:left="2565" w:hanging="180"/>
      </w:pPr>
      <w:rPr>
        <w:noProof w:val="0"/>
        <w:lang w:val="pl-PL" w:eastAsia="pl-PL" w:bidi="pl-PL"/>
      </w:rPr>
    </w:lvl>
    <w:lvl w:ilvl="3" w:tplc="CE483F0C">
      <w:start w:val="1"/>
      <w:numFmt w:val="decimal"/>
      <w:lvlText w:val="%4."/>
      <w:lvlJc w:val="left"/>
      <w:pPr>
        <w:ind w:left="3285" w:hanging="360"/>
      </w:pPr>
      <w:rPr>
        <w:noProof w:val="0"/>
        <w:lang w:val="pl-PL" w:eastAsia="pl-PL" w:bidi="pl-PL"/>
      </w:rPr>
    </w:lvl>
    <w:lvl w:ilvl="4" w:tplc="0FB4C9CC">
      <w:start w:val="1"/>
      <w:numFmt w:val="lowerLetter"/>
      <w:lvlText w:val="%5."/>
      <w:lvlJc w:val="left"/>
      <w:pPr>
        <w:ind w:left="4005" w:hanging="360"/>
      </w:pPr>
      <w:rPr>
        <w:noProof w:val="0"/>
        <w:lang w:val="pl-PL" w:eastAsia="pl-PL" w:bidi="pl-PL"/>
      </w:rPr>
    </w:lvl>
    <w:lvl w:ilvl="5" w:tplc="1B9C9EAC">
      <w:start w:val="1"/>
      <w:numFmt w:val="lowerRoman"/>
      <w:lvlText w:val="%6."/>
      <w:lvlJc w:val="right"/>
      <w:pPr>
        <w:ind w:left="4725" w:hanging="180"/>
      </w:pPr>
      <w:rPr>
        <w:noProof w:val="0"/>
        <w:lang w:val="pl-PL" w:eastAsia="pl-PL" w:bidi="pl-PL"/>
      </w:rPr>
    </w:lvl>
    <w:lvl w:ilvl="6" w:tplc="D35648B4">
      <w:start w:val="1"/>
      <w:numFmt w:val="decimal"/>
      <w:lvlText w:val="%7."/>
      <w:lvlJc w:val="left"/>
      <w:pPr>
        <w:ind w:left="5445" w:hanging="360"/>
      </w:pPr>
      <w:rPr>
        <w:noProof w:val="0"/>
        <w:lang w:val="pl-PL" w:eastAsia="pl-PL" w:bidi="pl-PL"/>
      </w:rPr>
    </w:lvl>
    <w:lvl w:ilvl="7" w:tplc="B5EC9560">
      <w:start w:val="1"/>
      <w:numFmt w:val="lowerLetter"/>
      <w:lvlText w:val="%8."/>
      <w:lvlJc w:val="left"/>
      <w:pPr>
        <w:ind w:left="6165" w:hanging="360"/>
      </w:pPr>
      <w:rPr>
        <w:noProof w:val="0"/>
        <w:lang w:val="pl-PL" w:eastAsia="pl-PL" w:bidi="pl-PL"/>
      </w:rPr>
    </w:lvl>
    <w:lvl w:ilvl="8" w:tplc="0AF4B312">
      <w:start w:val="1"/>
      <w:numFmt w:val="lowerRoman"/>
      <w:lvlText w:val="%9."/>
      <w:lvlJc w:val="right"/>
      <w:pPr>
        <w:ind w:left="6885" w:hanging="180"/>
      </w:pPr>
      <w:rPr>
        <w:noProof w:val="0"/>
        <w:lang w:val="pl-PL" w:eastAsia="pl-PL" w:bidi="pl-PL"/>
      </w:rPr>
    </w:lvl>
  </w:abstractNum>
  <w:abstractNum w:abstractNumId="4" w15:restartNumberingAfterBreak="0">
    <w:nsid w:val="35507986"/>
    <w:multiLevelType w:val="hybridMultilevel"/>
    <w:tmpl w:val="00000000"/>
    <w:lvl w:ilvl="0" w:tplc="CAEE9BEE">
      <w:start w:val="1"/>
      <w:numFmt w:val="bullet"/>
      <w:lvlText w:val="-"/>
      <w:lvlJc w:val="left"/>
      <w:pPr>
        <w:ind w:left="720" w:hanging="360"/>
      </w:pPr>
      <w:rPr>
        <w:rFonts w:ascii="Symbol" w:hAnsi="Symbol"/>
        <w:noProof w:val="0"/>
        <w:lang w:val="pl-PL" w:eastAsia="pl-PL" w:bidi="pl-PL"/>
      </w:rPr>
    </w:lvl>
    <w:lvl w:ilvl="1" w:tplc="77F6AA6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noProof w:val="0"/>
        <w:lang w:val="pl-PL" w:eastAsia="pl-PL" w:bidi="pl-PL"/>
      </w:rPr>
    </w:lvl>
    <w:lvl w:ilvl="2" w:tplc="AD40070C">
      <w:start w:val="1"/>
      <w:numFmt w:val="bullet"/>
      <w:lvlText w:val="§"/>
      <w:lvlJc w:val="left"/>
      <w:pPr>
        <w:ind w:left="2160" w:hanging="360"/>
      </w:pPr>
      <w:rPr>
        <w:rFonts w:ascii="Wingdings" w:hAnsi="Wingdings"/>
        <w:noProof w:val="0"/>
        <w:lang w:val="pl-PL" w:eastAsia="pl-PL" w:bidi="pl-PL"/>
      </w:rPr>
    </w:lvl>
    <w:lvl w:ilvl="3" w:tplc="D2A49CCE">
      <w:start w:val="1"/>
      <w:numFmt w:val="bullet"/>
      <w:lvlText w:val="·"/>
      <w:lvlJc w:val="left"/>
      <w:pPr>
        <w:ind w:left="2880" w:hanging="360"/>
      </w:pPr>
      <w:rPr>
        <w:rFonts w:ascii="Symbol" w:hAnsi="Symbol"/>
        <w:noProof w:val="0"/>
        <w:lang w:val="pl-PL" w:eastAsia="pl-PL" w:bidi="pl-PL"/>
      </w:rPr>
    </w:lvl>
    <w:lvl w:ilvl="4" w:tplc="27B4948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  <w:noProof w:val="0"/>
        <w:lang w:val="pl-PL" w:eastAsia="pl-PL" w:bidi="pl-PL"/>
      </w:rPr>
    </w:lvl>
    <w:lvl w:ilvl="5" w:tplc="B3E00EE2">
      <w:start w:val="1"/>
      <w:numFmt w:val="bullet"/>
      <w:lvlText w:val="§"/>
      <w:lvlJc w:val="left"/>
      <w:pPr>
        <w:ind w:left="4320" w:hanging="360"/>
      </w:pPr>
      <w:rPr>
        <w:rFonts w:ascii="Wingdings" w:hAnsi="Wingdings"/>
        <w:noProof w:val="0"/>
        <w:lang w:val="pl-PL" w:eastAsia="pl-PL" w:bidi="pl-PL"/>
      </w:rPr>
    </w:lvl>
    <w:lvl w:ilvl="6" w:tplc="6B10AE92">
      <w:start w:val="1"/>
      <w:numFmt w:val="bullet"/>
      <w:lvlText w:val="·"/>
      <w:lvlJc w:val="left"/>
      <w:pPr>
        <w:ind w:left="5040" w:hanging="360"/>
      </w:pPr>
      <w:rPr>
        <w:rFonts w:ascii="Symbol" w:hAnsi="Symbol"/>
        <w:noProof w:val="0"/>
        <w:lang w:val="pl-PL" w:eastAsia="pl-PL" w:bidi="pl-PL"/>
      </w:rPr>
    </w:lvl>
    <w:lvl w:ilvl="7" w:tplc="98E87F4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  <w:noProof w:val="0"/>
        <w:lang w:val="pl-PL" w:eastAsia="pl-PL" w:bidi="pl-PL"/>
      </w:rPr>
    </w:lvl>
    <w:lvl w:ilvl="8" w:tplc="577460A4">
      <w:start w:val="1"/>
      <w:numFmt w:val="bullet"/>
      <w:lvlText w:val="§"/>
      <w:lvlJc w:val="left"/>
      <w:pPr>
        <w:ind w:left="6480" w:hanging="360"/>
      </w:pPr>
      <w:rPr>
        <w:rFonts w:ascii="Wingdings" w:hAnsi="Wingdings"/>
        <w:noProof w:val="0"/>
        <w:lang w:val="pl-PL" w:eastAsia="pl-PL" w:bidi="pl-PL"/>
      </w:rPr>
    </w:lvl>
  </w:abstractNum>
  <w:abstractNum w:abstractNumId="5" w15:restartNumberingAfterBreak="0">
    <w:nsid w:val="531B0A77"/>
    <w:multiLevelType w:val="hybridMultilevel"/>
    <w:tmpl w:val="00000000"/>
    <w:lvl w:ilvl="0" w:tplc="E848D378">
      <w:start w:val="1"/>
      <w:numFmt w:val="decimal"/>
      <w:lvlText w:val="%1)"/>
      <w:lvlJc w:val="left"/>
      <w:pPr>
        <w:ind w:left="643" w:hanging="360"/>
      </w:pPr>
      <w:rPr>
        <w:noProof w:val="0"/>
        <w:lang w:val="pl-PL" w:eastAsia="pl-PL" w:bidi="pl-PL"/>
      </w:rPr>
    </w:lvl>
    <w:lvl w:ilvl="1" w:tplc="3CBC82F2">
      <w:start w:val="1"/>
      <w:numFmt w:val="lowerLetter"/>
      <w:lvlText w:val="%2)"/>
      <w:lvlJc w:val="left"/>
      <w:pPr>
        <w:ind w:left="643" w:hanging="360"/>
      </w:pPr>
      <w:rPr>
        <w:noProof w:val="0"/>
        <w:lang w:val="pl-PL" w:eastAsia="pl-PL" w:bidi="pl-PL"/>
      </w:rPr>
    </w:lvl>
    <w:lvl w:ilvl="2" w:tplc="07B4D7F0">
      <w:start w:val="1"/>
      <w:numFmt w:val="lowerRoman"/>
      <w:lvlText w:val="%3."/>
      <w:lvlJc w:val="right"/>
      <w:pPr>
        <w:ind w:left="2083" w:hanging="180"/>
      </w:pPr>
      <w:rPr>
        <w:noProof w:val="0"/>
        <w:lang w:val="pl-PL" w:eastAsia="pl-PL" w:bidi="pl-PL"/>
      </w:rPr>
    </w:lvl>
    <w:lvl w:ilvl="3" w:tplc="C226E5DC">
      <w:start w:val="1"/>
      <w:numFmt w:val="decimal"/>
      <w:lvlText w:val="%4."/>
      <w:lvlJc w:val="left"/>
      <w:pPr>
        <w:ind w:left="2803" w:hanging="360"/>
      </w:pPr>
      <w:rPr>
        <w:noProof w:val="0"/>
        <w:lang w:val="pl-PL" w:eastAsia="pl-PL" w:bidi="pl-PL"/>
      </w:rPr>
    </w:lvl>
    <w:lvl w:ilvl="4" w:tplc="EAA08B54">
      <w:start w:val="1"/>
      <w:numFmt w:val="lowerLetter"/>
      <w:lvlText w:val="%5."/>
      <w:lvlJc w:val="left"/>
      <w:pPr>
        <w:ind w:left="3523" w:hanging="360"/>
      </w:pPr>
      <w:rPr>
        <w:noProof w:val="0"/>
        <w:lang w:val="pl-PL" w:eastAsia="pl-PL" w:bidi="pl-PL"/>
      </w:rPr>
    </w:lvl>
    <w:lvl w:ilvl="5" w:tplc="A59CDD16">
      <w:start w:val="1"/>
      <w:numFmt w:val="lowerRoman"/>
      <w:lvlText w:val="%6."/>
      <w:lvlJc w:val="right"/>
      <w:pPr>
        <w:ind w:left="4243" w:hanging="180"/>
      </w:pPr>
      <w:rPr>
        <w:noProof w:val="0"/>
        <w:lang w:val="pl-PL" w:eastAsia="pl-PL" w:bidi="pl-PL"/>
      </w:rPr>
    </w:lvl>
    <w:lvl w:ilvl="6" w:tplc="144048D6">
      <w:start w:val="1"/>
      <w:numFmt w:val="decimal"/>
      <w:lvlText w:val="%7."/>
      <w:lvlJc w:val="left"/>
      <w:pPr>
        <w:ind w:left="4963" w:hanging="360"/>
      </w:pPr>
      <w:rPr>
        <w:noProof w:val="0"/>
        <w:lang w:val="pl-PL" w:eastAsia="pl-PL" w:bidi="pl-PL"/>
      </w:rPr>
    </w:lvl>
    <w:lvl w:ilvl="7" w:tplc="B47C92E0">
      <w:start w:val="1"/>
      <w:numFmt w:val="lowerLetter"/>
      <w:lvlText w:val="%8."/>
      <w:lvlJc w:val="left"/>
      <w:pPr>
        <w:ind w:left="5683" w:hanging="360"/>
      </w:pPr>
      <w:rPr>
        <w:noProof w:val="0"/>
        <w:lang w:val="pl-PL" w:eastAsia="pl-PL" w:bidi="pl-PL"/>
      </w:rPr>
    </w:lvl>
    <w:lvl w:ilvl="8" w:tplc="0350568E">
      <w:start w:val="1"/>
      <w:numFmt w:val="lowerRoman"/>
      <w:lvlText w:val="%9."/>
      <w:lvlJc w:val="right"/>
      <w:pPr>
        <w:ind w:left="6403" w:hanging="180"/>
      </w:pPr>
      <w:rPr>
        <w:noProof w:val="0"/>
        <w:lang w:val="pl-PL" w:eastAsia="pl-PL" w:bidi="pl-PL"/>
      </w:rPr>
    </w:lvl>
  </w:abstractNum>
  <w:abstractNum w:abstractNumId="6" w15:restartNumberingAfterBreak="0">
    <w:nsid w:val="54C3161B"/>
    <w:multiLevelType w:val="hybridMultilevel"/>
    <w:tmpl w:val="00000000"/>
    <w:lvl w:ilvl="0" w:tplc="B06828A0">
      <w:start w:val="1"/>
      <w:numFmt w:val="bullet"/>
      <w:lvlText w:val="-"/>
      <w:lvlJc w:val="left"/>
      <w:pPr>
        <w:ind w:left="360" w:hanging="360"/>
      </w:pPr>
      <w:rPr>
        <w:rFonts w:ascii="Symbol" w:hAnsi="Symbol"/>
        <w:noProof w:val="0"/>
        <w:lang w:val="pl-PL" w:eastAsia="pl-PL" w:bidi="pl-PL"/>
      </w:rPr>
    </w:lvl>
    <w:lvl w:ilvl="1" w:tplc="C7CA2DF4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  <w:noProof w:val="0"/>
        <w:lang w:val="pl-PL" w:eastAsia="pl-PL" w:bidi="pl-PL"/>
      </w:rPr>
    </w:lvl>
    <w:lvl w:ilvl="2" w:tplc="6ABC2522">
      <w:start w:val="1"/>
      <w:numFmt w:val="bullet"/>
      <w:lvlText w:val="§"/>
      <w:lvlJc w:val="left"/>
      <w:pPr>
        <w:ind w:left="1800" w:hanging="360"/>
      </w:pPr>
      <w:rPr>
        <w:rFonts w:ascii="Wingdings" w:hAnsi="Wingdings"/>
        <w:noProof w:val="0"/>
        <w:lang w:val="pl-PL" w:eastAsia="pl-PL" w:bidi="pl-PL"/>
      </w:rPr>
    </w:lvl>
    <w:lvl w:ilvl="3" w:tplc="088888D8">
      <w:start w:val="1"/>
      <w:numFmt w:val="bullet"/>
      <w:lvlText w:val="·"/>
      <w:lvlJc w:val="left"/>
      <w:pPr>
        <w:ind w:left="2520" w:hanging="360"/>
      </w:pPr>
      <w:rPr>
        <w:rFonts w:ascii="Symbol" w:hAnsi="Symbol"/>
        <w:noProof w:val="0"/>
        <w:lang w:val="pl-PL" w:eastAsia="pl-PL" w:bidi="pl-PL"/>
      </w:rPr>
    </w:lvl>
    <w:lvl w:ilvl="4" w:tplc="3B4A134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  <w:noProof w:val="0"/>
        <w:lang w:val="pl-PL" w:eastAsia="pl-PL" w:bidi="pl-PL"/>
      </w:rPr>
    </w:lvl>
    <w:lvl w:ilvl="5" w:tplc="D980B8E6">
      <w:start w:val="1"/>
      <w:numFmt w:val="bullet"/>
      <w:lvlText w:val="§"/>
      <w:lvlJc w:val="left"/>
      <w:pPr>
        <w:ind w:left="3960" w:hanging="360"/>
      </w:pPr>
      <w:rPr>
        <w:rFonts w:ascii="Wingdings" w:hAnsi="Wingdings"/>
        <w:noProof w:val="0"/>
        <w:lang w:val="pl-PL" w:eastAsia="pl-PL" w:bidi="pl-PL"/>
      </w:rPr>
    </w:lvl>
    <w:lvl w:ilvl="6" w:tplc="F9FCEB94">
      <w:start w:val="1"/>
      <w:numFmt w:val="bullet"/>
      <w:lvlText w:val="·"/>
      <w:lvlJc w:val="left"/>
      <w:pPr>
        <w:ind w:left="4680" w:hanging="360"/>
      </w:pPr>
      <w:rPr>
        <w:rFonts w:ascii="Symbol" w:hAnsi="Symbol"/>
        <w:noProof w:val="0"/>
        <w:lang w:val="pl-PL" w:eastAsia="pl-PL" w:bidi="pl-PL"/>
      </w:rPr>
    </w:lvl>
    <w:lvl w:ilvl="7" w:tplc="21668D18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  <w:noProof w:val="0"/>
        <w:lang w:val="pl-PL" w:eastAsia="pl-PL" w:bidi="pl-PL"/>
      </w:rPr>
    </w:lvl>
    <w:lvl w:ilvl="8" w:tplc="3CA87944">
      <w:start w:val="1"/>
      <w:numFmt w:val="bullet"/>
      <w:lvlText w:val="§"/>
      <w:lvlJc w:val="left"/>
      <w:pPr>
        <w:ind w:left="6120" w:hanging="360"/>
      </w:pPr>
      <w:rPr>
        <w:rFonts w:ascii="Wingdings" w:hAnsi="Wingdings"/>
        <w:noProof w:val="0"/>
        <w:lang w:val="pl-PL" w:eastAsia="pl-PL" w:bidi="pl-PL"/>
      </w:rPr>
    </w:lvl>
  </w:abstractNum>
  <w:abstractNum w:abstractNumId="7" w15:restartNumberingAfterBreak="0">
    <w:nsid w:val="73305391"/>
    <w:multiLevelType w:val="hybridMultilevel"/>
    <w:tmpl w:val="00000000"/>
    <w:lvl w:ilvl="0" w:tplc="70E20CBC">
      <w:start w:val="1"/>
      <w:numFmt w:val="lowerLetter"/>
      <w:lvlText w:val="%1)"/>
      <w:lvlJc w:val="left"/>
      <w:pPr>
        <w:ind w:left="870" w:hanging="360"/>
      </w:pPr>
      <w:rPr>
        <w:noProof w:val="0"/>
        <w:lang w:val="pl-PL" w:eastAsia="pl-PL" w:bidi="pl-PL"/>
      </w:rPr>
    </w:lvl>
    <w:lvl w:ilvl="1" w:tplc="FE524EC6">
      <w:start w:val="1"/>
      <w:numFmt w:val="lowerLetter"/>
      <w:lvlText w:val="%2)"/>
      <w:lvlJc w:val="left"/>
      <w:pPr>
        <w:ind w:left="1590" w:hanging="360"/>
      </w:pPr>
      <w:rPr>
        <w:noProof w:val="0"/>
        <w:lang w:val="pl-PL" w:eastAsia="pl-PL" w:bidi="pl-PL"/>
      </w:rPr>
    </w:lvl>
    <w:lvl w:ilvl="2" w:tplc="768C389C">
      <w:start w:val="1"/>
      <w:numFmt w:val="lowerRoman"/>
      <w:lvlText w:val="%3."/>
      <w:lvlJc w:val="right"/>
      <w:pPr>
        <w:ind w:left="2310" w:hanging="180"/>
      </w:pPr>
      <w:rPr>
        <w:noProof w:val="0"/>
        <w:lang w:val="pl-PL" w:eastAsia="pl-PL" w:bidi="pl-PL"/>
      </w:rPr>
    </w:lvl>
    <w:lvl w:ilvl="3" w:tplc="02D4DBE8">
      <w:start w:val="1"/>
      <w:numFmt w:val="decimal"/>
      <w:lvlText w:val="%4."/>
      <w:lvlJc w:val="left"/>
      <w:pPr>
        <w:ind w:left="3030" w:hanging="360"/>
      </w:pPr>
      <w:rPr>
        <w:noProof w:val="0"/>
        <w:lang w:val="pl-PL" w:eastAsia="pl-PL" w:bidi="pl-PL"/>
      </w:rPr>
    </w:lvl>
    <w:lvl w:ilvl="4" w:tplc="CB609FD2">
      <w:start w:val="1"/>
      <w:numFmt w:val="lowerLetter"/>
      <w:lvlText w:val="%5."/>
      <w:lvlJc w:val="left"/>
      <w:pPr>
        <w:ind w:left="3750" w:hanging="360"/>
      </w:pPr>
      <w:rPr>
        <w:noProof w:val="0"/>
        <w:lang w:val="pl-PL" w:eastAsia="pl-PL" w:bidi="pl-PL"/>
      </w:rPr>
    </w:lvl>
    <w:lvl w:ilvl="5" w:tplc="C2ACD8E2">
      <w:start w:val="1"/>
      <w:numFmt w:val="lowerRoman"/>
      <w:lvlText w:val="%6."/>
      <w:lvlJc w:val="right"/>
      <w:pPr>
        <w:ind w:left="4470" w:hanging="180"/>
      </w:pPr>
      <w:rPr>
        <w:noProof w:val="0"/>
        <w:lang w:val="pl-PL" w:eastAsia="pl-PL" w:bidi="pl-PL"/>
      </w:rPr>
    </w:lvl>
    <w:lvl w:ilvl="6" w:tplc="00EA4834">
      <w:start w:val="1"/>
      <w:numFmt w:val="decimal"/>
      <w:lvlText w:val="%7."/>
      <w:lvlJc w:val="left"/>
      <w:pPr>
        <w:ind w:left="5190" w:hanging="360"/>
      </w:pPr>
      <w:rPr>
        <w:noProof w:val="0"/>
        <w:lang w:val="pl-PL" w:eastAsia="pl-PL" w:bidi="pl-PL"/>
      </w:rPr>
    </w:lvl>
    <w:lvl w:ilvl="7" w:tplc="7B0E54AE">
      <w:start w:val="1"/>
      <w:numFmt w:val="lowerLetter"/>
      <w:lvlText w:val="%8."/>
      <w:lvlJc w:val="left"/>
      <w:pPr>
        <w:ind w:left="5910" w:hanging="360"/>
      </w:pPr>
      <w:rPr>
        <w:noProof w:val="0"/>
        <w:lang w:val="pl-PL" w:eastAsia="pl-PL" w:bidi="pl-PL"/>
      </w:rPr>
    </w:lvl>
    <w:lvl w:ilvl="8" w:tplc="F24E37F0">
      <w:start w:val="1"/>
      <w:numFmt w:val="lowerRoman"/>
      <w:lvlText w:val="%9."/>
      <w:lvlJc w:val="right"/>
      <w:pPr>
        <w:ind w:left="6630" w:hanging="180"/>
      </w:pPr>
      <w:rPr>
        <w:noProof w:val="0"/>
        <w:lang w:val="pl-PL" w:eastAsia="pl-PL" w:bidi="pl-PL"/>
      </w:rPr>
    </w:lvl>
  </w:abstractNum>
  <w:abstractNum w:abstractNumId="8" w15:restartNumberingAfterBreak="0">
    <w:nsid w:val="78DC752C"/>
    <w:multiLevelType w:val="hybridMultilevel"/>
    <w:tmpl w:val="00000000"/>
    <w:lvl w:ilvl="0" w:tplc="2026C25A">
      <w:start w:val="1"/>
      <w:numFmt w:val="lowerLetter"/>
      <w:lvlText w:val="%1)"/>
      <w:lvlJc w:val="left"/>
      <w:pPr>
        <w:ind w:left="643" w:hanging="360"/>
      </w:pPr>
      <w:rPr>
        <w:noProof w:val="0"/>
        <w:lang w:val="pl-PL" w:eastAsia="pl-PL" w:bidi="pl-PL"/>
      </w:rPr>
    </w:lvl>
    <w:lvl w:ilvl="1" w:tplc="8222F3A2">
      <w:start w:val="1"/>
      <w:numFmt w:val="lowerLetter"/>
      <w:lvlText w:val="%2."/>
      <w:lvlJc w:val="left"/>
      <w:pPr>
        <w:ind w:left="1363" w:hanging="360"/>
      </w:pPr>
      <w:rPr>
        <w:noProof w:val="0"/>
        <w:lang w:val="pl-PL" w:eastAsia="pl-PL" w:bidi="pl-PL"/>
      </w:rPr>
    </w:lvl>
    <w:lvl w:ilvl="2" w:tplc="1C8EC1D8">
      <w:start w:val="1"/>
      <w:numFmt w:val="lowerRoman"/>
      <w:lvlText w:val="%3."/>
      <w:lvlJc w:val="right"/>
      <w:pPr>
        <w:ind w:left="2083" w:hanging="180"/>
      </w:pPr>
      <w:rPr>
        <w:noProof w:val="0"/>
        <w:lang w:val="pl-PL" w:eastAsia="pl-PL" w:bidi="pl-PL"/>
      </w:rPr>
    </w:lvl>
    <w:lvl w:ilvl="3" w:tplc="15D28F12">
      <w:start w:val="1"/>
      <w:numFmt w:val="decimal"/>
      <w:lvlText w:val="%4."/>
      <w:lvlJc w:val="left"/>
      <w:pPr>
        <w:ind w:left="2803" w:hanging="360"/>
      </w:pPr>
      <w:rPr>
        <w:noProof w:val="0"/>
        <w:lang w:val="pl-PL" w:eastAsia="pl-PL" w:bidi="pl-PL"/>
      </w:rPr>
    </w:lvl>
    <w:lvl w:ilvl="4" w:tplc="2EC00A7E">
      <w:start w:val="1"/>
      <w:numFmt w:val="lowerLetter"/>
      <w:lvlText w:val="%5."/>
      <w:lvlJc w:val="left"/>
      <w:pPr>
        <w:ind w:left="3523" w:hanging="360"/>
      </w:pPr>
      <w:rPr>
        <w:noProof w:val="0"/>
        <w:lang w:val="pl-PL" w:eastAsia="pl-PL" w:bidi="pl-PL"/>
      </w:rPr>
    </w:lvl>
    <w:lvl w:ilvl="5" w:tplc="C1FA1988">
      <w:start w:val="1"/>
      <w:numFmt w:val="lowerRoman"/>
      <w:lvlText w:val="%6."/>
      <w:lvlJc w:val="right"/>
      <w:pPr>
        <w:ind w:left="4243" w:hanging="180"/>
      </w:pPr>
      <w:rPr>
        <w:noProof w:val="0"/>
        <w:lang w:val="pl-PL" w:eastAsia="pl-PL" w:bidi="pl-PL"/>
      </w:rPr>
    </w:lvl>
    <w:lvl w:ilvl="6" w:tplc="C6928282">
      <w:start w:val="1"/>
      <w:numFmt w:val="decimal"/>
      <w:lvlText w:val="%7."/>
      <w:lvlJc w:val="left"/>
      <w:pPr>
        <w:ind w:left="4963" w:hanging="360"/>
      </w:pPr>
      <w:rPr>
        <w:noProof w:val="0"/>
        <w:lang w:val="pl-PL" w:eastAsia="pl-PL" w:bidi="pl-PL"/>
      </w:rPr>
    </w:lvl>
    <w:lvl w:ilvl="7" w:tplc="37D44A20">
      <w:start w:val="1"/>
      <w:numFmt w:val="lowerLetter"/>
      <w:lvlText w:val="%8."/>
      <w:lvlJc w:val="left"/>
      <w:pPr>
        <w:ind w:left="5683" w:hanging="360"/>
      </w:pPr>
      <w:rPr>
        <w:noProof w:val="0"/>
        <w:lang w:val="pl-PL" w:eastAsia="pl-PL" w:bidi="pl-PL"/>
      </w:rPr>
    </w:lvl>
    <w:lvl w:ilvl="8" w:tplc="15BC4564">
      <w:start w:val="1"/>
      <w:numFmt w:val="lowerRoman"/>
      <w:lvlText w:val="%9."/>
      <w:lvlJc w:val="right"/>
      <w:pPr>
        <w:ind w:left="6403" w:hanging="180"/>
      </w:pPr>
      <w:rPr>
        <w:noProof w:val="0"/>
        <w:lang w:val="pl-PL" w:eastAsia="pl-PL" w:bidi="pl-PL"/>
      </w:rPr>
    </w:lvl>
  </w:abstractNum>
  <w:abstractNum w:abstractNumId="9" w15:restartNumberingAfterBreak="0">
    <w:nsid w:val="7D253AF2"/>
    <w:multiLevelType w:val="hybridMultilevel"/>
    <w:tmpl w:val="00000000"/>
    <w:lvl w:ilvl="0" w:tplc="3CEED4FE">
      <w:start w:val="1"/>
      <w:numFmt w:val="bullet"/>
      <w:lvlText w:val="-"/>
      <w:lvlJc w:val="left"/>
      <w:pPr>
        <w:ind w:left="720" w:hanging="360"/>
      </w:pPr>
      <w:rPr>
        <w:rFonts w:ascii="Symbol" w:hAnsi="Symbol"/>
        <w:noProof w:val="0"/>
        <w:lang w:val="pl-PL" w:eastAsia="pl-PL" w:bidi="pl-PL"/>
      </w:rPr>
    </w:lvl>
    <w:lvl w:ilvl="1" w:tplc="8CF8A2E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  <w:noProof w:val="0"/>
        <w:lang w:val="pl-PL" w:eastAsia="pl-PL" w:bidi="pl-PL"/>
      </w:rPr>
    </w:lvl>
    <w:lvl w:ilvl="2" w:tplc="5DF284D2">
      <w:start w:val="1"/>
      <w:numFmt w:val="bullet"/>
      <w:lvlText w:val="§"/>
      <w:lvlJc w:val="left"/>
      <w:pPr>
        <w:ind w:left="2160" w:hanging="360"/>
      </w:pPr>
      <w:rPr>
        <w:rFonts w:ascii="Wingdings" w:hAnsi="Wingdings"/>
        <w:noProof w:val="0"/>
        <w:lang w:val="pl-PL" w:eastAsia="pl-PL" w:bidi="pl-PL"/>
      </w:rPr>
    </w:lvl>
    <w:lvl w:ilvl="3" w:tplc="103E9088">
      <w:start w:val="1"/>
      <w:numFmt w:val="bullet"/>
      <w:lvlText w:val="·"/>
      <w:lvlJc w:val="left"/>
      <w:pPr>
        <w:ind w:left="2880" w:hanging="360"/>
      </w:pPr>
      <w:rPr>
        <w:rFonts w:ascii="Symbol" w:hAnsi="Symbol"/>
        <w:noProof w:val="0"/>
        <w:lang w:val="pl-PL" w:eastAsia="pl-PL" w:bidi="pl-PL"/>
      </w:rPr>
    </w:lvl>
    <w:lvl w:ilvl="4" w:tplc="4D8A377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  <w:noProof w:val="0"/>
        <w:lang w:val="pl-PL" w:eastAsia="pl-PL" w:bidi="pl-PL"/>
      </w:rPr>
    </w:lvl>
    <w:lvl w:ilvl="5" w:tplc="569AA944">
      <w:start w:val="1"/>
      <w:numFmt w:val="bullet"/>
      <w:lvlText w:val="§"/>
      <w:lvlJc w:val="left"/>
      <w:pPr>
        <w:ind w:left="4320" w:hanging="360"/>
      </w:pPr>
      <w:rPr>
        <w:rFonts w:ascii="Wingdings" w:hAnsi="Wingdings"/>
        <w:noProof w:val="0"/>
        <w:lang w:val="pl-PL" w:eastAsia="pl-PL" w:bidi="pl-PL"/>
      </w:rPr>
    </w:lvl>
    <w:lvl w:ilvl="6" w:tplc="12186074">
      <w:start w:val="1"/>
      <w:numFmt w:val="bullet"/>
      <w:lvlText w:val="·"/>
      <w:lvlJc w:val="left"/>
      <w:pPr>
        <w:ind w:left="5040" w:hanging="360"/>
      </w:pPr>
      <w:rPr>
        <w:rFonts w:ascii="Symbol" w:hAnsi="Symbol"/>
        <w:noProof w:val="0"/>
        <w:lang w:val="pl-PL" w:eastAsia="pl-PL" w:bidi="pl-PL"/>
      </w:rPr>
    </w:lvl>
    <w:lvl w:ilvl="7" w:tplc="DAE8B9F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  <w:noProof w:val="0"/>
        <w:lang w:val="pl-PL" w:eastAsia="pl-PL" w:bidi="pl-PL"/>
      </w:rPr>
    </w:lvl>
    <w:lvl w:ilvl="8" w:tplc="8B48E7E8">
      <w:start w:val="1"/>
      <w:numFmt w:val="bullet"/>
      <w:lvlText w:val="§"/>
      <w:lvlJc w:val="left"/>
      <w:pPr>
        <w:ind w:left="6480" w:hanging="360"/>
      </w:pPr>
      <w:rPr>
        <w:rFonts w:ascii="Wingdings" w:hAnsi="Wingdings"/>
        <w:noProof w:val="0"/>
        <w:lang w:val="pl-PL" w:eastAsia="pl-PL" w:bidi="pl-PL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5"/>
  </w:num>
  <w:num w:numId="5">
    <w:abstractNumId w:val="8"/>
  </w:num>
  <w:num w:numId="6">
    <w:abstractNumId w:val="7"/>
  </w:num>
  <w:num w:numId="7">
    <w:abstractNumId w:val="3"/>
  </w:num>
  <w:num w:numId="8">
    <w:abstractNumId w:val="2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1451C4"/>
    <w:rsid w:val="001F3C6E"/>
    <w:rsid w:val="0086720B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58378F"/>
  <w15:docId w15:val="{FD80DB01-4169-488F-A8C6-E3B87D201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paragraph" w:customStyle="1" w:styleId="Ustp">
    <w:name w:val="Ustęp"/>
    <w:basedOn w:val="Normalny"/>
    <w:pPr>
      <w:spacing w:before="120" w:after="120"/>
      <w:ind w:left="86" w:firstLine="340"/>
    </w:pPr>
    <w:rPr>
      <w:szCs w:val="20"/>
      <w:lang w:val="en-US" w:eastAsia="en-US" w:bidi="en-US"/>
    </w:rPr>
  </w:style>
  <w:style w:type="paragraph" w:styleId="Akapitzlist">
    <w:name w:val="List Paragraph"/>
    <w:basedOn w:val="Normalny"/>
    <w:pPr>
      <w:ind w:left="720"/>
      <w:contextualSpacing/>
    </w:pPr>
    <w:rPr>
      <w:szCs w:val="20"/>
      <w:lang w:val="x-none" w:eastAsia="en-US" w:bidi="ar-SA"/>
    </w:rPr>
  </w:style>
  <w:style w:type="character" w:customStyle="1" w:styleId="normaltextrun">
    <w:name w:val="normaltextrun"/>
    <w:basedOn w:val="Domylnaczcionkaakapitu"/>
    <w:rPr>
      <w:color w:val="auto"/>
      <w:sz w:val="24"/>
      <w:shd w:val="clear" w:color="auto" w:fill="auto"/>
      <w:lang w:val="x-none"/>
    </w:rPr>
  </w:style>
  <w:style w:type="paragraph" w:customStyle="1" w:styleId="Punkt">
    <w:name w:val="Punkt"/>
    <w:basedOn w:val="Normalny"/>
    <w:pPr>
      <w:spacing w:after="120"/>
      <w:contextualSpacing/>
    </w:pPr>
    <w:rPr>
      <w:szCs w:val="20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Zalacznik13B34B98-C53A-47EF-A3D8-F742872B72C3.jp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ZalacznikD5B418DB-C732-4D45-837E-4DBA4A0691EF.jpg" TargetMode="External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Zalacznik7A3C43D4-DE5B-4628-AA42-F30A21B4601B.jpg" TargetMode="External"/><Relationship Id="rId25" Type="http://schemas.openxmlformats.org/officeDocument/2006/relationships/image" Target="Zalacznik377291A8-5FCF-4B1D-BAB8-1941A24D214F.jpg" TargetMode="External"/><Relationship Id="rId33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Zalacznik21D7B852-98B5-4007-A643-7E33F009C696.jpg" TargetMode="External"/><Relationship Id="rId24" Type="http://schemas.openxmlformats.org/officeDocument/2006/relationships/image" Target="media/image9.png"/><Relationship Id="rId32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Zalacznik652587C4-44C9-402B-B28F-2B4CC01B9803.jpg" TargetMode="External"/><Relationship Id="rId23" Type="http://schemas.openxmlformats.org/officeDocument/2006/relationships/image" Target="Zalacznik6FFFA605-EEB8-4335-AC69-E9754FE88FF1.jpg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ZalacznikBA8D7293-3D76-4744-B676-4D5111D5941A.jpg" TargetMode="External"/><Relationship Id="rId31" Type="http://schemas.openxmlformats.org/officeDocument/2006/relationships/hyperlink" Target="Zalacznik4.gml" TargetMode="External"/><Relationship Id="rId4" Type="http://schemas.openxmlformats.org/officeDocument/2006/relationships/webSettings" Target="webSettings.xml"/><Relationship Id="rId9" Type="http://schemas.openxmlformats.org/officeDocument/2006/relationships/image" Target="ZalacznikF82684EE-0A73-42D7-A289-2C51EF6BB912.jp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Zalacznik077960DE-F080-4470-870A-2E3259A4A1CE.jpg" TargetMode="External"/><Relationship Id="rId30" Type="http://schemas.openxmlformats.org/officeDocument/2006/relationships/footer" Target="footer4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8872</Words>
  <Characters>53237</Characters>
  <Application>Microsoft Office Word</Application>
  <DocSecurity>0</DocSecurity>
  <Lines>443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Rady Miejskiej w Łodzi</Company>
  <LinksUpToDate>false</LinksUpToDate>
  <CharactersWithSpaces>61986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uchwalenia miejscowego planu zagospodarowania przestrzennego dla części obszaru miasta Łodzi położonej w^rejonie doliny rzeki Bałutki, ulic Inowrocławskiej i^Omłotowej oraz terenów kolejowych.</dc:subject>
  <dc:creator>esawicka</dc:creator>
  <cp:lastModifiedBy>Dariusz Kędzierski</cp:lastModifiedBy>
  <cp:revision>3</cp:revision>
  <dcterms:created xsi:type="dcterms:W3CDTF">2024-04-25T11:14:00Z</dcterms:created>
  <dcterms:modified xsi:type="dcterms:W3CDTF">2024-04-25T11:21:00Z</dcterms:modified>
  <cp:category>Akt prawny</cp:category>
</cp:coreProperties>
</file>