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76" w:rsidRPr="001457B3" w:rsidRDefault="00814076" w:rsidP="008140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Druk BRM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104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Projekt 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18 czerwca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2024 r.</w:t>
      </w:r>
    </w:p>
    <w:p w:rsidR="00814076" w:rsidRPr="00240D3D" w:rsidRDefault="00814076" w:rsidP="00814076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814076" w:rsidRPr="00240D3D" w:rsidRDefault="00814076" w:rsidP="00814076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814076" w:rsidRPr="00240D3D" w:rsidRDefault="00814076" w:rsidP="0081407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skargi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p. </w:t>
      </w:r>
    </w:p>
    <w:p w:rsidR="00814076" w:rsidRPr="00240D3D" w:rsidRDefault="00814076" w:rsidP="0081407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Dyrektora Zarządu Lokali Miejskich.</w:t>
      </w:r>
    </w:p>
    <w:p w:rsidR="00814076" w:rsidRPr="00240D3D" w:rsidRDefault="00814076" w:rsidP="008140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4076" w:rsidRPr="00240D3D" w:rsidRDefault="00814076" w:rsidP="00814076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8 marca 1990 r. o samorządzie gminnym (Dz. U. z </w:t>
      </w:r>
      <w:r>
        <w:rPr>
          <w:rFonts w:ascii="Times New Roman" w:eastAsia="Calibri" w:hAnsi="Times New Roman" w:cs="Times New Roman"/>
          <w:sz w:val="24"/>
          <w:szCs w:val="24"/>
        </w:rPr>
        <w:t>2024 poz. 609, 721</w:t>
      </w:r>
      <w:r w:rsidRPr="00240D3D">
        <w:rPr>
          <w:rFonts w:ascii="Times New Roman" w:eastAsia="Calibri" w:hAnsi="Times New Roman" w:cs="Times New Roman"/>
          <w:sz w:val="24"/>
          <w:szCs w:val="24"/>
        </w:rPr>
        <w:t>) oraz art. 229 pkt 3, art. 237 § 3 oraz art. 238 § 1 ustawy z dnia 14 czerwca 1960 r. - Kodeks postępowania administracyjnego (Dz. U. z 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572</w:t>
      </w:r>
      <w:r w:rsidRPr="00240D3D">
        <w:rPr>
          <w:rFonts w:ascii="Times New Roman" w:eastAsia="Calibri" w:hAnsi="Times New Roman" w:cs="Times New Roman"/>
          <w:sz w:val="24"/>
          <w:szCs w:val="24"/>
        </w:rPr>
        <w:t>), Rada Miejska w Łodzi</w:t>
      </w:r>
    </w:p>
    <w:p w:rsidR="00814076" w:rsidRPr="00240D3D" w:rsidRDefault="00814076" w:rsidP="0081407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814076" w:rsidRPr="00240D3D" w:rsidRDefault="00814076" w:rsidP="00814076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4076" w:rsidRPr="00240D3D" w:rsidRDefault="00814076" w:rsidP="00814076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§ 1.1.</w:t>
      </w:r>
      <w:r w:rsidRPr="00240D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Skargę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p. 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 xml:space="preserve"> działania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Dyrektora Zarządu Lokali Miejskich</w:t>
      </w:r>
      <w:r w:rsidRPr="00240D3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40D3D">
        <w:rPr>
          <w:rFonts w:ascii="Times New Roman" w:eastAsia="Calibri" w:hAnsi="Times New Roman" w:cs="Times New Roman"/>
          <w:bCs/>
          <w:sz w:val="24"/>
          <w:szCs w:val="24"/>
        </w:rPr>
        <w:t>uznaje się </w:t>
      </w:r>
      <w:r>
        <w:rPr>
          <w:rFonts w:ascii="Times New Roman" w:eastAsia="Calibri" w:hAnsi="Times New Roman" w:cs="Times New Roman"/>
          <w:bCs/>
          <w:sz w:val="24"/>
          <w:szCs w:val="24"/>
        </w:rPr>
        <w:t>w części za zasadną.</w:t>
      </w:r>
    </w:p>
    <w:p w:rsidR="00814076" w:rsidRDefault="00814076" w:rsidP="0081407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ab/>
        <w:t xml:space="preserve">2. Skarga jest </w:t>
      </w:r>
      <w:r>
        <w:rPr>
          <w:rFonts w:ascii="Times New Roman" w:eastAsia="Calibri" w:hAnsi="Times New Roman" w:cs="Times New Roman"/>
          <w:sz w:val="24"/>
          <w:szCs w:val="24"/>
        </w:rPr>
        <w:t>w części zasadna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z przyczyn wskazanych w uzasadnieniu do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40D3D">
        <w:rPr>
          <w:rFonts w:ascii="Times New Roman" w:eastAsia="Calibri" w:hAnsi="Times New Roman" w:cs="Times New Roman"/>
          <w:sz w:val="24"/>
          <w:szCs w:val="24"/>
        </w:rPr>
        <w:t>przedmiotowej uchwały, które stanowi jej integralną część.</w:t>
      </w:r>
    </w:p>
    <w:p w:rsidR="00814076" w:rsidRPr="00240D3D" w:rsidRDefault="00814076" w:rsidP="0081407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2. Zobowiązuje się Dyrektora Zarządu Lokali Miejskich do poinformowania Przewodniczącego Rady Miejskiej w Łodzi o sposobie usunięcia przyczyn, które spowodowały częściową zasadność skargi.</w:t>
      </w:r>
    </w:p>
    <w:p w:rsidR="00814076" w:rsidRPr="00240D3D" w:rsidRDefault="00814076" w:rsidP="00814076">
      <w:pPr>
        <w:tabs>
          <w:tab w:val="left" w:pos="720"/>
          <w:tab w:val="left" w:pos="10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40D3D">
        <w:rPr>
          <w:rFonts w:ascii="Times New Roman" w:eastAsia="Calibri" w:hAnsi="Times New Roman" w:cs="Times New Roman"/>
          <w:sz w:val="24"/>
          <w:szCs w:val="24"/>
        </w:rPr>
        <w:t>. Zobowiązuje się Przewodniczącego Rady Miejskiej w Łodzi do przekazania Skarżąc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 niniejszej uchwały wraz z uzasadnieniem.</w:t>
      </w:r>
    </w:p>
    <w:p w:rsidR="00814076" w:rsidRPr="00240D3D" w:rsidRDefault="00814076" w:rsidP="0081407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0D3D">
        <w:rPr>
          <w:rFonts w:ascii="Times New Roman" w:eastAsia="Calibri" w:hAnsi="Times New Roman" w:cs="Times New Roman"/>
          <w:sz w:val="24"/>
          <w:szCs w:val="24"/>
        </w:rPr>
        <w:t>. Uchwała wchodzi w życie z dniem podjęcia.</w:t>
      </w:r>
    </w:p>
    <w:p w:rsidR="00814076" w:rsidRPr="00240D3D" w:rsidRDefault="00814076" w:rsidP="00814076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076" w:rsidRPr="00240D3D" w:rsidRDefault="00814076" w:rsidP="00814076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076" w:rsidRPr="00240D3D" w:rsidRDefault="00814076" w:rsidP="00814076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240D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814076" w:rsidRPr="00240D3D" w:rsidRDefault="00814076" w:rsidP="00814076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14076" w:rsidRPr="00240D3D" w:rsidRDefault="00814076" w:rsidP="00814076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14076" w:rsidRPr="00240D3D" w:rsidRDefault="00814076" w:rsidP="00814076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14076" w:rsidRPr="00240D3D" w:rsidRDefault="00814076" w:rsidP="00814076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Bartosz DOMASZEWICZ</w:t>
      </w:r>
    </w:p>
    <w:p w:rsidR="00814076" w:rsidRPr="00240D3D" w:rsidRDefault="00814076" w:rsidP="008140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076" w:rsidRPr="00240D3D" w:rsidRDefault="00814076" w:rsidP="008140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076" w:rsidRPr="00240D3D" w:rsidRDefault="00814076" w:rsidP="008140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076" w:rsidRPr="00240D3D" w:rsidRDefault="00814076" w:rsidP="008140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814076" w:rsidRPr="00240D3D" w:rsidRDefault="00814076" w:rsidP="008140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814076" w:rsidRPr="00240D3D" w:rsidRDefault="00814076" w:rsidP="008140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814076" w:rsidRDefault="00814076" w:rsidP="00814076">
      <w:pPr>
        <w:spacing w:after="0" w:line="276" w:lineRule="auto"/>
      </w:pPr>
    </w:p>
    <w:p w:rsidR="00814076" w:rsidRPr="001457B3" w:rsidRDefault="00814076" w:rsidP="008140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4076" w:rsidRPr="00240D3D" w:rsidRDefault="00814076" w:rsidP="00814076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lastRenderedPageBreak/>
        <w:t>Załącznik</w:t>
      </w:r>
    </w:p>
    <w:p w:rsidR="00814076" w:rsidRPr="00240D3D" w:rsidRDefault="00814076" w:rsidP="00814076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814076" w:rsidRPr="00240D3D" w:rsidRDefault="00814076" w:rsidP="00814076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814076" w:rsidRPr="00240D3D" w:rsidRDefault="00814076" w:rsidP="00814076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814076" w:rsidRPr="00240D3D" w:rsidRDefault="00814076" w:rsidP="008140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076" w:rsidRPr="00240D3D" w:rsidRDefault="00814076" w:rsidP="008140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D3D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814076" w:rsidRPr="00240D3D" w:rsidRDefault="00814076" w:rsidP="0081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076" w:rsidRDefault="00814076" w:rsidP="0081407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kwietnia 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r. do Rady Miejskiej w Łodzi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skarga na działania </w:t>
      </w:r>
      <w:r>
        <w:rPr>
          <w:rFonts w:ascii="Times New Roman" w:eastAsia="Times New Roman" w:hAnsi="Times New Roman" w:cs="Times New Roman"/>
          <w:lang w:eastAsia="pl-PL"/>
        </w:rPr>
        <w:t xml:space="preserve">Dyrektora Zarządu Lokali Miejskich w związku z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błędnym wyliczeniem opłat za wodę oraz odbiór nieczystości.</w:t>
      </w:r>
    </w:p>
    <w:p w:rsidR="00814076" w:rsidRPr="00240D3D" w:rsidRDefault="00814076" w:rsidP="0081407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076" w:rsidRDefault="00814076" w:rsidP="0081407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814076" w:rsidRDefault="00814076" w:rsidP="0081407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4076" w:rsidRPr="00153DF6" w:rsidRDefault="00814076" w:rsidP="0081407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DF6">
        <w:rPr>
          <w:rFonts w:ascii="Times New Roman" w:hAnsi="Times New Roman" w:cs="Times New Roman"/>
          <w:sz w:val="24"/>
          <w:szCs w:val="24"/>
        </w:rPr>
        <w:t>Skarga dotyczy nieprawidłowego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DF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53DF6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53DF6">
        <w:rPr>
          <w:rFonts w:ascii="Times New Roman" w:hAnsi="Times New Roman" w:cs="Times New Roman"/>
          <w:sz w:val="24"/>
          <w:szCs w:val="24"/>
        </w:rPr>
        <w:t>ieszkanki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DF6">
        <w:rPr>
          <w:rFonts w:ascii="Times New Roman" w:hAnsi="Times New Roman" w:cs="Times New Roman"/>
          <w:sz w:val="24"/>
          <w:szCs w:val="24"/>
        </w:rPr>
        <w:t xml:space="preserve"> naliczenia opłat za pobór wody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3DF6">
        <w:rPr>
          <w:rFonts w:ascii="Times New Roman" w:hAnsi="Times New Roman" w:cs="Times New Roman"/>
          <w:sz w:val="24"/>
          <w:szCs w:val="24"/>
        </w:rPr>
        <w:t>zdroju oraz niedopłaty jaką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DF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53DF6">
        <w:rPr>
          <w:rFonts w:ascii="Times New Roman" w:hAnsi="Times New Roman" w:cs="Times New Roman"/>
          <w:sz w:val="24"/>
          <w:szCs w:val="24"/>
        </w:rPr>
        <w:t>g Zarządu Lokali Miejskich za czyszczenie szamba przypisanego do lokalu komunalnego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DF6">
        <w:rPr>
          <w:rFonts w:ascii="Times New Roman" w:hAnsi="Times New Roman" w:cs="Times New Roman"/>
          <w:sz w:val="24"/>
          <w:szCs w:val="24"/>
        </w:rPr>
        <w:t xml:space="preserve"> miała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3DF6">
        <w:rPr>
          <w:rFonts w:ascii="Times New Roman" w:hAnsi="Times New Roman" w:cs="Times New Roman"/>
          <w:sz w:val="24"/>
          <w:szCs w:val="24"/>
        </w:rPr>
        <w:t xml:space="preserve">karżąca. Skarga dotyczy rachunków za rok 2022. </w:t>
      </w:r>
    </w:p>
    <w:p w:rsidR="00814076" w:rsidRPr="00153DF6" w:rsidRDefault="00814076" w:rsidP="00814076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DF6">
        <w:rPr>
          <w:rFonts w:ascii="Times New Roman" w:hAnsi="Times New Roman" w:cs="Times New Roman"/>
          <w:sz w:val="24"/>
          <w:szCs w:val="24"/>
        </w:rPr>
        <w:t xml:space="preserve">Na podstawie kwerendy dokumentów oraz informacji pozyskanych od pracowników Zarządu Lokali Miejskich stwierdzono </w:t>
      </w:r>
      <w:r>
        <w:rPr>
          <w:rFonts w:ascii="Times New Roman" w:hAnsi="Times New Roman" w:cs="Times New Roman"/>
          <w:sz w:val="24"/>
          <w:szCs w:val="24"/>
        </w:rPr>
        <w:t>nieprawidłowe</w:t>
      </w:r>
      <w:r w:rsidRPr="00153DF6">
        <w:rPr>
          <w:rFonts w:ascii="Times New Roman" w:hAnsi="Times New Roman" w:cs="Times New Roman"/>
          <w:sz w:val="24"/>
          <w:szCs w:val="24"/>
        </w:rPr>
        <w:t xml:space="preserve"> naliczanie opłat za czyszczenie szamba, które wynikało z błędu popełnionego w przeszłości (2014 rok) przez pracownika jednostki. Błąd ten polegał na przypisaniu do posesji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3DF6">
        <w:rPr>
          <w:rFonts w:ascii="Times New Roman" w:hAnsi="Times New Roman" w:cs="Times New Roman"/>
          <w:sz w:val="24"/>
          <w:szCs w:val="24"/>
        </w:rPr>
        <w:t xml:space="preserve">karżącej szamba o większej pojemności, które powinno być przypisane do posesji obok. Zarząd Lokali Miejskich podjął wszelkie działania, by sprawę wyjaśnić.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maja 2024 r. w siedzibie </w:t>
      </w:r>
      <w:r w:rsidRPr="00ED2197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 Obsługi Najemców „Południe”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 spotkanie, podczas którego Skarżąca otrzymała prawidłowe rozliczenie wraz z wyrównaniem od 2014 r. Ze spotkania został sporządzony protokół, z którego wynika, że Skarżąca zadeklarowała wycofanie przedmiotowej skargi</w:t>
      </w:r>
      <w:r w:rsidRPr="00153DF6">
        <w:rPr>
          <w:rFonts w:ascii="Times New Roman" w:hAnsi="Times New Roman" w:cs="Times New Roman"/>
          <w:sz w:val="24"/>
          <w:szCs w:val="24"/>
        </w:rPr>
        <w:t>. Jednakże taka informacja do</w:t>
      </w:r>
      <w:r>
        <w:rPr>
          <w:rFonts w:ascii="Times New Roman" w:hAnsi="Times New Roman" w:cs="Times New Roman"/>
          <w:sz w:val="24"/>
          <w:szCs w:val="24"/>
        </w:rPr>
        <w:t> K</w:t>
      </w:r>
      <w:r w:rsidRPr="00153DF6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Skarg, Wniosków i  Petycji Rady Miejskiej w Łodzi </w:t>
      </w:r>
      <w:r w:rsidRPr="00153DF6">
        <w:rPr>
          <w:rFonts w:ascii="Times New Roman" w:hAnsi="Times New Roman" w:cs="Times New Roman"/>
          <w:sz w:val="24"/>
          <w:szCs w:val="24"/>
        </w:rPr>
        <w:t xml:space="preserve">ze strony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3DF6">
        <w:rPr>
          <w:rFonts w:ascii="Times New Roman" w:hAnsi="Times New Roman" w:cs="Times New Roman"/>
          <w:sz w:val="24"/>
          <w:szCs w:val="24"/>
        </w:rPr>
        <w:t>karżącej 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3DF6">
        <w:rPr>
          <w:rFonts w:ascii="Times New Roman" w:hAnsi="Times New Roman" w:cs="Times New Roman"/>
          <w:sz w:val="24"/>
          <w:szCs w:val="24"/>
        </w:rPr>
        <w:t xml:space="preserve">wpłynęła. </w:t>
      </w:r>
    </w:p>
    <w:p w:rsidR="00814076" w:rsidRPr="001457B3" w:rsidRDefault="00814076" w:rsidP="008140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4076" w:rsidRPr="00240D3D" w:rsidRDefault="00814076" w:rsidP="0081407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Rada Miejska w Łodzi uznaje skargę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za zasadną.</w:t>
      </w: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076" w:rsidRPr="00240D3D" w:rsidRDefault="00814076" w:rsidP="008140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076" w:rsidRPr="00240D3D" w:rsidRDefault="00814076" w:rsidP="00814076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814076" w:rsidRPr="00240D3D" w:rsidRDefault="00814076" w:rsidP="008140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D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3424" w:rsidRDefault="00FE545B">
      <w:bookmarkStart w:id="0" w:name="_GoBack"/>
      <w:bookmarkEnd w:id="0"/>
    </w:p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76"/>
    <w:rsid w:val="001A7B09"/>
    <w:rsid w:val="00776C89"/>
    <w:rsid w:val="00814076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8AF3"/>
  <w15:chartTrackingRefBased/>
  <w15:docId w15:val="{2B68029D-FCCD-49B5-A899-08CB147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3</cp:revision>
  <dcterms:created xsi:type="dcterms:W3CDTF">2024-06-20T07:22:00Z</dcterms:created>
  <dcterms:modified xsi:type="dcterms:W3CDTF">2024-06-21T06:29:00Z</dcterms:modified>
</cp:coreProperties>
</file>