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2E" w:rsidRPr="005C1DEE" w:rsidRDefault="003C252E" w:rsidP="003C2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C252E" w:rsidRPr="005C1DEE" w:rsidRDefault="003C252E" w:rsidP="003C252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Druk BRM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107</w:t>
      </w:r>
      <w:r w:rsidRPr="005C1DEE">
        <w:rPr>
          <w:rFonts w:ascii="Times New Roman" w:eastAsia="Calibri" w:hAnsi="Times New Roman" w:cs="Times New Roman"/>
          <w:b/>
          <w:sz w:val="24"/>
          <w:szCs w:val="24"/>
        </w:rPr>
        <w:t>/2024</w:t>
      </w:r>
    </w:p>
    <w:p w:rsidR="003C252E" w:rsidRPr="005C1DEE" w:rsidRDefault="003C252E" w:rsidP="003C252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Projekt 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>18 czerwca</w:t>
      </w: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 2024 r.</w:t>
      </w:r>
    </w:p>
    <w:p w:rsidR="003C252E" w:rsidRPr="005C1DEE" w:rsidRDefault="003C252E" w:rsidP="003C252E">
      <w:pPr>
        <w:tabs>
          <w:tab w:val="left" w:pos="5103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252E" w:rsidRPr="005C1DEE" w:rsidRDefault="003C252E" w:rsidP="003C252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252E" w:rsidRPr="005C1DEE" w:rsidRDefault="003C252E" w:rsidP="003C252E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252E" w:rsidRPr="005C1DEE" w:rsidRDefault="003C252E" w:rsidP="003C252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</w:t>
      </w:r>
    </w:p>
    <w:p w:rsidR="003C252E" w:rsidRPr="005C1DEE" w:rsidRDefault="003C252E" w:rsidP="003C252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ŁODZI</w:t>
      </w:r>
    </w:p>
    <w:p w:rsidR="003C252E" w:rsidRPr="005C1DEE" w:rsidRDefault="003C252E" w:rsidP="003C252E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z dnia …….</w:t>
      </w:r>
    </w:p>
    <w:p w:rsidR="003C252E" w:rsidRPr="005C1DEE" w:rsidRDefault="003C252E" w:rsidP="003C252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skargi</w:t>
      </w:r>
      <w:r w:rsidR="00D655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na działania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Prezydenta Miasta Łodzi.</w:t>
      </w:r>
    </w:p>
    <w:p w:rsidR="003C252E" w:rsidRPr="005C1DEE" w:rsidRDefault="003C252E" w:rsidP="003C252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C252E" w:rsidRPr="005C1DEE" w:rsidRDefault="003C252E" w:rsidP="003C252E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Na podstawie art. 18 ust. 2 pkt 15 ustawy z dnia 8 marca 1990 r. o samorządzie gminnym (Dz. U. z 2024 poz. 609</w:t>
      </w:r>
      <w:r>
        <w:rPr>
          <w:rFonts w:ascii="Times New Roman" w:eastAsia="Calibri" w:hAnsi="Times New Roman" w:cs="Times New Roman"/>
          <w:sz w:val="24"/>
          <w:szCs w:val="24"/>
        </w:rPr>
        <w:t>, 721</w:t>
      </w:r>
      <w:r w:rsidRPr="005C1DEE">
        <w:rPr>
          <w:rFonts w:ascii="Times New Roman" w:eastAsia="Calibri" w:hAnsi="Times New Roman" w:cs="Times New Roman"/>
          <w:sz w:val="24"/>
          <w:szCs w:val="24"/>
        </w:rPr>
        <w:t>) oraz art. 229 pkt 3, art. 237 § 3 oraz art. 238 § 1 ustawy z dnia 14 czerwca 1960 r. - Kodeks postępowania administracyjnego (Dz. U. z 2024 r. poz. 572), Rada Miejska w Łodzi</w:t>
      </w:r>
    </w:p>
    <w:p w:rsidR="003C252E" w:rsidRPr="005C1DEE" w:rsidRDefault="003C252E" w:rsidP="003C252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uchwala, co następuje:</w:t>
      </w:r>
    </w:p>
    <w:p w:rsidR="003C252E" w:rsidRPr="005C1DEE" w:rsidRDefault="003C252E" w:rsidP="003C252E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252E" w:rsidRPr="005C1DEE" w:rsidRDefault="003C252E" w:rsidP="003C252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§ 1.1.</w:t>
      </w:r>
      <w:r w:rsidRPr="005C1D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1DEE">
        <w:rPr>
          <w:rFonts w:ascii="Times New Roman" w:eastAsia="Calibri" w:hAnsi="Times New Roman" w:cs="Times New Roman"/>
          <w:sz w:val="24"/>
          <w:szCs w:val="24"/>
        </w:rPr>
        <w:t>Skargę</w:t>
      </w:r>
      <w:r w:rsidR="00D655D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5C1D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</w:t>
      </w: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 działania </w:t>
      </w:r>
      <w:r>
        <w:rPr>
          <w:rFonts w:ascii="Times New Roman" w:eastAsia="Calibri" w:hAnsi="Times New Roman" w:cs="Times New Roman"/>
          <w:bCs/>
          <w:sz w:val="24"/>
          <w:szCs w:val="24"/>
        </w:rPr>
        <w:t>Prezydenta Miasta Łodzi</w:t>
      </w:r>
      <w:r w:rsidRPr="005C1D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5C1DEE">
        <w:rPr>
          <w:rFonts w:ascii="Times New Roman" w:eastAsia="Calibri" w:hAnsi="Times New Roman" w:cs="Times New Roman"/>
          <w:bCs/>
          <w:sz w:val="24"/>
          <w:szCs w:val="24"/>
        </w:rPr>
        <w:t>uznaje się za </w:t>
      </w:r>
      <w:r>
        <w:rPr>
          <w:rFonts w:ascii="Times New Roman" w:eastAsia="Calibri" w:hAnsi="Times New Roman" w:cs="Times New Roman"/>
          <w:bCs/>
          <w:sz w:val="24"/>
          <w:szCs w:val="24"/>
        </w:rPr>
        <w:t>bezzasadną.</w:t>
      </w:r>
    </w:p>
    <w:p w:rsidR="003C252E" w:rsidRPr="005C1DEE" w:rsidRDefault="003C252E" w:rsidP="003C252E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ab/>
        <w:t xml:space="preserve">2. Skarga jest </w:t>
      </w:r>
      <w:r>
        <w:rPr>
          <w:rFonts w:ascii="Times New Roman" w:eastAsia="Calibri" w:hAnsi="Times New Roman" w:cs="Times New Roman"/>
          <w:sz w:val="24"/>
          <w:szCs w:val="24"/>
        </w:rPr>
        <w:t>bezzasadna</w:t>
      </w:r>
      <w:r w:rsidRPr="005C1DEE">
        <w:rPr>
          <w:rFonts w:ascii="Times New Roman" w:eastAsia="Calibri" w:hAnsi="Times New Roman" w:cs="Times New Roman"/>
          <w:sz w:val="24"/>
          <w:szCs w:val="24"/>
        </w:rPr>
        <w:t xml:space="preserve"> z przyczyn wskazanych w uzasadnieniu do przedmiotowej uchwały, które stanowi jej integralną część.</w:t>
      </w:r>
    </w:p>
    <w:p w:rsidR="003C252E" w:rsidRPr="005C1DEE" w:rsidRDefault="003C252E" w:rsidP="003C252E">
      <w:pPr>
        <w:tabs>
          <w:tab w:val="left" w:pos="720"/>
          <w:tab w:val="left" w:pos="1080"/>
        </w:tabs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§ 2. Zobowiązuje się Przewodniczącego Rady Miejskiej w Łodzi do przekazania Skarżącej niniejszej uchwały wraz z uzasadnieniem.</w:t>
      </w:r>
    </w:p>
    <w:p w:rsidR="003C252E" w:rsidRPr="005C1DEE" w:rsidRDefault="003C252E" w:rsidP="003C252E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§ 3. Uchwała wchodzi w życie z dniem podjęcia.</w:t>
      </w:r>
    </w:p>
    <w:p w:rsidR="003C252E" w:rsidRPr="005C1DEE" w:rsidRDefault="003C252E" w:rsidP="003C252E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52E" w:rsidRPr="005C1DEE" w:rsidRDefault="003C252E" w:rsidP="003C252E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52E" w:rsidRPr="005C1DEE" w:rsidRDefault="003C252E" w:rsidP="003C252E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Rady Miejskiej w Łodzi</w:t>
      </w:r>
    </w:p>
    <w:p w:rsidR="003C252E" w:rsidRPr="005C1DEE" w:rsidRDefault="003C252E" w:rsidP="003C252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C252E" w:rsidRPr="005C1DEE" w:rsidRDefault="003C252E" w:rsidP="003C252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C252E" w:rsidRPr="005C1DEE" w:rsidRDefault="003C252E" w:rsidP="003C252E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C252E" w:rsidRPr="005C1DEE" w:rsidRDefault="003C252E" w:rsidP="003C252E">
      <w:pPr>
        <w:spacing w:after="0" w:line="276" w:lineRule="auto"/>
        <w:ind w:left="4956" w:firstLine="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Bartosz DOMASZEWICZ</w:t>
      </w:r>
    </w:p>
    <w:p w:rsidR="003C252E" w:rsidRPr="005C1DEE" w:rsidRDefault="003C252E" w:rsidP="003C25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52E" w:rsidRPr="005C1DEE" w:rsidRDefault="003C252E" w:rsidP="003C25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52E" w:rsidRPr="005C1DEE" w:rsidRDefault="003C252E" w:rsidP="003C25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52E" w:rsidRPr="005C1DEE" w:rsidRDefault="003C252E" w:rsidP="003C25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Projektodawcą uchwały jest</w:t>
      </w:r>
    </w:p>
    <w:p w:rsidR="003C252E" w:rsidRPr="005C1DEE" w:rsidRDefault="003C252E" w:rsidP="003C25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:rsidR="003C252E" w:rsidRPr="005C1DEE" w:rsidRDefault="003C252E" w:rsidP="003C25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3C252E" w:rsidRPr="005C1DEE" w:rsidRDefault="003C252E" w:rsidP="003C252E">
      <w:pPr>
        <w:rPr>
          <w:rFonts w:ascii="Times New Roman" w:hAnsi="Times New Roman" w:cs="Times New Roman"/>
          <w:sz w:val="24"/>
          <w:szCs w:val="24"/>
        </w:rPr>
      </w:pPr>
    </w:p>
    <w:p w:rsidR="003C252E" w:rsidRPr="005C1DEE" w:rsidRDefault="003C252E" w:rsidP="003C252E">
      <w:pPr>
        <w:rPr>
          <w:rFonts w:ascii="Times New Roman" w:hAnsi="Times New Roman" w:cs="Times New Roman"/>
          <w:sz w:val="24"/>
          <w:szCs w:val="24"/>
        </w:rPr>
      </w:pPr>
    </w:p>
    <w:p w:rsidR="003C252E" w:rsidRPr="005C1DEE" w:rsidRDefault="003C252E" w:rsidP="003C252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C252E" w:rsidRDefault="003C252E" w:rsidP="003C252E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24E34" w:rsidRDefault="00324E34" w:rsidP="003C252E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24E34" w:rsidRDefault="00324E34" w:rsidP="003C252E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24E34" w:rsidRDefault="00324E34" w:rsidP="003C252E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C252E" w:rsidRPr="005C1DEE" w:rsidRDefault="003C252E" w:rsidP="003C252E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C1DEE">
        <w:rPr>
          <w:rFonts w:ascii="Times New Roman" w:eastAsia="Calibri" w:hAnsi="Times New Roman" w:cs="Times New Roman"/>
          <w:sz w:val="24"/>
          <w:szCs w:val="24"/>
        </w:rPr>
        <w:t>Załącznik</w:t>
      </w:r>
    </w:p>
    <w:p w:rsidR="003C252E" w:rsidRPr="005C1DEE" w:rsidRDefault="003C252E" w:rsidP="003C252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do uchwały Nr ………..</w:t>
      </w:r>
    </w:p>
    <w:p w:rsidR="003C252E" w:rsidRPr="005C1DEE" w:rsidRDefault="003C252E" w:rsidP="003C252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3C252E" w:rsidRPr="005C1DEE" w:rsidRDefault="003C252E" w:rsidP="003C252E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z dnia …………………….</w:t>
      </w:r>
    </w:p>
    <w:p w:rsidR="003C252E" w:rsidRPr="005C1DEE" w:rsidRDefault="003C252E" w:rsidP="003C252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252E" w:rsidRPr="005C1DEE" w:rsidRDefault="003C252E" w:rsidP="003C252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3C252E" w:rsidRPr="005C1DEE" w:rsidRDefault="003C252E" w:rsidP="003C25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52E" w:rsidRPr="005C1DEE" w:rsidRDefault="003C252E" w:rsidP="003C252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16 maja 2024 r. d</w:t>
      </w: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Rady Miejskiej w Łodzi 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</w:t>
      </w: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skarga na 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Łodzi</w:t>
      </w: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zastrzeżeń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EF00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pliku GML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0009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Ogólnego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09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252E" w:rsidRPr="005C1DEE" w:rsidRDefault="003C252E" w:rsidP="003C252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52E" w:rsidRPr="005C1DEE" w:rsidRDefault="003C252E" w:rsidP="003C252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3C252E" w:rsidRPr="005C1DEE" w:rsidRDefault="003C252E" w:rsidP="003C25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C252E" w:rsidRDefault="00D655D8" w:rsidP="003C252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złożyła skargę na Prezydenta Miasta Łodzi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zarzucając „oszustwo komputerowe” polegające na braku udostępnienia pełnych danych informatycznych, jak również poprzez brak odpowiednio wyspecjalizowanych narzędzi i programów planistycznych, które dawałyby równy dostęp do informacji planistycznych i zbioru danych przestrzennych. Sprawa dotyczy działań Miejskiej Pracowni Urbanistycznej w Łodzi. Zdaniem Skarżąc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ej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takie działania mogą powodować ograniczenie w dostępie do informacji publicznej, niepublikowania wszystkich danych przestrzennych oraz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co za tym idzie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nieprawidłowej procedury planowania przestrzennego w 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M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ieście. Ponadto Skarżąc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a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zarzuca możliwość tworzenia lobbingu planistycznego dla nieokreślonych wąskich grup mających dostęp do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pełnych danych planistycznych (zbioru danych przestrzennych) posiadanych przez Miejską Pracownię Urbanistyczną. Dodatkowo Skarżąc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a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czyni zarzut M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iejskiej 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racowni 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U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rbanistycznej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w Łodzi, że w procedurze rozpoczętego Planu Ogólnego dla Łodzi nie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udostępniło w trybie art. 67c, ust.</w:t>
      </w:r>
      <w:r w:rsidR="003C25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C252E"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2 Ustawy o planowaniu i zagospodarowaniu przestrzennym zbioru danych przestrzennych (brak działania MPU w zakresie udostępniania pliku GML w ciągu 30 dni od przystąpienia do procedury Planu Ogólnego miasta).</w:t>
      </w:r>
    </w:p>
    <w:p w:rsidR="003C252E" w:rsidRPr="00357659" w:rsidRDefault="003C252E" w:rsidP="003C252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iejska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racownia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rbanistyczna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w Łodzi poinformował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a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, że zbiory danych przestrzennych są dostępne na stronach internetowych Pracowni. Wyjaśnił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a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procedurę i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postępowanie M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iejskiej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racowni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rbanistycznej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przy uzupełnianiu danych przestrzennych (30 dni od publikacji planu w Dzienniku Urzędowym ). W tym względzie w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edłu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iejskiej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racowni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rbanistycznej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wszystkie procedury i terminy w przypadku uchwalania nowych kolejnych aktów planistycznych są dotrzymywane. Wyjaśniono także, że w przypadku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p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lanu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o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gólnego dla Łodzi nie został on przyjęty i opublikowany, procedura jego uchwalania trwa i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dlatego też nie można uzupełniać danych wszystkich przestrzennych. Niemniej w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edłu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iejskiej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racowni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rbanistycznej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część tych danych  zostało już opublikowane i jest dostępne w przywołanym rejestrze dostępnym na stronach MPU. </w:t>
      </w:r>
    </w:p>
    <w:p w:rsidR="003C252E" w:rsidRPr="00357659" w:rsidRDefault="003C252E" w:rsidP="003C252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Komisja Skarg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Wniosków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Petycji Rady Miejskiej w Łodzi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w szczególności starała się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sprawdzić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czy nie zachodzą przesłanki i nie pojawiają się dowody nierównych zasad konkurencji dla podmiotów gospodarczych jak i mieszkańców Miasta mających prawo do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uczestniczenia w transparentnym, uczciwym i równym dla wszystkich procesie uchwalania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aktów planistycznych. Kolejnym ważnym elementem był równy dostęp do informacji planistycznej oraz sprawdzenie czy część dostępnych dla Miasta informacji (zbioru danych przestrzennych) nie jest publikowana i udostępniana wszystkim uczestnikom procesu planistycznego, przez co może dochodzić do nieuprawnionego faworyzowania nieokreślonych osób i grup. Komisja sprawdzała też czy M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iejska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racownia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rbanistyczna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jest wyposażon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a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we właściwe i odpowiednie narzędzia planistyczne i informatyczne dla sprawnego i uczciwego prowadzenia procesu uchwalania dokumentów planistycznych w Łodzi. </w:t>
      </w:r>
    </w:p>
    <w:p w:rsidR="003C252E" w:rsidRPr="00357659" w:rsidRDefault="003C252E" w:rsidP="003C252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Po analizie skargi oraz wysłuchaniu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S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tron podczas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posiedzenia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Komisji Skarg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>Wniosków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Petycji Rady Miejskiej w Łodzi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stwierdzono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że działania Miejskiej Pracowni Urbanistycznej w zakresie </w:t>
      </w:r>
      <w:r w:rsidRPr="0035765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F00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pliku GML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0009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Ogólnego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09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prawidłowe i zgodne z obowiązującymi przepisami prawa.</w:t>
      </w:r>
    </w:p>
    <w:p w:rsidR="003C252E" w:rsidRPr="005C1DEE" w:rsidRDefault="003C252E" w:rsidP="003C252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C252E" w:rsidRPr="005C1DEE" w:rsidRDefault="003C252E" w:rsidP="003C252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Rada Miejska w Łodzi uznaje skargę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bezzasadną.</w:t>
      </w:r>
    </w:p>
    <w:p w:rsidR="003C252E" w:rsidRPr="005C1DEE" w:rsidRDefault="003C252E" w:rsidP="003C25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52E" w:rsidRPr="005C1DEE" w:rsidRDefault="003C252E" w:rsidP="003C252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3C252E" w:rsidRPr="005C1DEE" w:rsidRDefault="003C252E" w:rsidP="003C25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252E" w:rsidRPr="005C1DEE" w:rsidRDefault="003C252E" w:rsidP="003C252E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5C1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324E34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E"/>
    <w:rsid w:val="001A7B09"/>
    <w:rsid w:val="00324E34"/>
    <w:rsid w:val="003C252E"/>
    <w:rsid w:val="00776C89"/>
    <w:rsid w:val="00D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F215"/>
  <w15:chartTrackingRefBased/>
  <w15:docId w15:val="{6C6F07A7-ECF9-4F55-831D-9CA705E4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5</cp:revision>
  <dcterms:created xsi:type="dcterms:W3CDTF">2024-06-19T12:05:00Z</dcterms:created>
  <dcterms:modified xsi:type="dcterms:W3CDTF">2024-06-21T06:34:00Z</dcterms:modified>
</cp:coreProperties>
</file>