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7264A">
      <w:pPr>
        <w:ind w:left="5669"/>
        <w:jc w:val="left"/>
      </w:pPr>
      <w:r>
        <w:t>Druk Nr 278/2024</w:t>
      </w:r>
    </w:p>
    <w:p w:rsidR="00A77B3E" w:rsidRDefault="0087264A">
      <w:pPr>
        <w:ind w:left="5669"/>
        <w:jc w:val="left"/>
      </w:pPr>
      <w:r>
        <w:t>Projekt z dnia 12 listopada 2024 r.</w:t>
      </w:r>
    </w:p>
    <w:p w:rsidR="00A77B3E" w:rsidRDefault="00A77B3E">
      <w:pPr>
        <w:ind w:left="5669"/>
        <w:jc w:val="left"/>
      </w:pPr>
    </w:p>
    <w:p w:rsidR="00A77B3E" w:rsidRDefault="00A77B3E">
      <w:pPr>
        <w:ind w:left="5669"/>
        <w:jc w:val="left"/>
      </w:pPr>
    </w:p>
    <w:p w:rsidR="00A77B3E" w:rsidRDefault="0087264A">
      <w:pPr>
        <w:jc w:val="center"/>
        <w:rPr>
          <w:b/>
          <w:caps/>
        </w:rPr>
      </w:pPr>
      <w:r>
        <w:rPr>
          <w:b/>
          <w:caps/>
        </w:rPr>
        <w:t>Uchwała Nr ^^^^^^^^^^^^^^^^^^^^</w:t>
      </w:r>
      <w:r>
        <w:rPr>
          <w:b/>
          <w:caps/>
        </w:rPr>
        <w:br/>
        <w:t>Rady Miejskiej w Łodzi</w:t>
      </w:r>
    </w:p>
    <w:p w:rsidR="00A77B3E" w:rsidRDefault="0087264A">
      <w:pPr>
        <w:spacing w:before="40" w:after="280"/>
        <w:jc w:val="center"/>
        <w:rPr>
          <w:b/>
          <w:caps/>
        </w:rPr>
      </w:pPr>
      <w:r>
        <w:rPr>
          <w:b/>
        </w:rPr>
        <w:t>z dnia .................... 2024 r.</w:t>
      </w:r>
    </w:p>
    <w:p w:rsidR="00A77B3E" w:rsidRDefault="0087264A">
      <w:pPr>
        <w:keepNext/>
        <w:spacing w:after="240"/>
        <w:jc w:val="center"/>
      </w:pPr>
      <w:bookmarkStart w:id="0" w:name="_GoBack"/>
      <w:r>
        <w:rPr>
          <w:b/>
        </w:rPr>
        <w:t>zmieniająca uchwałę w sprawie  ustalenia opłat za usługi przewozowe lokalnego transportu zbiorowego w Łodzi</w:t>
      </w:r>
      <w:bookmarkEnd w:id="0"/>
      <w:r>
        <w:rPr>
          <w:b/>
        </w:rPr>
        <w:t>.</w:t>
      </w:r>
    </w:p>
    <w:p w:rsidR="00A77B3E" w:rsidRDefault="0087264A">
      <w:pPr>
        <w:keepLines/>
        <w:spacing w:before="120" w:after="120"/>
        <w:ind w:firstLine="567"/>
      </w:pPr>
      <w:r>
        <w:t>Na podstawie art. 7 ust. 1 pkt</w:t>
      </w:r>
      <w:r>
        <w:t> 4 w związku z art. 18 ust. 2 pkt 15 ustawy z dnia 8 marca 1990 r. o samorządzie gminnym (Dz. U. z 2024 r. poz. 1465 i 1572), art. 50a ust. 1 i 2 ustawy z dnia 16 grudnia 2010 r. o publicznym transporcie zbiorowym (Dz. U. z 2023 r. poz. 2778) oraz art. 34a</w:t>
      </w:r>
      <w:r>
        <w:t xml:space="preserve"> ust. 2 ustawy z dnia 15 listopada 1984 r. – Prawo przewozowe (Dz. U. z 2024 r. poz. 1262), Rada Miejska w Łodzi</w:t>
      </w:r>
    </w:p>
    <w:p w:rsidR="00A77B3E" w:rsidRDefault="0087264A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87264A">
      <w:pPr>
        <w:keepLines/>
        <w:spacing w:before="240"/>
        <w:ind w:firstLine="567"/>
      </w:pPr>
      <w:r>
        <w:t>§ 1. </w:t>
      </w:r>
      <w:r>
        <w:t>W uchwale Nr XLII/1108/17 Rady Miejskiej w Łodzi z dnia 22 lutego 2017 r. w sprawie ustalenia opłat za usługi przew</w:t>
      </w:r>
      <w:r>
        <w:t>ozowe lokalnego transportu zbiorowego w Łodzi (Dz. Urz. Woj. Łódzkiego</w:t>
      </w:r>
      <w:r>
        <w:br/>
        <w:t>z 2022 r. poz. 2291), zmienionej uchwałami Rady Miejskiej w Łodzi: Nr LIX/1784/22 z dnia 11 maja 2022 r. (Dz. Urz. Woj. Łódzkiego poz. 3156), Nr LXI/1848/22 z dnia 22 czerwca 2022 r. (D</w:t>
      </w:r>
      <w:r>
        <w:t>z. Urz. Woj. Łódzkiego poz. 3817), Nr LXIV/1923/22 z dnia 7 września 2022 r. (Dz. Urz. Woj. Łódzkiego poz. 5187), Nr LXXVI/2291/23 z dnia 31 maja 2023 r. (Dz. Urz. Woj. Łódzkiego poz. 5180), Nr LXXXII/2489/23 z dnia 8 listopada 2023 r. (Dz. Urz. Woj. Łódzk</w:t>
      </w:r>
      <w:r>
        <w:t>iego poz. 9699) i Nr III/56/24 z dnia 5 czerwca 2024 r. (Dz. Urz. Woj. Łódzkiego poz. 5082), wprowadza się następujące zmiany:</w:t>
      </w:r>
    </w:p>
    <w:p w:rsidR="00A77B3E" w:rsidRDefault="0087264A">
      <w:pPr>
        <w:spacing w:before="120" w:after="120"/>
        <w:ind w:left="227" w:hanging="227"/>
      </w:pPr>
      <w:r>
        <w:t>1) </w:t>
      </w:r>
      <w:r>
        <w:t>w przepisach taryfowych w lokalnym transporcie zbiorowym Miasta Łodzi, stanowiących załącznik Nr 1 do uchwały:</w:t>
      </w:r>
    </w:p>
    <w:p w:rsidR="00A77B3E" w:rsidRDefault="0087264A">
      <w:pPr>
        <w:keepLines/>
        <w:spacing w:before="120" w:after="120"/>
        <w:ind w:left="454" w:hanging="227"/>
      </w:pPr>
      <w:r>
        <w:t>a) </w:t>
      </w:r>
      <w:r>
        <w:t>w § 2:</w:t>
      </w:r>
    </w:p>
    <w:p w:rsidR="00A77B3E" w:rsidRDefault="0087264A">
      <w:pPr>
        <w:keepLines/>
        <w:spacing w:before="120" w:after="120"/>
        <w:ind w:left="680" w:hanging="113"/>
      </w:pPr>
      <w:r>
        <w:t>- </w:t>
      </w:r>
      <w:r>
        <w:t>ust</w:t>
      </w:r>
      <w:r>
        <w:t>. 1 otrzymuje brzmienie:</w:t>
      </w:r>
    </w:p>
    <w:p w:rsidR="00A77B3E" w:rsidRDefault="0087264A">
      <w:pPr>
        <w:keepLines/>
        <w:spacing w:before="120" w:after="120"/>
        <w:ind w:left="907" w:firstLine="454"/>
      </w:pPr>
      <w:r>
        <w:t>„</w:t>
      </w:r>
      <w:r>
        <w:t>1. </w:t>
      </w:r>
      <w:r>
        <w:t>Pierwszą czynnością, jaką pasażer jest zobowiązany dokonać bezpośrednio po wejściu do pojazdu jest:</w:t>
      </w:r>
    </w:p>
    <w:p w:rsidR="00A77B3E" w:rsidRDefault="0087264A">
      <w:pPr>
        <w:spacing w:before="120" w:after="120"/>
        <w:ind w:left="1134" w:hanging="227"/>
      </w:pPr>
      <w:r>
        <w:t>1) </w:t>
      </w:r>
      <w:r>
        <w:t xml:space="preserve">skasowanie biletu papierowego w kasowniku, o łącznym nominale równym co najmniej opłacie za podróż w wybranym przez niego </w:t>
      </w:r>
      <w:r>
        <w:t>przedziale czasowym, lub</w:t>
      </w:r>
    </w:p>
    <w:p w:rsidR="00A77B3E" w:rsidRDefault="0087264A">
      <w:pPr>
        <w:spacing w:before="120" w:after="120"/>
        <w:ind w:left="1134" w:hanging="227"/>
      </w:pPr>
      <w:r>
        <w:t>2) </w:t>
      </w:r>
      <w:r>
        <w:t>zakup biletu w biletomacie mobilnym, z zastrzeżeniem, że przy wyborze biletu papierowego wymagane jest jego bezzwłoczne skasowanie w kasowniku, lub</w:t>
      </w:r>
    </w:p>
    <w:p w:rsidR="00A77B3E" w:rsidRDefault="0087264A">
      <w:pPr>
        <w:spacing w:before="120" w:after="120"/>
        <w:ind w:left="1134" w:hanging="227"/>
      </w:pPr>
      <w:r>
        <w:t>3) </w:t>
      </w:r>
      <w:r>
        <w:t>aktywowanie biletu zakupionego w aplikacji mobilnej.”,</w:t>
      </w:r>
    </w:p>
    <w:p w:rsidR="00A77B3E" w:rsidRDefault="0087264A">
      <w:pPr>
        <w:keepLines/>
        <w:spacing w:before="120" w:after="120"/>
        <w:ind w:left="680" w:hanging="113"/>
      </w:pPr>
      <w:r>
        <w:t>- </w:t>
      </w:r>
      <w:r>
        <w:t>ust. 5-7 otrzymują b</w:t>
      </w:r>
      <w:r>
        <w:t>rzmienie:</w:t>
      </w:r>
    </w:p>
    <w:p w:rsidR="00A77B3E" w:rsidRDefault="0087264A">
      <w:pPr>
        <w:keepLines/>
        <w:spacing w:before="120" w:after="120"/>
        <w:ind w:left="907" w:firstLine="454"/>
      </w:pPr>
      <w:r>
        <w:t>„</w:t>
      </w:r>
      <w:r>
        <w:t>5. </w:t>
      </w:r>
      <w:r>
        <w:t>W przypadku wnoszenia opłat za pomocą aplikacji mobilnych, pasażer jest zobowiązany nabyć bilet przed rozpoczęciem podróży.</w:t>
      </w:r>
    </w:p>
    <w:p w:rsidR="00A77B3E" w:rsidRDefault="0087264A">
      <w:pPr>
        <w:keepLines/>
        <w:spacing w:before="120" w:after="120"/>
        <w:ind w:left="907" w:firstLine="567"/>
      </w:pPr>
      <w:r>
        <w:t>6. </w:t>
      </w:r>
      <w:r>
        <w:t xml:space="preserve">Czas podróży i związana z nim opłata liczą się od momentu skasowania biletu lub przyłożenia bezstykowej karty </w:t>
      </w:r>
      <w:r>
        <w:t>płatniczej do urządzenia służącego do poboru opłat bezgotówkowych. W przypadku wnoszenia opłat za pomocą aplikacji mobilnych moment ten liczy się od chwili aktywacji biletu.</w:t>
      </w:r>
    </w:p>
    <w:p w:rsidR="00A77B3E" w:rsidRDefault="0087264A">
      <w:pPr>
        <w:keepLines/>
        <w:spacing w:before="120" w:after="120"/>
        <w:ind w:left="907" w:firstLine="567"/>
      </w:pPr>
      <w:r>
        <w:t>7. </w:t>
      </w:r>
      <w:r>
        <w:t>W przypadku decyzji pasażera o wydłużeniu podróży, jest on zobowiązany z chwilą</w:t>
      </w:r>
      <w:r>
        <w:t xml:space="preserve"> upływu poprzedniego przedziału czasowego dokonać wniesienia kolejnej opłaty za przejazd, zgodnie z obowiązującą taryfą.”,</w:t>
      </w:r>
    </w:p>
    <w:p w:rsidR="00A77B3E" w:rsidRDefault="0087264A">
      <w:pPr>
        <w:keepLines/>
        <w:spacing w:before="120" w:after="120"/>
        <w:ind w:left="680" w:hanging="113"/>
      </w:pPr>
      <w:r>
        <w:lastRenderedPageBreak/>
        <w:t>- </w:t>
      </w:r>
      <w:r>
        <w:t>ust. 9 otrzymuje brzmienie:</w:t>
      </w:r>
    </w:p>
    <w:p w:rsidR="00A77B3E" w:rsidRDefault="0087264A">
      <w:pPr>
        <w:keepLines/>
        <w:spacing w:before="120" w:after="120"/>
        <w:ind w:left="907" w:firstLine="454"/>
      </w:pPr>
      <w:r>
        <w:t>„</w:t>
      </w:r>
      <w:r>
        <w:t>9. </w:t>
      </w:r>
      <w:r>
        <w:t>W przypadku wyboru biletów 24-godzinnych oraz biletów grupowych w momencie rozpoczęcia podróży nale</w:t>
      </w:r>
      <w:r>
        <w:t>ży w tym samym czasie wnieść całą opłatę za przejazd.”,</w:t>
      </w:r>
    </w:p>
    <w:p w:rsidR="00A77B3E" w:rsidRDefault="0087264A">
      <w:pPr>
        <w:keepLines/>
        <w:spacing w:before="120" w:after="120"/>
        <w:ind w:left="680" w:hanging="113"/>
      </w:pPr>
      <w:r>
        <w:t>- </w:t>
      </w:r>
      <w:r>
        <w:t>ust. 11 otrzymuje brzmienie:</w:t>
      </w:r>
    </w:p>
    <w:p w:rsidR="00A77B3E" w:rsidRDefault="0087264A">
      <w:pPr>
        <w:keepLines/>
        <w:spacing w:before="120" w:after="120"/>
        <w:ind w:left="907" w:firstLine="454"/>
      </w:pPr>
      <w:r>
        <w:t>„</w:t>
      </w:r>
      <w:r>
        <w:t>11. </w:t>
      </w:r>
      <w:r>
        <w:t>Bilety zakupione w formie papierowej nie podlegają zwrotowi.”,</w:t>
      </w:r>
    </w:p>
    <w:p w:rsidR="00A77B3E" w:rsidRDefault="0087264A">
      <w:pPr>
        <w:keepLines/>
        <w:spacing w:before="120" w:after="120"/>
        <w:ind w:left="454" w:hanging="227"/>
      </w:pPr>
      <w:r>
        <w:t>b) </w:t>
      </w:r>
      <w:r>
        <w:t>w § 3:</w:t>
      </w:r>
    </w:p>
    <w:p w:rsidR="00A77B3E" w:rsidRDefault="0087264A">
      <w:pPr>
        <w:keepLines/>
        <w:spacing w:before="120" w:after="120"/>
        <w:ind w:left="680" w:hanging="113"/>
      </w:pPr>
      <w:r>
        <w:t>- </w:t>
      </w:r>
      <w:r>
        <w:t>w ust. 8 pkt 2 otrzymuje brzmienie:</w:t>
      </w:r>
    </w:p>
    <w:p w:rsidR="00A77B3E" w:rsidRDefault="0087264A">
      <w:pPr>
        <w:spacing w:before="120" w:after="120"/>
        <w:ind w:left="1134" w:hanging="340"/>
      </w:pPr>
      <w:r>
        <w:t>„</w:t>
      </w:r>
      <w:r>
        <w:t>2) </w:t>
      </w:r>
      <w:r>
        <w:t>za pomocą aplikacji mobilnych.”,</w:t>
      </w:r>
    </w:p>
    <w:p w:rsidR="00A77B3E" w:rsidRDefault="0087264A">
      <w:pPr>
        <w:keepLines/>
        <w:spacing w:before="120" w:after="120"/>
        <w:ind w:left="680" w:hanging="113"/>
      </w:pPr>
      <w:r>
        <w:t>- </w:t>
      </w:r>
      <w:r>
        <w:t>ust. 9 otrzymu</w:t>
      </w:r>
      <w:r>
        <w:t>je brzmienie:</w:t>
      </w:r>
    </w:p>
    <w:p w:rsidR="00A77B3E" w:rsidRDefault="0087264A">
      <w:pPr>
        <w:keepLines/>
        <w:spacing w:before="120" w:after="120"/>
        <w:ind w:left="907" w:firstLine="454"/>
      </w:pPr>
      <w:r>
        <w:t>„</w:t>
      </w:r>
      <w:r>
        <w:t>9. </w:t>
      </w:r>
      <w:r>
        <w:t>Daty ważności biletów długookresowych określa pasażer w momencie zakupu.”,</w:t>
      </w:r>
    </w:p>
    <w:p w:rsidR="00A77B3E" w:rsidRDefault="0087264A">
      <w:pPr>
        <w:keepLines/>
        <w:spacing w:before="120" w:after="120"/>
        <w:ind w:left="680" w:hanging="113"/>
      </w:pPr>
      <w:r>
        <w:t>- </w:t>
      </w:r>
      <w:r>
        <w:t>ust. 12 otrzymuje brzmienie:</w:t>
      </w:r>
    </w:p>
    <w:p w:rsidR="00A77B3E" w:rsidRDefault="0087264A">
      <w:pPr>
        <w:keepLines/>
        <w:spacing w:before="120" w:after="120"/>
        <w:ind w:left="907" w:firstLine="454"/>
      </w:pPr>
      <w:r>
        <w:t>„</w:t>
      </w:r>
      <w:r>
        <w:t>12. </w:t>
      </w:r>
      <w:r>
        <w:t>Bilety długookresowe na okaziciela nie podlegają zwrotowi.”,</w:t>
      </w:r>
    </w:p>
    <w:p w:rsidR="00A77B3E" w:rsidRDefault="0087264A">
      <w:pPr>
        <w:keepLines/>
        <w:spacing w:before="120" w:after="120"/>
        <w:ind w:left="454" w:hanging="227"/>
      </w:pPr>
      <w:r>
        <w:t>c) </w:t>
      </w:r>
      <w:r>
        <w:t>w § 4:</w:t>
      </w:r>
    </w:p>
    <w:p w:rsidR="00A77B3E" w:rsidRDefault="0087264A">
      <w:pPr>
        <w:keepLines/>
        <w:spacing w:before="120" w:after="120"/>
        <w:ind w:left="680" w:hanging="113"/>
      </w:pPr>
      <w:r>
        <w:t>- </w:t>
      </w:r>
      <w:r>
        <w:t>pkt 23 otrzymuje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802"/>
        <w:gridCol w:w="4937"/>
      </w:tblGrid>
      <w:tr w:rsidR="00B8789F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7264A">
            <w:pPr>
              <w:jc w:val="left"/>
            </w:pPr>
            <w:r>
              <w:t>23)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7264A">
            <w:pPr>
              <w:jc w:val="left"/>
            </w:pPr>
            <w:r>
              <w:t xml:space="preserve">seniorzy powyżej 60 </w:t>
            </w:r>
            <w:r>
              <w:t xml:space="preserve">roku życia w czasie obchodów Łódzkich </w:t>
            </w:r>
            <w:proofErr w:type="spellStart"/>
            <w:r>
              <w:t>Senioraliów</w:t>
            </w:r>
            <w:proofErr w:type="spellEnd"/>
            <w:r>
              <w:t xml:space="preserve"> przypadających w terminach określonych w ogłoszeniach Prezydenta Miasta Łodzi publikowanych w Biuletynie Informacji Publicznej Urzędu Miasta Łodzi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7264A">
            <w:pPr>
              <w:jc w:val="left"/>
            </w:pPr>
            <w:r>
              <w:t>Karta Mieszkańca, o której mowa w § 3 ust. 6 z aktywnym pak</w:t>
            </w:r>
            <w:r>
              <w:t xml:space="preserve">ietem seniora wraz z dokumentem stwierdzającym tożsamość lub potwierdzeniem tożsamości przy pomocy aplikacji </w:t>
            </w:r>
            <w:proofErr w:type="spellStart"/>
            <w:r>
              <w:t>mObywatel</w:t>
            </w:r>
            <w:proofErr w:type="spellEnd"/>
            <w:r>
              <w:t xml:space="preserve">; </w:t>
            </w:r>
          </w:p>
        </w:tc>
      </w:tr>
    </w:tbl>
    <w:p w:rsidR="00A77B3E" w:rsidRDefault="0087264A">
      <w:pPr>
        <w:keepLines/>
        <w:spacing w:before="120" w:after="120"/>
        <w:ind w:left="680" w:hanging="113"/>
      </w:pPr>
      <w:r>
        <w:t>- </w:t>
      </w:r>
      <w:r>
        <w:t>w pkt 29 średnik zastępuje się kropką i uchyla się pkt 30 i 31,</w:t>
      </w:r>
    </w:p>
    <w:p w:rsidR="00A77B3E" w:rsidRDefault="0087264A">
      <w:pPr>
        <w:keepLines/>
        <w:spacing w:before="120" w:after="120"/>
        <w:ind w:left="454" w:hanging="227"/>
      </w:pPr>
      <w:r>
        <w:t>d) </w:t>
      </w:r>
      <w:r>
        <w:t>w § 6 pkt 14 otrzymuje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802"/>
        <w:gridCol w:w="4937"/>
      </w:tblGrid>
      <w:tr w:rsidR="00B8789F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7264A">
            <w:pPr>
              <w:jc w:val="left"/>
            </w:pPr>
            <w:r>
              <w:t>14)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7264A">
            <w:pPr>
              <w:jc w:val="left"/>
            </w:pPr>
            <w:r>
              <w:t>osoby zatrudnione w zakładz</w:t>
            </w:r>
            <w:r>
              <w:t>ie pracy chronionej spełniające jeden z poniższych warunków:</w:t>
            </w:r>
          </w:p>
          <w:p w:rsidR="00A77B3E" w:rsidRDefault="0087264A">
            <w:pPr>
              <w:jc w:val="left"/>
            </w:pPr>
            <w:r>
              <w:t>a) posiadające orzeczenie o umiarkowanym stopniu niepełnosprawności,</w:t>
            </w:r>
          </w:p>
          <w:p w:rsidR="00A77B3E" w:rsidRDefault="0087264A">
            <w:pPr>
              <w:jc w:val="left"/>
            </w:pPr>
            <w:r>
              <w:t>b) posiadające orzeczenie o zaliczeniu</w:t>
            </w:r>
            <w:r>
              <w:br/>
              <w:t>do I bądź II grupy inwalidów, wydane i ważne przed dniem 1 stycznia 1998 r.,</w:t>
            </w:r>
          </w:p>
          <w:p w:rsidR="00A77B3E" w:rsidRDefault="0087264A">
            <w:pPr>
              <w:jc w:val="left"/>
            </w:pPr>
            <w:r>
              <w:t>c) </w:t>
            </w:r>
            <w:r>
              <w:t>posiadające orzeczenie o umiarkowanym stopniu niepełnosprawności wydane przez organ orzekający o niepełnosprawności dla celów korzystania z ulg i uprawnień</w:t>
            </w:r>
            <w:r>
              <w:br/>
              <w:t xml:space="preserve">na podstawie odrębnych przepisów – przysługuje 90% ulgi od wartości stanowiącej iloczyn ceny biletu </w:t>
            </w:r>
            <w:r>
              <w:t>normalnego 24-godzinnego oraz liczby dni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7264A">
            <w:pPr>
              <w:jc w:val="left"/>
            </w:pPr>
            <w:r>
              <w:t>bilet specjalny, o którym mowa w § 5, wydany na czas określony (w terminie "od" - "do") na podstawie jednego ze wskazanych dokumentów i zaświadczenia zakładu pracy chronionej i dokumentu  stwierdzającego tożsamość l</w:t>
            </w:r>
            <w:r>
              <w:t xml:space="preserve">ub potwierdzenia tożsamości przy pomocy aplikacji </w:t>
            </w:r>
            <w:proofErr w:type="spellStart"/>
            <w:r>
              <w:t>mObywatel</w:t>
            </w:r>
            <w:proofErr w:type="spellEnd"/>
            <w:r>
              <w:t xml:space="preserve">; </w:t>
            </w:r>
          </w:p>
        </w:tc>
      </w:tr>
    </w:tbl>
    <w:p w:rsidR="00A77B3E" w:rsidRDefault="0087264A">
      <w:pPr>
        <w:keepLines/>
        <w:spacing w:before="120" w:after="120"/>
        <w:ind w:left="454" w:hanging="227"/>
      </w:pPr>
      <w:r>
        <w:t>e) </w:t>
      </w:r>
      <w:r>
        <w:t>w § 8 ust. 1 otrzymuje brzmienie:</w:t>
      </w:r>
    </w:p>
    <w:p w:rsidR="00A77B3E" w:rsidRDefault="0087264A">
      <w:pPr>
        <w:keepLines/>
        <w:spacing w:before="120" w:after="120"/>
        <w:ind w:left="567" w:firstLine="454"/>
      </w:pPr>
      <w:r>
        <w:t>„</w:t>
      </w:r>
      <w:r>
        <w:t>1. </w:t>
      </w:r>
      <w:r>
        <w:t>W razie stwierdzenia przez kontrolera, o którym mowa w § 7, zaistnienia co najmniej jednego z następujących zdarzeń:</w:t>
      </w:r>
    </w:p>
    <w:p w:rsidR="00A77B3E" w:rsidRDefault="0087264A">
      <w:pPr>
        <w:spacing w:before="120" w:after="120"/>
        <w:ind w:left="794" w:hanging="227"/>
      </w:pPr>
      <w:r>
        <w:t>1) </w:t>
      </w:r>
      <w:r>
        <w:t>brak biletu,</w:t>
      </w:r>
    </w:p>
    <w:p w:rsidR="00A77B3E" w:rsidRDefault="0087264A">
      <w:pPr>
        <w:spacing w:before="120" w:after="120"/>
        <w:ind w:left="794" w:hanging="227"/>
      </w:pPr>
      <w:r>
        <w:t>2) </w:t>
      </w:r>
      <w:r>
        <w:t xml:space="preserve">posiadanie </w:t>
      </w:r>
      <w:r>
        <w:t>biletu nieważnego za przejazd,</w:t>
      </w:r>
    </w:p>
    <w:p w:rsidR="00A77B3E" w:rsidRDefault="0087264A">
      <w:pPr>
        <w:spacing w:before="120" w:after="120"/>
        <w:ind w:left="794" w:hanging="227"/>
      </w:pPr>
      <w:r>
        <w:t>3) </w:t>
      </w:r>
      <w:r>
        <w:t>brak dokumentu uprawniającego do bezpłatnego przejazdu,</w:t>
      </w:r>
    </w:p>
    <w:p w:rsidR="00A77B3E" w:rsidRDefault="0087264A">
      <w:pPr>
        <w:spacing w:before="120" w:after="120"/>
        <w:ind w:left="794" w:hanging="227"/>
      </w:pPr>
      <w:r>
        <w:t>4) </w:t>
      </w:r>
      <w:r>
        <w:t>brak dokumentu uprawniającego do ulgowego przejazdu,</w:t>
      </w:r>
    </w:p>
    <w:p w:rsidR="00A77B3E" w:rsidRDefault="0087264A">
      <w:pPr>
        <w:spacing w:before="120" w:after="120"/>
        <w:ind w:left="794" w:hanging="227"/>
      </w:pPr>
      <w:r>
        <w:t>5) </w:t>
      </w:r>
      <w:r>
        <w:t>spowodowanie zatrzymania pojazdu lub zmiany trasy pojazdu bez uzasadnionej przyczyny,</w:t>
      </w:r>
    </w:p>
    <w:p w:rsidR="00A77B3E" w:rsidRDefault="0087264A">
      <w:pPr>
        <w:spacing w:before="120" w:after="120"/>
        <w:ind w:left="794" w:hanging="227"/>
      </w:pPr>
      <w:r>
        <w:t>6) </w:t>
      </w:r>
      <w:r>
        <w:t>brak dokumentu upr</w:t>
      </w:r>
      <w:r>
        <w:t>awniającego do przejazdu przy wykorzystaniu biletu określonego w pkt. II i III załącznika Nr 4 do uchwały</w:t>
      </w:r>
    </w:p>
    <w:p w:rsidR="00A77B3E" w:rsidRDefault="0087264A">
      <w:pPr>
        <w:keepLines/>
        <w:spacing w:before="120" w:after="120"/>
        <w:ind w:left="794" w:hanging="113"/>
      </w:pPr>
      <w:r>
        <w:fldChar w:fldCharType="begin"/>
      </w:r>
      <w:r>
        <w:instrText>MERGEFIELD COMMONPART_OF_POINTS \* MERGEFORMAT</w:instrText>
      </w:r>
      <w:r>
        <w:fldChar w:fldCharType="separate"/>
      </w:r>
      <w:r>
        <w:t> – </w:t>
      </w:r>
      <w:r>
        <w:fldChar w:fldCharType="end"/>
      </w:r>
      <w:r>
        <w:t>pasażer jest zobowiązany do uiszczenia opłaty dodatkowej, w wysokości określonej w ust. 3, oraz w </w:t>
      </w:r>
      <w:r>
        <w:t>sytuacji określonej w pkt 1-4 i 6 – opłaty za podróż o wartości równej cenie biletu jednorazowego czasowego do 80 minut.”,</w:t>
      </w:r>
    </w:p>
    <w:p w:rsidR="00A77B3E" w:rsidRDefault="0087264A">
      <w:pPr>
        <w:keepLines/>
        <w:spacing w:before="120" w:after="120"/>
        <w:ind w:left="454" w:hanging="227"/>
      </w:pPr>
      <w:r>
        <w:t>f) </w:t>
      </w:r>
      <w:r>
        <w:t>w § 9:</w:t>
      </w:r>
    </w:p>
    <w:p w:rsidR="00A77B3E" w:rsidRDefault="0087264A">
      <w:pPr>
        <w:keepLines/>
        <w:spacing w:before="120" w:after="120"/>
        <w:ind w:left="680" w:hanging="113"/>
      </w:pPr>
      <w:r>
        <w:t>- </w:t>
      </w:r>
      <w:r>
        <w:t>w ust. 1 pkt 4 otrzymuje brzmienie:</w:t>
      </w:r>
    </w:p>
    <w:p w:rsidR="00A77B3E" w:rsidRDefault="0087264A">
      <w:pPr>
        <w:spacing w:before="120" w:after="120"/>
        <w:ind w:left="1134" w:hanging="340"/>
      </w:pPr>
      <w:r>
        <w:t>„</w:t>
      </w:r>
      <w:r>
        <w:t>4) </w:t>
      </w:r>
      <w:r>
        <w:t>ważnego w czasie kontroli biletu, zakupionego za pomocą aplikacji mobilnych, wraz</w:t>
      </w:r>
      <w:r>
        <w:t xml:space="preserve"> z imiennym potwierdzeniem jego zakupu.”,</w:t>
      </w:r>
    </w:p>
    <w:p w:rsidR="00A77B3E" w:rsidRDefault="0087264A">
      <w:pPr>
        <w:keepLines/>
        <w:spacing w:before="120" w:after="120"/>
        <w:ind w:left="680" w:hanging="113"/>
      </w:pPr>
      <w:r>
        <w:t>- </w:t>
      </w:r>
      <w:r>
        <w:t>ust. 5 otrzymuje brzmienie:</w:t>
      </w:r>
    </w:p>
    <w:p w:rsidR="00A77B3E" w:rsidRDefault="0087264A">
      <w:pPr>
        <w:keepLines/>
        <w:spacing w:before="120" w:after="120"/>
        <w:ind w:left="907" w:firstLine="454"/>
      </w:pPr>
      <w:r>
        <w:t>„</w:t>
      </w:r>
      <w:r>
        <w:t>5. </w:t>
      </w:r>
      <w:r>
        <w:t>W przypadku awarii biletomatu mobilnego w pojeździe, potwierdzonej przez kontrolera biletów lub przewoźnika:</w:t>
      </w:r>
    </w:p>
    <w:p w:rsidR="00A77B3E" w:rsidRDefault="0087264A">
      <w:pPr>
        <w:spacing w:before="120" w:after="120"/>
        <w:ind w:left="1134" w:hanging="227"/>
      </w:pPr>
      <w:r>
        <w:t>1) </w:t>
      </w:r>
      <w:r>
        <w:t xml:space="preserve">opłata dodatkowa zostaje anulowana, zaś uiszczona podlega w całości </w:t>
      </w:r>
      <w:r>
        <w:t>zwrotowi, po wniesieniu opłaty za podróż o wartości równej cenie biletu jednorazowego czasowego do 80 minut w ciągu 7 dni od daty wystawienia dokumentu, o którym mowa w § 8 ust. 2 lub od daty potwierdzenia awarii przez przewoźnika;</w:t>
      </w:r>
    </w:p>
    <w:p w:rsidR="00A77B3E" w:rsidRDefault="0087264A">
      <w:pPr>
        <w:spacing w:before="120" w:after="120"/>
        <w:ind w:left="1134" w:hanging="227"/>
      </w:pPr>
      <w:r>
        <w:t>2) </w:t>
      </w:r>
      <w:r>
        <w:t>opłata dodatkowa nie </w:t>
      </w:r>
      <w:r>
        <w:t>zostaje nałożona po wniesieniu opłaty za podróż o wartości równej cenie biletu jednorazowego czasowego do 80 minut na miejscu u kontrolera biletów.”;</w:t>
      </w:r>
    </w:p>
    <w:p w:rsidR="00A77B3E" w:rsidRDefault="0087264A">
      <w:pPr>
        <w:spacing w:before="120" w:after="120"/>
        <w:ind w:left="227" w:hanging="227"/>
      </w:pPr>
      <w:r>
        <w:t>2) </w:t>
      </w:r>
      <w:r>
        <w:t>załącznik Nr 2 do uchwały otrzymuje brzmienie jak w załączniku do niniejszej uchwały.</w:t>
      </w:r>
    </w:p>
    <w:p w:rsidR="00A77B3E" w:rsidRDefault="0087264A">
      <w:pPr>
        <w:keepLines/>
        <w:spacing w:before="240"/>
        <w:ind w:firstLine="567"/>
        <w:rPr>
          <w:color w:val="000000"/>
          <w:u w:color="000000"/>
        </w:rPr>
      </w:pPr>
      <w:r>
        <w:t>§ 2. 1. </w:t>
      </w:r>
      <w:r>
        <w:t>Wszystkie</w:t>
      </w:r>
      <w:r>
        <w:t xml:space="preserve"> niewykorzystane bilety zakupione w formie papierowej o nieaktualnej cenie, wycofane z obiegu, tracą ważność po  upływie 3 miesięcy od dnia wejścia w życie niniejszej uchwały.</w:t>
      </w:r>
    </w:p>
    <w:p w:rsidR="00A77B3E" w:rsidRDefault="0087264A">
      <w:pPr>
        <w:keepLines/>
        <w:spacing w:before="120" w:after="120"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Wszystkie bilety okresowe nabyte przed terminem wejścia w życie uchwały mogą </w:t>
      </w:r>
      <w:r>
        <w:rPr>
          <w:color w:val="000000"/>
          <w:u w:color="000000"/>
        </w:rPr>
        <w:t>być wykorzystywane do upływu terminu ich ważności, na zasadach dotychczas obowiązujących.</w:t>
      </w:r>
    </w:p>
    <w:p w:rsidR="00A77B3E" w:rsidRDefault="0087264A">
      <w:pPr>
        <w:keepLines/>
        <w:spacing w:before="240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87264A">
      <w:pPr>
        <w:keepNext/>
        <w:keepLines/>
        <w:spacing w:before="240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 xml:space="preserve">Uchwała wchodzi w życie po upływie 14 dni od dnia ogłoszenia w Dzienniku Urzędowym Województwa </w:t>
      </w:r>
      <w:r>
        <w:rPr>
          <w:color w:val="000000"/>
          <w:u w:color="000000"/>
        </w:rPr>
        <w:t>Łódzkiego, jednak nie wcześniej niż z dniem 1 stycznia 2025 r.</w:t>
      </w:r>
    </w:p>
    <w:p w:rsidR="00A77B3E" w:rsidRDefault="0087264A">
      <w:pPr>
        <w:keepNext/>
        <w:keepLines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87264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5159"/>
      </w:tblGrid>
      <w:tr w:rsidR="00B8789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789F" w:rsidRDefault="00B8789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789F" w:rsidRDefault="0087264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87264A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87264A">
      <w:pPr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794" w:bottom="1417" w:left="794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 xml:space="preserve">Prezydent Miasta </w:t>
      </w:r>
      <w:r>
        <w:rPr>
          <w:color w:val="000000"/>
          <w:u w:color="000000"/>
        </w:rPr>
        <w:t>Łodzi</w:t>
      </w:r>
    </w:p>
    <w:p w:rsidR="00A77B3E" w:rsidRDefault="0087264A">
      <w:pPr>
        <w:spacing w:before="120" w:after="120"/>
        <w:ind w:left="719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87264A">
      <w:pPr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---------------------------------------</w:t>
      </w:r>
    </w:p>
    <w:p w:rsidR="00A77B3E" w:rsidRDefault="0087264A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Załącznik Nr 2</w:t>
      </w:r>
    </w:p>
    <w:p w:rsidR="00A77B3E" w:rsidRDefault="0087264A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         </w:t>
      </w:r>
      <w:r>
        <w:rPr>
          <w:color w:val="000000"/>
          <w:u w:color="000000"/>
        </w:rPr>
        <w:t>                                                        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do uchwały Nr XLII/1108/17</w:t>
      </w:r>
    </w:p>
    <w:p w:rsidR="00A77B3E" w:rsidRDefault="0087264A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Rady Miejskiej w Łodzi</w:t>
      </w:r>
    </w:p>
    <w:p w:rsidR="00A77B3E" w:rsidRDefault="0087264A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                  </w:t>
      </w:r>
      <w:r>
        <w:rPr>
          <w:color w:val="000000"/>
          <w:u w:color="000000"/>
        </w:rPr>
        <w:t>                                               </w:t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  <w:t>z dnia 22 lutego 2017 r. </w:t>
      </w:r>
    </w:p>
    <w:p w:rsidR="00A77B3E" w:rsidRDefault="0087264A">
      <w:pPr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Wysokość cen urzędowych za usługi przewozowe realizowane</w:t>
      </w:r>
      <w:r>
        <w:rPr>
          <w:b/>
          <w:color w:val="000000"/>
          <w:u w:color="000000"/>
        </w:rPr>
        <w:br/>
        <w:t>lokalnym transportem zbiorowym w Łodzi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160"/>
        <w:gridCol w:w="1145"/>
        <w:gridCol w:w="1145"/>
        <w:gridCol w:w="1160"/>
        <w:gridCol w:w="1160"/>
        <w:gridCol w:w="1160"/>
        <w:gridCol w:w="1160"/>
      </w:tblGrid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Rodzaje biletu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Cena biletu normalnego – Strefa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Cena biletu ulgowego – Strefa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Cena biletu normalnego – Strefa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Cena biletu ulgowego – Strefa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Cena biletu normalnego – Strefa 1+2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Cena biletu ulgowego – Strefa 1+2</w:t>
            </w: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Bilety jednorazowe czasowe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Bilet jednorazowy</w:t>
            </w:r>
            <w:r>
              <w:rPr>
                <w:sz w:val="16"/>
              </w:rPr>
              <w:t xml:space="preserve">, czasowy, z możliwością przesiadania się, ważny od momentu </w:t>
            </w:r>
            <w:r>
              <w:rPr>
                <w:sz w:val="16"/>
              </w:rPr>
              <w:t>skasowania/aktywacji na wszystkich liniach i we wszystkich strefach: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a)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 20 minut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4,40 zł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2,20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4,40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2,20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4,40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2,20 zł</w:t>
            </w: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b)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 40 minut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5,60 zł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2,80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5,60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2,80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5,60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2,80 zł</w:t>
            </w: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c)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 80 minut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6,80 zł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3,40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6,80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3,40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6,80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3,40 zł</w:t>
            </w: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Bilet 24-godzinny </w:t>
            </w:r>
            <w:r>
              <w:rPr>
                <w:sz w:val="16"/>
              </w:rPr>
              <w:t>ważny od momentu skasowania/aktywacji na wszystkich liniach i we wszystkich strefach: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18,00 zł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9,00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18,00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9,00 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18,00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9,00 zł</w:t>
            </w: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Bilety grupowe </w:t>
            </w:r>
            <w:r>
              <w:rPr>
                <w:sz w:val="16"/>
              </w:rPr>
              <w:t xml:space="preserve">dostępne w biletomatach, punktach sprzedaży biletów długookresowych </w:t>
            </w:r>
            <w:r>
              <w:rPr>
                <w:sz w:val="16"/>
              </w:rPr>
              <w:t>oraz poprzez aplikację mobilną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Bilet grupowy jednodniowy 2 plus 30</w:t>
            </w:r>
            <w:r>
              <w:rPr>
                <w:b/>
                <w:color w:val="000000"/>
                <w:sz w:val="16"/>
                <w:u w:color="000000"/>
              </w:rPr>
              <w:br/>
            </w:r>
            <w:r>
              <w:rPr>
                <w:color w:val="000000"/>
                <w:sz w:val="16"/>
                <w:u w:color="000000"/>
              </w:rPr>
              <w:t>ważny dla grup składających się z 1 lub 2 osób dorosłych (opiekunów) i do 30 dzieci w wieku do ukończenia 18 roku życia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60,00 zł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70,00 zł</w:t>
            </w: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Bilety długookresowe imienne</w:t>
            </w:r>
            <w:r>
              <w:rPr>
                <w:b/>
                <w:color w:val="000000"/>
                <w:sz w:val="16"/>
                <w:u w:color="000000"/>
              </w:rPr>
              <w:br/>
              <w:t xml:space="preserve">na </w:t>
            </w:r>
            <w:r>
              <w:rPr>
                <w:b/>
                <w:color w:val="000000"/>
                <w:sz w:val="16"/>
                <w:u w:color="000000"/>
              </w:rPr>
              <w:t>wszystkie linie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Bilet 30-dniowy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168,00 zł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84,00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114,00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57,00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202,00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101,00 zł</w:t>
            </w: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Bilet 90-dniowy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414,00 zł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207,00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496,00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248,00 zł</w:t>
            </w: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Bilet 12-miesięczny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1490,00 zł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745,00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1786,00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893,00 zł</w:t>
            </w: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Bilety </w:t>
            </w:r>
            <w:r>
              <w:rPr>
                <w:b/>
                <w:color w:val="000000"/>
                <w:sz w:val="16"/>
                <w:u w:color="000000"/>
              </w:rPr>
              <w:t>długookresowe na okaziciela</w:t>
            </w:r>
            <w:r>
              <w:rPr>
                <w:b/>
                <w:color w:val="000000"/>
                <w:sz w:val="16"/>
                <w:u w:color="000000"/>
              </w:rPr>
              <w:br/>
              <w:t>na wszystkie linie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Bilet 30-dniowy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252,00 zł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126,00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300,00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150,00 zł</w:t>
            </w:r>
          </w:p>
        </w:tc>
      </w:tr>
      <w:tr w:rsidR="00B8789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7264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Bilet 90-dniowy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620,00 zł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310,00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744,00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7264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372,00 zł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794" w:bottom="1417" w:left="794" w:header="708" w:footer="708" w:gutter="0"/>
          <w:pgNumType w:start="1"/>
          <w:cols w:space="708"/>
          <w:docGrid w:linePitch="360"/>
        </w:sectPr>
      </w:pPr>
    </w:p>
    <w:p w:rsidR="00B8789F" w:rsidRDefault="0087264A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:rsidR="00B8789F" w:rsidRDefault="0087264A">
      <w:pPr>
        <w:spacing w:before="120" w:after="120"/>
        <w:rPr>
          <w:b/>
          <w:szCs w:val="20"/>
        </w:rPr>
      </w:pPr>
      <w:r>
        <w:rPr>
          <w:b/>
          <w:szCs w:val="20"/>
        </w:rPr>
        <w:t xml:space="preserve">do projektu uchwały Rady Miejskiej w Łodzi zmieniającej uchwałę w sprawie ustalenia opłat </w:t>
      </w:r>
      <w:r>
        <w:rPr>
          <w:b/>
          <w:szCs w:val="20"/>
        </w:rPr>
        <w:br/>
        <w:t xml:space="preserve">za usługi przewozowe lokalnego transportu zbiorowego w Łodzi. </w:t>
      </w:r>
    </w:p>
    <w:p w:rsidR="00B8789F" w:rsidRDefault="0087264A">
      <w:pPr>
        <w:spacing w:before="120" w:after="120"/>
        <w:ind w:firstLine="283"/>
        <w:rPr>
          <w:szCs w:val="20"/>
        </w:rPr>
      </w:pPr>
      <w:r>
        <w:rPr>
          <w:szCs w:val="20"/>
        </w:rPr>
        <w:t>Projekt uchwały wprowadza bilet 80-minutowy, a także  przewiduje:</w:t>
      </w:r>
    </w:p>
    <w:p w:rsidR="00B8789F" w:rsidRDefault="0087264A">
      <w:pPr>
        <w:numPr>
          <w:ilvl w:val="0"/>
          <w:numId w:val="1"/>
        </w:numPr>
        <w:spacing w:before="120" w:after="120"/>
        <w:contextualSpacing/>
        <w:rPr>
          <w:szCs w:val="20"/>
        </w:rPr>
      </w:pPr>
      <w:r>
        <w:rPr>
          <w:szCs w:val="20"/>
        </w:rPr>
        <w:t>likwidację biletów jednodniowych dla</w:t>
      </w:r>
      <w:r>
        <w:rPr>
          <w:szCs w:val="20"/>
        </w:rPr>
        <w:t xml:space="preserve"> wszystkich rodzajów i stref,</w:t>
      </w:r>
    </w:p>
    <w:p w:rsidR="00B8789F" w:rsidRDefault="0087264A">
      <w:pPr>
        <w:numPr>
          <w:ilvl w:val="0"/>
          <w:numId w:val="1"/>
        </w:numPr>
        <w:spacing w:before="120" w:after="120"/>
        <w:contextualSpacing/>
        <w:rPr>
          <w:szCs w:val="20"/>
        </w:rPr>
      </w:pPr>
      <w:r>
        <w:rPr>
          <w:szCs w:val="20"/>
        </w:rPr>
        <w:t>likwidację biletów krótkookresowych na okaziciela dla wszystkich rodzajów i stref,</w:t>
      </w:r>
    </w:p>
    <w:p w:rsidR="00B8789F" w:rsidRDefault="0087264A">
      <w:pPr>
        <w:numPr>
          <w:ilvl w:val="0"/>
          <w:numId w:val="1"/>
        </w:numPr>
        <w:spacing w:before="120" w:after="120"/>
        <w:contextualSpacing/>
        <w:rPr>
          <w:szCs w:val="20"/>
        </w:rPr>
      </w:pPr>
      <w:r>
        <w:rPr>
          <w:szCs w:val="20"/>
        </w:rPr>
        <w:t>likwidację biletów grupowych „2 plus 3” dla wszystkich rodzajów i stref,</w:t>
      </w:r>
    </w:p>
    <w:p w:rsidR="00B8789F" w:rsidRDefault="0087264A">
      <w:pPr>
        <w:numPr>
          <w:ilvl w:val="0"/>
          <w:numId w:val="1"/>
        </w:numPr>
        <w:spacing w:before="120" w:after="120"/>
        <w:contextualSpacing/>
        <w:rPr>
          <w:szCs w:val="20"/>
        </w:rPr>
      </w:pPr>
      <w:r>
        <w:rPr>
          <w:szCs w:val="20"/>
        </w:rPr>
        <w:t>modyfikacja ceny biletów grupowych „2 plus 30” dla obu rodzajów stref,</w:t>
      </w:r>
    </w:p>
    <w:p w:rsidR="00B8789F" w:rsidRDefault="0087264A">
      <w:pPr>
        <w:numPr>
          <w:ilvl w:val="0"/>
          <w:numId w:val="1"/>
        </w:numPr>
        <w:spacing w:before="120" w:after="120"/>
        <w:contextualSpacing/>
        <w:rPr>
          <w:szCs w:val="20"/>
        </w:rPr>
      </w:pPr>
      <w:r>
        <w:rPr>
          <w:szCs w:val="20"/>
        </w:rPr>
        <w:t>wprowadzenie biletu czasowego 80-minutowego (normalnego i ulgowego), w cenie jednakowej dla strefy 1 i 2,</w:t>
      </w:r>
    </w:p>
    <w:p w:rsidR="00B8789F" w:rsidRDefault="0087264A">
      <w:pPr>
        <w:numPr>
          <w:ilvl w:val="0"/>
          <w:numId w:val="1"/>
        </w:numPr>
        <w:spacing w:before="120" w:after="120"/>
        <w:contextualSpacing/>
        <w:rPr>
          <w:szCs w:val="20"/>
        </w:rPr>
      </w:pPr>
      <w:r>
        <w:rPr>
          <w:szCs w:val="20"/>
        </w:rPr>
        <w:t>wprowadzenie biletu czasowego 24-godzinnego (normalnego i ulgowego), w cenie jednakowej dla strefy 1 i 2,</w:t>
      </w:r>
    </w:p>
    <w:p w:rsidR="00B8789F" w:rsidRDefault="0087264A">
      <w:pPr>
        <w:numPr>
          <w:ilvl w:val="0"/>
          <w:numId w:val="1"/>
        </w:numPr>
        <w:spacing w:before="120" w:after="120"/>
        <w:contextualSpacing/>
        <w:rPr>
          <w:szCs w:val="20"/>
        </w:rPr>
      </w:pPr>
      <w:r>
        <w:rPr>
          <w:szCs w:val="20"/>
        </w:rPr>
        <w:t>wprowadzenie biletów długookresowych imienn</w:t>
      </w:r>
      <w:r>
        <w:rPr>
          <w:szCs w:val="20"/>
        </w:rPr>
        <w:t xml:space="preserve">ych 12-miesięcznych dla wszystkich rodzajów </w:t>
      </w:r>
      <w:r>
        <w:rPr>
          <w:szCs w:val="20"/>
        </w:rPr>
        <w:br/>
        <w:t>i stref (dotychczas bilety te były dostępne wyłącznie dla posiadaczy Karty Mieszkańca).</w:t>
      </w:r>
    </w:p>
    <w:p w:rsidR="00B8789F" w:rsidRDefault="0087264A">
      <w:pPr>
        <w:spacing w:before="120" w:after="120"/>
        <w:ind w:firstLine="283"/>
        <w:rPr>
          <w:szCs w:val="20"/>
        </w:rPr>
      </w:pPr>
      <w:r>
        <w:rPr>
          <w:szCs w:val="20"/>
        </w:rPr>
        <w:t xml:space="preserve">Z uwagi na wprowadzenie nowych rozwiązań technicznych związanych z zakupem </w:t>
      </w:r>
      <w:r>
        <w:rPr>
          <w:szCs w:val="20"/>
        </w:rPr>
        <w:br/>
        <w:t>i aktywacją biletów elektronicznych w aplikacja</w:t>
      </w:r>
      <w:r>
        <w:rPr>
          <w:szCs w:val="20"/>
        </w:rPr>
        <w:t>ch mobilnych (wprowadzeniem kodów QR) zachodzi konieczność ponownego zdefiniowania czynności, które pasażer jest zobowiązany wykonać bezpośrednio po wejściu do pojazdu. Niezbędne staje się zatem również doprecyzowanie innych czynności, jakie pasażer powini</w:t>
      </w:r>
      <w:r>
        <w:rPr>
          <w:szCs w:val="20"/>
        </w:rPr>
        <w:t xml:space="preserve">en wykonać przed rozpoczęciem podróży lub w jej trakcie oraz ponowne określenie momentu, od kiedy uznaje się bieg ważności biletu jednorazowego czasowego, zarówno dla biletów papierowych, jak i tych zakupionych w formie elektronicznej. Ponadto w związku z </w:t>
      </w:r>
      <w:r>
        <w:rPr>
          <w:szCs w:val="20"/>
        </w:rPr>
        <w:t>likwidacją tzw. biletów „</w:t>
      </w:r>
      <w:proofErr w:type="spellStart"/>
      <w:r>
        <w:rPr>
          <w:szCs w:val="20"/>
        </w:rPr>
        <w:t>dopłatowych</w:t>
      </w:r>
      <w:proofErr w:type="spellEnd"/>
      <w:r>
        <w:rPr>
          <w:szCs w:val="20"/>
        </w:rPr>
        <w:t xml:space="preserve">” o nominałach uzupełniających wprowadza się zmianę zasad postępowania pasażera </w:t>
      </w:r>
      <w:r>
        <w:rPr>
          <w:szCs w:val="20"/>
        </w:rPr>
        <w:br/>
        <w:t>w przypadku podjęcia decyzji o wydłużeniu podróży.</w:t>
      </w:r>
    </w:p>
    <w:p w:rsidR="00B8789F" w:rsidRDefault="0087264A">
      <w:pPr>
        <w:spacing w:before="120" w:after="120"/>
        <w:ind w:firstLine="283"/>
        <w:rPr>
          <w:szCs w:val="20"/>
        </w:rPr>
      </w:pPr>
      <w:r>
        <w:rPr>
          <w:szCs w:val="20"/>
        </w:rPr>
        <w:t>Ponadto w celu uproszczenia i lepszego zrozumienia treści przepisów taryfowych zwrot „sy</w:t>
      </w:r>
      <w:r>
        <w:rPr>
          <w:szCs w:val="20"/>
        </w:rPr>
        <w:t>stem płatności mobilnych” zastępuje się pojęciem „aplikacja mobilna”.</w:t>
      </w:r>
    </w:p>
    <w:p w:rsidR="00B8789F" w:rsidRDefault="0087264A">
      <w:pPr>
        <w:spacing w:before="120" w:after="120"/>
        <w:ind w:firstLine="283"/>
        <w:rPr>
          <w:szCs w:val="20"/>
        </w:rPr>
      </w:pPr>
      <w:r>
        <w:rPr>
          <w:szCs w:val="20"/>
        </w:rPr>
        <w:t xml:space="preserve">Pozostałe zmiany wynikają z konieczności zastąpienia lub wykreślenia z przepisów nazw biletów wycofywanych z oferty (np. występujący zwrot „bilet jednorazowy czasowy do 60 minut”) zastępuje </w:t>
      </w:r>
      <w:r>
        <w:rPr>
          <w:szCs w:val="20"/>
        </w:rPr>
        <w:br/>
        <w:t>się zwrotem „bilet jednorazowy czasowy do 80 minut”, „bilet jedno</w:t>
      </w:r>
      <w:r>
        <w:rPr>
          <w:szCs w:val="20"/>
        </w:rPr>
        <w:t xml:space="preserve">dniowy” zastępuje się zwrotem „bilet </w:t>
      </w:r>
      <w:r>
        <w:rPr>
          <w:szCs w:val="20"/>
        </w:rPr>
        <w:br/>
        <w:t>24-godzinny”.</w:t>
      </w:r>
    </w:p>
    <w:p w:rsidR="00B8789F" w:rsidRDefault="0087264A">
      <w:pPr>
        <w:spacing w:before="120" w:after="120"/>
        <w:ind w:firstLine="283"/>
        <w:rPr>
          <w:szCs w:val="20"/>
        </w:rPr>
      </w:pPr>
      <w:r>
        <w:rPr>
          <w:szCs w:val="20"/>
          <w:lang w:val="x-none" w:eastAsia="en-US" w:bidi="ar-SA"/>
        </w:rPr>
        <w:t>S</w:t>
      </w:r>
      <w:r>
        <w:rPr>
          <w:szCs w:val="20"/>
        </w:rPr>
        <w:t xml:space="preserve">zacuje się, że zaproponowane zmiany będą skutkowały dla budżetu Miasta wzrostem dochodów </w:t>
      </w:r>
      <w:r>
        <w:rPr>
          <w:szCs w:val="20"/>
        </w:rPr>
        <w:br/>
        <w:t>z tytułu sprzedaży biletów na poziomie ok.</w:t>
      </w:r>
      <w:r>
        <w:rPr>
          <w:szCs w:val="20"/>
          <w:lang w:val="x-none" w:eastAsia="en-US" w:bidi="ar-SA"/>
        </w:rPr>
        <w:t xml:space="preserve"> 4 700 000</w:t>
      </w:r>
      <w:r>
        <w:rPr>
          <w:szCs w:val="20"/>
        </w:rPr>
        <w:t>,00</w:t>
      </w:r>
      <w:r>
        <w:rPr>
          <w:szCs w:val="20"/>
          <w:lang w:val="x-none" w:eastAsia="en-US" w:bidi="ar-SA"/>
        </w:rPr>
        <w:t xml:space="preserve"> zł.</w:t>
      </w:r>
    </w:p>
    <w:p w:rsidR="00B8789F" w:rsidRDefault="0087264A">
      <w:pPr>
        <w:spacing w:before="120" w:after="120"/>
        <w:ind w:firstLine="283"/>
        <w:rPr>
          <w:szCs w:val="20"/>
        </w:rPr>
      </w:pPr>
      <w:r>
        <w:rPr>
          <w:szCs w:val="20"/>
        </w:rPr>
        <w:t>Dotychczas obowiązujące bilety papierowe o nominałach</w:t>
      </w:r>
      <w:r>
        <w:rPr>
          <w:szCs w:val="20"/>
        </w:rPr>
        <w:t xml:space="preserve"> 2,20 zł, 2,80 zł, 4,40 zł oraz 5,60 zł posiadają nadrukowaną informację o wydłużeniu czasu ważności biletu. Uwzględniając fakt, że pozostaną one jeszcze w obiegu po przyjęciu zaproponowanych zmian, wprowadza się okres przejściowy, pozwalający na wykorzyst</w:t>
      </w:r>
      <w:r>
        <w:rPr>
          <w:szCs w:val="20"/>
        </w:rPr>
        <w:t xml:space="preserve">anie tych biletów jeszcze przez 3 miesiące po dniu wejścia w życie uchwały. Pozwoli </w:t>
      </w:r>
      <w:r>
        <w:rPr>
          <w:szCs w:val="20"/>
        </w:rPr>
        <w:br/>
        <w:t xml:space="preserve">to pasażerom na swobodne wykorzystanie biletów o starym wzorze i nominale, bez narażania </w:t>
      </w:r>
      <w:r>
        <w:rPr>
          <w:szCs w:val="20"/>
        </w:rPr>
        <w:br/>
        <w:t>się na ewentualne konsekwencje związane z wniesieniem niewłaściwej opłaty za prze</w:t>
      </w:r>
      <w:r>
        <w:rPr>
          <w:szCs w:val="20"/>
        </w:rPr>
        <w:t xml:space="preserve">jazd w stosunku </w:t>
      </w:r>
      <w:r>
        <w:rPr>
          <w:szCs w:val="20"/>
        </w:rPr>
        <w:br/>
        <w:t xml:space="preserve">do nowo ustalonych przedziałów czasowych. </w:t>
      </w:r>
    </w:p>
    <w:p w:rsidR="00B8789F" w:rsidRDefault="00B8789F">
      <w:pPr>
        <w:ind w:firstLine="567"/>
        <w:rPr>
          <w:color w:val="000000"/>
          <w:szCs w:val="20"/>
          <w:u w:val="single" w:color="000000"/>
        </w:rPr>
      </w:pPr>
    </w:p>
    <w:p w:rsidR="00B8789F" w:rsidRDefault="00B8789F">
      <w:pPr>
        <w:spacing w:before="120" w:after="120"/>
        <w:ind w:left="284"/>
        <w:jc w:val="left"/>
        <w:rPr>
          <w:color w:val="000000"/>
          <w:szCs w:val="20"/>
          <w:u w:color="000000"/>
          <w:lang w:val="x-none" w:eastAsia="en-US" w:bidi="ar-SA"/>
        </w:rPr>
      </w:pPr>
    </w:p>
    <w:sectPr w:rsidR="00B8789F">
      <w:footerReference w:type="default" r:id="rId9"/>
      <w:endnotePr>
        <w:numFmt w:val="decimal"/>
      </w:endnotePr>
      <w:pgSz w:w="11906" w:h="16838"/>
      <w:pgMar w:top="850" w:right="794" w:bottom="1417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264A">
      <w:r>
        <w:separator/>
      </w:r>
    </w:p>
  </w:endnote>
  <w:endnote w:type="continuationSeparator" w:id="0">
    <w:p w:rsidR="00000000" w:rsidRDefault="0087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3"/>
      <w:gridCol w:w="3511"/>
    </w:tblGrid>
    <w:tr w:rsidR="00B8789F">
      <w:tc>
        <w:tcPr>
          <w:tcW w:w="687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B8789F" w:rsidRDefault="00B8789F">
          <w:pPr>
            <w:jc w:val="left"/>
            <w:rPr>
              <w:sz w:val="18"/>
            </w:rPr>
          </w:pPr>
        </w:p>
      </w:tc>
      <w:tc>
        <w:tcPr>
          <w:tcW w:w="343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B8789F" w:rsidRDefault="00B8789F">
          <w:pPr>
            <w:jc w:val="right"/>
            <w:rPr>
              <w:sz w:val="18"/>
            </w:rPr>
          </w:pPr>
        </w:p>
      </w:tc>
    </w:tr>
  </w:tbl>
  <w:p w:rsidR="00B8789F" w:rsidRDefault="00B8789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3"/>
      <w:gridCol w:w="3511"/>
    </w:tblGrid>
    <w:tr w:rsidR="00B8789F">
      <w:tc>
        <w:tcPr>
          <w:tcW w:w="687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B8789F" w:rsidRDefault="00B8789F">
          <w:pPr>
            <w:jc w:val="left"/>
            <w:rPr>
              <w:sz w:val="18"/>
            </w:rPr>
          </w:pPr>
        </w:p>
      </w:tc>
      <w:tc>
        <w:tcPr>
          <w:tcW w:w="343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B8789F" w:rsidRDefault="00B8789F">
          <w:pPr>
            <w:jc w:val="right"/>
            <w:rPr>
              <w:sz w:val="18"/>
            </w:rPr>
          </w:pPr>
        </w:p>
      </w:tc>
    </w:tr>
  </w:tbl>
  <w:p w:rsidR="00B8789F" w:rsidRDefault="00B8789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3"/>
      <w:gridCol w:w="3511"/>
    </w:tblGrid>
    <w:tr w:rsidR="00B8789F">
      <w:tc>
        <w:tcPr>
          <w:tcW w:w="687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B8789F" w:rsidRDefault="00B8789F">
          <w:pPr>
            <w:jc w:val="left"/>
            <w:rPr>
              <w:sz w:val="18"/>
            </w:rPr>
          </w:pPr>
        </w:p>
      </w:tc>
      <w:tc>
        <w:tcPr>
          <w:tcW w:w="343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B8789F" w:rsidRDefault="00B8789F">
          <w:pPr>
            <w:jc w:val="right"/>
            <w:rPr>
              <w:sz w:val="18"/>
            </w:rPr>
          </w:pPr>
        </w:p>
      </w:tc>
    </w:tr>
  </w:tbl>
  <w:p w:rsidR="00B8789F" w:rsidRDefault="00B8789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264A">
      <w:r>
        <w:separator/>
      </w:r>
    </w:p>
  </w:footnote>
  <w:footnote w:type="continuationSeparator" w:id="0">
    <w:p w:rsidR="00000000" w:rsidRDefault="0087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3186F"/>
    <w:multiLevelType w:val="hybridMultilevel"/>
    <w:tmpl w:val="00000000"/>
    <w:lvl w:ilvl="0" w:tplc="E49CFB2E">
      <w:start w:val="1"/>
      <w:numFmt w:val="bullet"/>
      <w:lvlText w:val="-"/>
      <w:lvlJc w:val="left"/>
      <w:pPr>
        <w:spacing w:beforeAutospacing="0" w:after="0" w:afterAutospacing="0" w:line="240" w:lineRule="auto"/>
        <w:ind w:left="1003" w:hanging="360"/>
      </w:pPr>
      <w:rPr>
        <w:rFonts w:ascii="Symbol" w:hAnsi="Symbol"/>
      </w:rPr>
    </w:lvl>
    <w:lvl w:ilvl="1" w:tplc="9536C49A">
      <w:start w:val="1"/>
      <w:numFmt w:val="bullet"/>
      <w:lvlText w:val="o"/>
      <w:lvlJc w:val="left"/>
      <w:pPr>
        <w:spacing w:beforeAutospacing="0" w:after="0" w:afterAutospacing="0" w:line="240" w:lineRule="auto"/>
        <w:ind w:left="1723" w:hanging="360"/>
      </w:pPr>
      <w:rPr>
        <w:rFonts w:ascii="Courier New" w:hAnsi="Courier New"/>
      </w:rPr>
    </w:lvl>
    <w:lvl w:ilvl="2" w:tplc="D274499E">
      <w:start w:val="1"/>
      <w:numFmt w:val="bullet"/>
      <w:lvlText w:val="§"/>
      <w:lvlJc w:val="left"/>
      <w:pPr>
        <w:spacing w:beforeAutospacing="0" w:after="0" w:afterAutospacing="0" w:line="240" w:lineRule="auto"/>
        <w:ind w:left="2443" w:hanging="360"/>
      </w:pPr>
      <w:rPr>
        <w:rFonts w:ascii="Wingdings" w:hAnsi="Wingdings"/>
      </w:rPr>
    </w:lvl>
    <w:lvl w:ilvl="3" w:tplc="A2B8FDB4">
      <w:start w:val="1"/>
      <w:numFmt w:val="bullet"/>
      <w:lvlText w:val="·"/>
      <w:lvlJc w:val="left"/>
      <w:pPr>
        <w:spacing w:beforeAutospacing="0" w:after="0" w:afterAutospacing="0" w:line="240" w:lineRule="auto"/>
        <w:ind w:left="3163" w:hanging="360"/>
      </w:pPr>
      <w:rPr>
        <w:rFonts w:ascii="Symbol" w:hAnsi="Symbol"/>
      </w:rPr>
    </w:lvl>
    <w:lvl w:ilvl="4" w:tplc="7E727F5A">
      <w:start w:val="1"/>
      <w:numFmt w:val="bullet"/>
      <w:lvlText w:val="o"/>
      <w:lvlJc w:val="left"/>
      <w:pPr>
        <w:spacing w:beforeAutospacing="0" w:after="0" w:afterAutospacing="0" w:line="240" w:lineRule="auto"/>
        <w:ind w:left="3883" w:hanging="360"/>
      </w:pPr>
      <w:rPr>
        <w:rFonts w:ascii="Courier New" w:hAnsi="Courier New"/>
      </w:rPr>
    </w:lvl>
    <w:lvl w:ilvl="5" w:tplc="FE5A66AE">
      <w:start w:val="1"/>
      <w:numFmt w:val="bullet"/>
      <w:lvlText w:val="§"/>
      <w:lvlJc w:val="left"/>
      <w:pPr>
        <w:spacing w:beforeAutospacing="0" w:after="0" w:afterAutospacing="0" w:line="240" w:lineRule="auto"/>
        <w:ind w:left="4603" w:hanging="360"/>
      </w:pPr>
      <w:rPr>
        <w:rFonts w:ascii="Wingdings" w:hAnsi="Wingdings"/>
      </w:rPr>
    </w:lvl>
    <w:lvl w:ilvl="6" w:tplc="87343EC0">
      <w:start w:val="1"/>
      <w:numFmt w:val="bullet"/>
      <w:lvlText w:val="·"/>
      <w:lvlJc w:val="left"/>
      <w:pPr>
        <w:spacing w:beforeAutospacing="0" w:after="0" w:afterAutospacing="0" w:line="240" w:lineRule="auto"/>
        <w:ind w:left="5323" w:hanging="360"/>
      </w:pPr>
      <w:rPr>
        <w:rFonts w:ascii="Symbol" w:hAnsi="Symbol"/>
      </w:rPr>
    </w:lvl>
    <w:lvl w:ilvl="7" w:tplc="C490807C">
      <w:start w:val="1"/>
      <w:numFmt w:val="bullet"/>
      <w:lvlText w:val="o"/>
      <w:lvlJc w:val="left"/>
      <w:pPr>
        <w:spacing w:beforeAutospacing="0" w:after="0" w:afterAutospacing="0" w:line="240" w:lineRule="auto"/>
        <w:ind w:left="6043" w:hanging="360"/>
      </w:pPr>
      <w:rPr>
        <w:rFonts w:ascii="Courier New" w:hAnsi="Courier New"/>
      </w:rPr>
    </w:lvl>
    <w:lvl w:ilvl="8" w:tplc="912CCCE8">
      <w:start w:val="1"/>
      <w:numFmt w:val="bullet"/>
      <w:lvlText w:val="§"/>
      <w:lvlJc w:val="left"/>
      <w:pPr>
        <w:spacing w:beforeAutospacing="0" w:after="0" w:afterAutospacing="0" w:line="240" w:lineRule="auto"/>
        <w:ind w:left="6763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7264A"/>
    <w:rsid w:val="00A77B3E"/>
    <w:rsid w:val="00B8789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370FA5-844F-42E4-9188-9644FF22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1750</Words>
  <Characters>10505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w^sprawie  ustalenia opłat za usługi przewozowe lokalnego transportu zbiorowego w^Łodzi.</dc:subject>
  <dc:creator>abilkowska</dc:creator>
  <cp:lastModifiedBy>Violetta Gandziarska</cp:lastModifiedBy>
  <cp:revision>2</cp:revision>
  <dcterms:created xsi:type="dcterms:W3CDTF">2024-11-12T12:20:00Z</dcterms:created>
  <dcterms:modified xsi:type="dcterms:W3CDTF">2024-11-12T12:20:00Z</dcterms:modified>
  <cp:category>Akt prawny</cp:category>
</cp:coreProperties>
</file>