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E0" w:rsidRPr="00930440" w:rsidRDefault="007701E0" w:rsidP="007701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89657635"/>
    </w:p>
    <w:p w:rsidR="007701E0" w:rsidRPr="00930440" w:rsidRDefault="007701E0" w:rsidP="007701E0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 /2025</w:t>
      </w:r>
    </w:p>
    <w:p w:rsidR="007701E0" w:rsidRPr="00930440" w:rsidRDefault="007701E0" w:rsidP="007701E0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 lutego 2025 r.</w:t>
      </w:r>
    </w:p>
    <w:p w:rsidR="007701E0" w:rsidRPr="00930440" w:rsidRDefault="007701E0" w:rsidP="007701E0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01E0" w:rsidRPr="00930440" w:rsidRDefault="007701E0" w:rsidP="007701E0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01E0" w:rsidRPr="00930440" w:rsidRDefault="007701E0" w:rsidP="007701E0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01E0" w:rsidRPr="00930440" w:rsidRDefault="007701E0" w:rsidP="007701E0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………</w:t>
      </w:r>
    </w:p>
    <w:p w:rsidR="007701E0" w:rsidRPr="00930440" w:rsidRDefault="007701E0" w:rsidP="007701E0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RADY MIEJSKIEJ w ŁODZI</w:t>
      </w:r>
    </w:p>
    <w:p w:rsidR="007701E0" w:rsidRDefault="007701E0" w:rsidP="007701E0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…….</w:t>
      </w:r>
    </w:p>
    <w:p w:rsidR="007701E0" w:rsidRPr="00930440" w:rsidRDefault="007701E0" w:rsidP="007701E0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01E0" w:rsidRDefault="007701E0" w:rsidP="007701E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skargi </w:t>
      </w:r>
      <w:bookmarkStart w:id="1" w:name="_GoBack"/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p.</w:t>
      </w:r>
      <w:bookmarkEnd w:id="1"/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…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Prezydenta Miasta Łodzi.</w:t>
      </w:r>
    </w:p>
    <w:p w:rsidR="007701E0" w:rsidRPr="00930440" w:rsidRDefault="007701E0" w:rsidP="007701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E0" w:rsidRPr="00930440" w:rsidRDefault="007701E0" w:rsidP="007701E0">
      <w:pPr>
        <w:tabs>
          <w:tab w:val="left" w:pos="540"/>
          <w:tab w:val="left" w:pos="900"/>
        </w:tabs>
        <w:autoSpaceDE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z 2024 </w:t>
      </w:r>
      <w:r>
        <w:rPr>
          <w:rFonts w:ascii="Times New Roman" w:hAnsi="Times New Roman"/>
          <w:sz w:val="24"/>
          <w:szCs w:val="24"/>
        </w:rPr>
        <w:t xml:space="preserve">poz. 1465, </w:t>
      </w:r>
      <w:r w:rsidRPr="00615DB4">
        <w:rPr>
          <w:rFonts w:ascii="Times New Roman" w:hAnsi="Times New Roman" w:cs="Times New Roman"/>
          <w:bCs/>
          <w:sz w:val="24"/>
          <w:szCs w:val="24"/>
        </w:rPr>
        <w:t>1572</w:t>
      </w:r>
      <w:r>
        <w:rPr>
          <w:rFonts w:ascii="Times New Roman" w:hAnsi="Times New Roman" w:cs="Times New Roman"/>
          <w:bCs/>
          <w:sz w:val="24"/>
          <w:szCs w:val="24"/>
        </w:rPr>
        <w:t>, 1907 i 1940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7701E0" w:rsidRPr="00930440" w:rsidRDefault="007701E0" w:rsidP="007701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7701E0" w:rsidRPr="00930440" w:rsidRDefault="007701E0" w:rsidP="007701E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01E0" w:rsidRPr="00930440" w:rsidRDefault="007701E0" w:rsidP="007701E0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1.1.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Skargę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…</w:t>
      </w:r>
      <w:r w:rsidRPr="007D29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na działania Prezydenta Miasta Łodzi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u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znaje się za bezzasadną.</w:t>
      </w:r>
    </w:p>
    <w:p w:rsidR="007701E0" w:rsidRPr="00930440" w:rsidRDefault="007701E0" w:rsidP="007701E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7701E0" w:rsidRPr="00930440" w:rsidRDefault="007701E0" w:rsidP="007701E0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2. Zobowiązuje się Przewodniczącego Rady Miejskiej w Łodzi do przekazania Skarżące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 niniejszej uchwały wraz z uzasadnieniem.</w:t>
      </w:r>
    </w:p>
    <w:p w:rsidR="007701E0" w:rsidRPr="00930440" w:rsidRDefault="007701E0" w:rsidP="007701E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3. Uchwała wchodzi w życie z dniem podjęcia.</w:t>
      </w:r>
    </w:p>
    <w:p w:rsidR="007701E0" w:rsidRPr="00930440" w:rsidRDefault="007701E0" w:rsidP="007701E0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E0" w:rsidRPr="00930440" w:rsidRDefault="007701E0" w:rsidP="007701E0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E0" w:rsidRPr="00930440" w:rsidRDefault="007701E0" w:rsidP="007701E0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7701E0" w:rsidRPr="00930440" w:rsidRDefault="007701E0" w:rsidP="007701E0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701E0" w:rsidRPr="00930440" w:rsidRDefault="007701E0" w:rsidP="007701E0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701E0" w:rsidRPr="00930440" w:rsidRDefault="007701E0" w:rsidP="007701E0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701E0" w:rsidRPr="00930440" w:rsidRDefault="007701E0" w:rsidP="007701E0">
      <w:pPr>
        <w:spacing w:after="0" w:line="276" w:lineRule="auto"/>
        <w:ind w:left="4956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7701E0" w:rsidRPr="00930440" w:rsidRDefault="007701E0" w:rsidP="007701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E0" w:rsidRPr="00930440" w:rsidRDefault="007701E0" w:rsidP="007701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E0" w:rsidRPr="00930440" w:rsidRDefault="007701E0" w:rsidP="007701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E0" w:rsidRPr="00930440" w:rsidRDefault="007701E0" w:rsidP="007701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Projektodawcą uchwały jest</w:t>
      </w:r>
    </w:p>
    <w:p w:rsidR="007701E0" w:rsidRPr="00930440" w:rsidRDefault="007701E0" w:rsidP="007701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Komisja Skarg, Wniosków i Petycji</w:t>
      </w:r>
    </w:p>
    <w:p w:rsidR="007701E0" w:rsidRPr="00930440" w:rsidRDefault="007701E0" w:rsidP="007701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bookmarkEnd w:id="0"/>
    <w:p w:rsidR="007701E0" w:rsidRDefault="007701E0" w:rsidP="007701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E0" w:rsidRPr="00930440" w:rsidRDefault="007701E0" w:rsidP="007701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E0" w:rsidRDefault="007701E0" w:rsidP="007701E0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701E0" w:rsidRDefault="007701E0" w:rsidP="007701E0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701E0" w:rsidRDefault="007701E0" w:rsidP="007701E0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701E0" w:rsidRDefault="007701E0" w:rsidP="007701E0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701E0" w:rsidRPr="00930440" w:rsidRDefault="007701E0" w:rsidP="007701E0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</w:t>
      </w:r>
    </w:p>
    <w:p w:rsidR="007701E0" w:rsidRPr="00930440" w:rsidRDefault="007701E0" w:rsidP="007701E0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do uchwały Nr ………..</w:t>
      </w:r>
    </w:p>
    <w:p w:rsidR="007701E0" w:rsidRPr="00930440" w:rsidRDefault="007701E0" w:rsidP="007701E0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7701E0" w:rsidRPr="00930440" w:rsidRDefault="007701E0" w:rsidP="007701E0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 dnia …………………….</w:t>
      </w:r>
    </w:p>
    <w:p w:rsidR="007701E0" w:rsidRPr="00930440" w:rsidRDefault="007701E0" w:rsidP="007701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01E0" w:rsidRPr="00930440" w:rsidRDefault="007701E0" w:rsidP="007701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:rsidR="007701E0" w:rsidRPr="00930440" w:rsidRDefault="007701E0" w:rsidP="007701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1E0" w:rsidRPr="0082774E" w:rsidRDefault="007701E0" w:rsidP="007701E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> W 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stycznia 2025 r.</w:t>
      </w:r>
      <w:r w:rsidRPr="00240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złożona skarga na </w:t>
      </w:r>
      <w:r w:rsidRPr="00595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</w:t>
      </w:r>
      <w:r w:rsidRPr="00595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Prezydenta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595CE6">
        <w:rPr>
          <w:rFonts w:ascii="Times New Roman" w:eastAsia="Times New Roman" w:hAnsi="Times New Roman" w:cs="Times New Roman"/>
          <w:sz w:val="24"/>
          <w:szCs w:val="24"/>
          <w:lang w:eastAsia="pl-PL"/>
        </w:rPr>
        <w:t>odzi</w:t>
      </w:r>
      <w:r w:rsidRPr="0082774E">
        <w:t xml:space="preserve"> </w:t>
      </w:r>
      <w:r>
        <w:t xml:space="preserve">i </w:t>
      </w:r>
      <w:r w:rsidRPr="0082774E">
        <w:rPr>
          <w:rFonts w:ascii="Times New Roman" w:hAnsi="Times New Roman" w:cs="Times New Roman"/>
          <w:sz w:val="24"/>
          <w:szCs w:val="24"/>
        </w:rPr>
        <w:t>podległych wydziałów U</w:t>
      </w:r>
      <w:r>
        <w:rPr>
          <w:rFonts w:ascii="Times New Roman" w:hAnsi="Times New Roman" w:cs="Times New Roman"/>
          <w:sz w:val="24"/>
          <w:szCs w:val="24"/>
        </w:rPr>
        <w:t xml:space="preserve">rzędu </w:t>
      </w:r>
      <w:r w:rsidRPr="008277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iasta </w:t>
      </w:r>
      <w:r w:rsidRPr="0082774E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odzi</w:t>
      </w:r>
      <w:r w:rsidRPr="0082774E">
        <w:rPr>
          <w:rFonts w:ascii="Times New Roman" w:hAnsi="Times New Roman" w:cs="Times New Roman"/>
          <w:sz w:val="24"/>
          <w:szCs w:val="24"/>
        </w:rPr>
        <w:t xml:space="preserve"> w kontekście planów dewelopera TDG18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2774E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4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4E"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4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Chojny sp. k  </w:t>
      </w:r>
      <w:r w:rsidRPr="0082774E">
        <w:rPr>
          <w:rFonts w:ascii="Times New Roman" w:hAnsi="Times New Roman" w:cs="Times New Roman"/>
          <w:sz w:val="24"/>
          <w:szCs w:val="24"/>
        </w:rPr>
        <w:t xml:space="preserve"> i wniosku firmy planującej budowę 12 wieżowców od 7-12 kondygnacji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4E">
        <w:rPr>
          <w:rFonts w:ascii="Times New Roman" w:hAnsi="Times New Roman" w:cs="Times New Roman"/>
          <w:sz w:val="24"/>
          <w:szCs w:val="24"/>
        </w:rPr>
        <w:t>Łodzi, w okolicach ulic Warneńczyka i Rzgowskiej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7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Pr="0082774E">
        <w:rPr>
          <w:rFonts w:ascii="Times New Roman" w:hAnsi="Times New Roman" w:cs="Times New Roman"/>
          <w:sz w:val="24"/>
          <w:szCs w:val="24"/>
        </w:rPr>
        <w:t>Skarżąca wskazuje,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4E">
        <w:rPr>
          <w:rFonts w:ascii="Times New Roman" w:hAnsi="Times New Roman" w:cs="Times New Roman"/>
          <w:sz w:val="24"/>
          <w:szCs w:val="24"/>
        </w:rPr>
        <w:t>postępowanie administracyjne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4E">
        <w:rPr>
          <w:rFonts w:ascii="Times New Roman" w:hAnsi="Times New Roman" w:cs="Times New Roman"/>
          <w:sz w:val="24"/>
          <w:szCs w:val="24"/>
        </w:rPr>
        <w:t xml:space="preserve">było prowadzone </w:t>
      </w:r>
      <w:r>
        <w:rPr>
          <w:rFonts w:ascii="Times New Roman" w:hAnsi="Times New Roman" w:cs="Times New Roman"/>
          <w:sz w:val="24"/>
          <w:szCs w:val="24"/>
        </w:rPr>
        <w:t xml:space="preserve">z naruszeniem przepisów prawa i </w:t>
      </w:r>
      <w:r w:rsidRPr="0082774E">
        <w:rPr>
          <w:rFonts w:ascii="Times New Roman" w:hAnsi="Times New Roman" w:cs="Times New Roman"/>
          <w:sz w:val="24"/>
          <w:szCs w:val="24"/>
        </w:rPr>
        <w:t>w sposób nieprzyjazny dla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4E">
        <w:rPr>
          <w:rFonts w:ascii="Times New Roman" w:hAnsi="Times New Roman" w:cs="Times New Roman"/>
          <w:sz w:val="24"/>
          <w:szCs w:val="24"/>
        </w:rPr>
        <w:t>mieszkańców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1E0" w:rsidRPr="00240D3D" w:rsidRDefault="007701E0" w:rsidP="007701E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1E0" w:rsidRDefault="007701E0" w:rsidP="007701E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7701E0" w:rsidRDefault="007701E0" w:rsidP="007701E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701E0" w:rsidRPr="00C173FB" w:rsidRDefault="007701E0" w:rsidP="007701E0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Skarżąca, </w:t>
      </w:r>
      <w:r w:rsidRPr="00C173FB">
        <w:rPr>
          <w:rFonts w:ascii="Times New Roman" w:hAnsi="Times New Roman" w:cs="Times New Roman"/>
          <w:sz w:val="24"/>
          <w:szCs w:val="24"/>
        </w:rPr>
        <w:t>będąc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173FB">
        <w:rPr>
          <w:rFonts w:ascii="Times New Roman" w:hAnsi="Times New Roman" w:cs="Times New Roman"/>
          <w:sz w:val="24"/>
          <w:szCs w:val="24"/>
        </w:rPr>
        <w:t xml:space="preserve"> stroną w post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173FB">
        <w:rPr>
          <w:rFonts w:ascii="Times New Roman" w:hAnsi="Times New Roman" w:cs="Times New Roman"/>
          <w:sz w:val="24"/>
          <w:szCs w:val="24"/>
        </w:rPr>
        <w:t>powani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173FB">
        <w:rPr>
          <w:rFonts w:ascii="Times New Roman" w:hAnsi="Times New Roman" w:cs="Times New Roman"/>
          <w:sz w:val="24"/>
          <w:szCs w:val="24"/>
        </w:rPr>
        <w:t xml:space="preserve"> zakończonym wydaniem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decyzji Prezydenta Miasta Łodzi Nr 27/U/2022 z dnia 14 czerwca 2022 o środowiskowych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uwarunkowaniach dla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przedsięwzięcia polegającego na budowie zabudowy mieszkaniowej,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garaży podziemnych, parkingów naziemnych wraz z niezbędną infrastrukturą techniczną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drogi o nawierzchni twardej, o którym mowa w § 3 ust. 1 pkt 58 lit b, pkt 55 lit b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 xml:space="preserve"> drugie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oraz pkt 62 rozporządzenia Rady Ministrów z dnia 10 września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r. w sprawie przedsięwzięć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mogących znacząco oddziaływać na środowisko (j.t. Dz.U. z 2019r. poz. 1839 ze zmianami)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potrzeby budowy zespołu budynków mieszkalnych wielorodzinnych z garażami podziemnymi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niezbędną infrastrukturą w Łodzi przy ul. Warneńczyka</w:t>
      </w:r>
      <w:r>
        <w:rPr>
          <w:rFonts w:ascii="Times New Roman" w:hAnsi="Times New Roman" w:cs="Times New Roman"/>
          <w:sz w:val="24"/>
          <w:szCs w:val="24"/>
        </w:rPr>
        <w:t>.  N</w:t>
      </w:r>
      <w:r w:rsidRPr="00C173FB">
        <w:rPr>
          <w:rFonts w:ascii="Times New Roman" w:hAnsi="Times New Roman" w:cs="Times New Roman"/>
          <w:sz w:val="24"/>
          <w:szCs w:val="24"/>
        </w:rPr>
        <w:t>a potrzeby opracowania Karty Informacyjnej Przedsięwzięcia pn. Zespół budynków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mieszkalnych (…) załączonej do wniosku o wydanie decyzji o środowiskowych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uwarunkowaniach została opracowana:</w:t>
      </w:r>
    </w:p>
    <w:p w:rsidR="007701E0" w:rsidRDefault="007701E0" w:rsidP="007701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73FB">
        <w:rPr>
          <w:rFonts w:ascii="Times New Roman" w:hAnsi="Times New Roman" w:cs="Times New Roman"/>
          <w:sz w:val="24"/>
          <w:szCs w:val="24"/>
        </w:rPr>
        <w:t>w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r. ekspertyza geotechniczna w celu oceny warunków gruntowo-wodnych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1E0" w:rsidRPr="00C173FB" w:rsidRDefault="007701E0" w:rsidP="007701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Pr="00C173FB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r. opinia geotechniczna badań podłoża gruntowego określająca geotechniczne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warunki posadowienia budynków wielorodzinnych na działce nr ew. 3/50 obręb G-28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Rozporządzeniem Ministra Transportu, Budownictwa i Gospodarki Morskiej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 dnia 25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kwietnia 2012 r. w sprawie ustalenia geotechnicznych warunków obiektów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budowlanych, dalej zwany Rozporządzeniem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MTBiGM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01E0" w:rsidRPr="00696135" w:rsidRDefault="007701E0" w:rsidP="007701E0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73FB">
        <w:rPr>
          <w:rFonts w:ascii="Times New Roman" w:hAnsi="Times New Roman" w:cs="Times New Roman"/>
          <w:sz w:val="24"/>
          <w:szCs w:val="24"/>
        </w:rPr>
        <w:t xml:space="preserve">Zgodnie z § 3.1 pkt. 3 </w:t>
      </w:r>
      <w:r>
        <w:rPr>
          <w:rFonts w:ascii="Times New Roman" w:hAnsi="Times New Roman" w:cs="Times New Roman"/>
          <w:sz w:val="24"/>
          <w:szCs w:val="24"/>
        </w:rPr>
        <w:t xml:space="preserve"> Rozporządzenia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MTBiGM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73FB">
        <w:rPr>
          <w:rFonts w:ascii="Times New Roman" w:hAnsi="Times New Roman" w:cs="Times New Roman"/>
          <w:sz w:val="24"/>
          <w:szCs w:val="24"/>
        </w:rPr>
        <w:t>geotechniczne warunki posadowienia przedstawia się w formie: opinii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geotechnicznej, dokumentacji badań podłoża gruntowego lub projektu geotechnicznego.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Opinię geotechniczną może wykonać tylko osoba z niezbędnymi kwalifikacjami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C173FB">
        <w:rPr>
          <w:rFonts w:ascii="Times New Roman" w:hAnsi="Times New Roman" w:cs="Times New Roman"/>
          <w:sz w:val="24"/>
          <w:szCs w:val="24"/>
        </w:rPr>
        <w:t>uprawnieniami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budowlanymi. Ustalenie warunków gruntowo-wodnych jest konieczne w celu uzyskania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pozwolenia na budowę. Każdy projekt budowlany, będący podstawą do otrzymania takiego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pozwolenia, powinien zawierać informacje na temat geotechnicznych warunków posadowienia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budowanego obiektu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73FB">
        <w:rPr>
          <w:rFonts w:ascii="Times New Roman" w:hAnsi="Times New Roman" w:cs="Times New Roman"/>
          <w:sz w:val="24"/>
          <w:szCs w:val="24"/>
        </w:rPr>
        <w:t>Ekspertyza geotechniczna wykonana w 2019 r. została opracowana na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  <w:r w:rsidRPr="00C173FB">
        <w:rPr>
          <w:rFonts w:ascii="Times New Roman" w:hAnsi="Times New Roman" w:cs="Times New Roman"/>
          <w:sz w:val="24"/>
          <w:szCs w:val="24"/>
        </w:rPr>
        <w:t>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Rozporządzenia Ministra Środowiska z dnia 1 września 2016 r. w sprawie sposobu 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oceny zanieczyszczenia powierzchni ziemi oraz norm branżowych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73FB">
        <w:rPr>
          <w:rFonts w:ascii="Times New Roman" w:hAnsi="Times New Roman" w:cs="Times New Roman"/>
          <w:sz w:val="24"/>
          <w:szCs w:val="24"/>
        </w:rPr>
        <w:t xml:space="preserve">Ekspertyza geotechniczna została opracowana w celu ustalenia </w:t>
      </w:r>
      <w:r w:rsidRPr="00C173FB">
        <w:rPr>
          <w:rFonts w:ascii="Times New Roman" w:hAnsi="Times New Roman" w:cs="Times New Roman"/>
          <w:sz w:val="24"/>
          <w:szCs w:val="24"/>
        </w:rPr>
        <w:lastRenderedPageBreak/>
        <w:t>warunków gruntowo-wodnych.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Na jej potrzeby wykonano 7 otworów o głębokości od 3 m do 10 m p.p.t. (wstępnie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zaplanowano 13, jednak z uwagi na przeszkody antropogeniczne oraz brak możliwości dojazdu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wykonano 7 otworów). Nie ma regulacji prawnych, które warunkowałyby tak jak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m.in. projektu robót geologicznych wskazanie innych lokalizacji wierceń przez osobę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stosownymi kwalifikacjami, w celu osiągnięcia celu robót.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Na potrzeby ekspertyzy poza ustaleniem warunków gruntowych i wodnych dokonano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oceny zanieczyszczenia środowiska gruntowo-wodnego zgodnie z Rozporządzeniem Ministra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Środowiska z dnia 1 września 2016 r. w sprawie sposobu prowadzenia oceny zanieczyszczenia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powierzchni ziemi oraz norm branżowych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73FB">
        <w:rPr>
          <w:rFonts w:ascii="Times New Roman" w:hAnsi="Times New Roman" w:cs="Times New Roman"/>
          <w:sz w:val="24"/>
          <w:szCs w:val="24"/>
        </w:rPr>
        <w:t xml:space="preserve">W tym celu przebadano </w:t>
      </w:r>
      <w:r>
        <w:rPr>
          <w:rFonts w:ascii="Times New Roman" w:hAnsi="Times New Roman" w:cs="Times New Roman"/>
          <w:sz w:val="24"/>
          <w:szCs w:val="24"/>
        </w:rPr>
        <w:t xml:space="preserve">próbki </w:t>
      </w:r>
      <w:r w:rsidRPr="00C173FB">
        <w:rPr>
          <w:rFonts w:ascii="Times New Roman" w:hAnsi="Times New Roman" w:cs="Times New Roman"/>
          <w:sz w:val="24"/>
          <w:szCs w:val="24"/>
        </w:rPr>
        <w:t>gruntu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akredytowanym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laboratorium. Analiza wyników badań laboratoryjnych wykazała,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wartości dopuszczalne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stężeń zanieczyszczeń dla gruntów zarówno dla obecnego jak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planowanego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zagospodarowania terenu nie zostały przekroczone. Dopuszczalne składniki mieszą się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granicach norm, a zaobserwowany stan środowiska gruntowo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173FB">
        <w:rPr>
          <w:rFonts w:ascii="Times New Roman" w:hAnsi="Times New Roman" w:cs="Times New Roman"/>
          <w:sz w:val="24"/>
          <w:szCs w:val="24"/>
        </w:rPr>
        <w:t>wodnego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wpłynie na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  <w:r w:rsidRPr="00C173FB">
        <w:rPr>
          <w:rFonts w:ascii="Times New Roman" w:hAnsi="Times New Roman" w:cs="Times New Roman"/>
          <w:sz w:val="24"/>
          <w:szCs w:val="24"/>
        </w:rPr>
        <w:t>proces realizacji obiektu budowlanego.</w:t>
      </w:r>
    </w:p>
    <w:p w:rsidR="007701E0" w:rsidRPr="00696135" w:rsidRDefault="007701E0" w:rsidP="007701E0">
      <w:pPr>
        <w:spacing w:after="0" w:line="276" w:lineRule="auto"/>
        <w:ind w:firstLine="53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C173FB">
        <w:rPr>
          <w:rFonts w:ascii="Times New Roman" w:hAnsi="Times New Roman" w:cs="Times New Roman"/>
          <w:sz w:val="24"/>
          <w:szCs w:val="24"/>
        </w:rPr>
        <w:t xml:space="preserve"> potrzeby opinii geotechnicznej wykonano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 lutym 2021 r. 22 otwory badawcze (12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otworów do głębokości 9-10 m oraz 10 otworów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głębokości 2,5-3,7 m). Wszelkie ustalenia odnośnie zakresu badań i głębokości zostały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wykonane w zakresie uzgodnionym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projektantami obiektu. Geotechniczne warunki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posadowienia obiektów budowlanych zostały opracowane na podstawie europejsko/polskich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norm PN-EN 1997 oraz ww. Rozporządzenia. Na podstawie opracowanej opinii geotechnicznej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projektowany obiekt zaliczono do II kategorii geotechnicznej w prostych warunkach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gruntowych. W związku z powyższym nie zachodzi potrzeba opracowania projektu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geologiczno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 xml:space="preserve"> – inżynierskich. Zakres wykonanych badań na potrzeby sporządzenia opinii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geotechnicznej był zgodny i realizowany zgodnie z wymogami Rozporządzeniem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MTBiGM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(§ 6.1 pkt 2 i 3) tj. dla II kategorii geotechnicznej. Zgodnie z § 7</w:t>
      </w:r>
      <w:r w:rsidRPr="007E1403"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ust. 4  „zakres badań w zależności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potrzeb, może być rozszerzony o dodatkowe badania gruntu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7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takie jak: </w:t>
      </w:r>
      <w:r w:rsidRPr="00C173FB">
        <w:rPr>
          <w:rFonts w:ascii="Times New Roman" w:hAnsi="Times New Roman" w:cs="Times New Roman"/>
          <w:sz w:val="24"/>
          <w:szCs w:val="24"/>
        </w:rPr>
        <w:t>badania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zanieczyszczenia gruntu i wód gruntowych”.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Archiwalne wiercenia (z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r.) nie wykazały przekroczenia dopuszczalnych stężeń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zanieczyszczeń dla gruntów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dz. 3/50 obręb G-28. W opinii geotechnicznej wykonano badania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gruntów oraz obserwację występowania wód gruntowych zgodnie z obowiązującymi normami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państwowymi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 xml:space="preserve">branżowymi oraz Rozporządzeniem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MTBiGM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>. Analiza makroskopowa gruntów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wykazała obecności zanieczyszczeń gruntu. Zgodnie z zapisem z KIP ze str. 7 „Zakres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wykonanych badań jest w zupełności wystarczający dla określenia warunków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posadawiania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projektowanych obiektów budowlanych”. Zgodnie z wytycznymi, osobą odpowiedzialną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przyjęcie parametrów podłoża gruntowego i kategorii geotechnicznej jest projektant obiektu.</w:t>
      </w:r>
    </w:p>
    <w:p w:rsidR="007701E0" w:rsidRPr="00696135" w:rsidRDefault="007701E0" w:rsidP="007701E0">
      <w:pPr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73FB">
        <w:rPr>
          <w:rFonts w:ascii="Times New Roman" w:hAnsi="Times New Roman" w:cs="Times New Roman"/>
          <w:sz w:val="24"/>
          <w:szCs w:val="24"/>
        </w:rPr>
        <w:t xml:space="preserve"> kierując się zasadą zapobiegania i przezorności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C173FB">
        <w:rPr>
          <w:rFonts w:ascii="Times New Roman" w:hAnsi="Times New Roman" w:cs="Times New Roman"/>
          <w:sz w:val="24"/>
          <w:szCs w:val="24"/>
        </w:rPr>
        <w:t xml:space="preserve"> ww. decyzji wskazał, iż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cyt.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„w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przypadku stwierdzenia w trakcie budowy występowania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którymkolwiek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miejscu zanieczyszczenia gleby lub ziemi w stopniu przekraczającym określone prawem normy,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podczas realizacji inwestycji powinna być wykonana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remediacja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 xml:space="preserve"> zanieczyszczonego gruntu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 celu doprowadzenia go do obowiązujących norm dla substancji powodujących ryzyko</w:t>
      </w:r>
    </w:p>
    <w:p w:rsidR="007701E0" w:rsidRPr="00C173FB" w:rsidRDefault="007701E0" w:rsidP="007701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w glebie lub ziemi po wcześniejszym uzgodnieniu warunków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remediacji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 xml:space="preserve"> z RDOŚ w Łodzi”.</w:t>
      </w:r>
      <w:r>
        <w:rPr>
          <w:rFonts w:ascii="Times New Roman" w:hAnsi="Times New Roman" w:cs="Times New Roman"/>
          <w:sz w:val="24"/>
          <w:szCs w:val="24"/>
        </w:rPr>
        <w:t xml:space="preserve"> Ponadto, </w:t>
      </w:r>
      <w:r w:rsidRPr="00C173FB">
        <w:rPr>
          <w:rFonts w:ascii="Times New Roman" w:hAnsi="Times New Roman" w:cs="Times New Roman"/>
          <w:sz w:val="24"/>
          <w:szCs w:val="24"/>
        </w:rPr>
        <w:t xml:space="preserve"> kierownik budowy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obowiązany, w oparciu o informację, o której mowa w art. 20 ust. 1 pkt 1b ustawy z dnia 7 lipca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1994r. Prawo budowlane (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>. Dz. U. z 2023r. poz. 682 ze zmianami) sporządzić lub zapewnić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sporządzenie, przed rozpoczęciem budowy, planu bezpieczeństwa </w:t>
      </w:r>
      <w:r w:rsidRPr="00C173FB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ochrony zdrowia,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uwzględniając specyfikę obiektu budowlanego i warunki prowadzenia robót budowlanych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1E0" w:rsidRDefault="007701E0" w:rsidP="007701E0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</w:t>
      </w:r>
      <w:r w:rsidRPr="00C173FB">
        <w:rPr>
          <w:rFonts w:ascii="Times New Roman" w:hAnsi="Times New Roman" w:cs="Times New Roman"/>
          <w:sz w:val="24"/>
          <w:szCs w:val="24"/>
        </w:rPr>
        <w:t xml:space="preserve">ziałki o nr </w:t>
      </w:r>
      <w:r>
        <w:rPr>
          <w:rFonts w:ascii="Times New Roman" w:hAnsi="Times New Roman" w:cs="Times New Roman"/>
          <w:sz w:val="24"/>
          <w:szCs w:val="24"/>
        </w:rPr>
        <w:t>ewidencyjnych:</w:t>
      </w:r>
      <w:r w:rsidRPr="00C173FB">
        <w:rPr>
          <w:rFonts w:ascii="Times New Roman" w:hAnsi="Times New Roman" w:cs="Times New Roman"/>
          <w:sz w:val="24"/>
          <w:szCs w:val="24"/>
        </w:rPr>
        <w:t xml:space="preserve"> 2/2,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3/55, 3/57, 3/58, 3/59, 3/60, 3/61, 3/62, 671, 672, 643/63, położone w obrębie geodezyjnym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G-28, organ wydał dwa rozstrzygnięcia zezwalające na usuniecie łącznie 8 sztuk drzew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 decyzjach o nr ZZ/521/23 i ZZ/454/23. Ponadto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przełomie stycznia i lutego 2022r.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pracownicy Wydziału Ochrony Środowiska i Rolnictwa w Departamencie Ekologii i Klimatu Urzędu Miasta Łodzi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prowadzili kontrole prac porządkowych na ww. obszarze pod k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173FB"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zgodności z obowiązującymi przepisami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zakresie usuwania drzew. Ustalono wtedy, że prace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skoncentrowane były na wycinaniu podrostów drzew z rodzaju robinia akacjowa, klon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jesionolistny i brzoza brodawkowata, których obwody na 5 cm tj. przy podstawie pnia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przekroczyły odpowiednio 50 cm dla brzóz, 65cm dla robinii akacjowej i 80 cm dla klonów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jesionolistnych. Zgodnie z ustawą z dnia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kwietnia 2004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ochronie przyrody 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 2024 poz. 1478) art. 83 f ust. 1 pkt 3 na usuwanie ww. drzew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jest i nie była wymagana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zgoda organu do tego uprawnionego.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Ponadto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73FB">
        <w:rPr>
          <w:rFonts w:ascii="Times New Roman" w:hAnsi="Times New Roman" w:cs="Times New Roman"/>
          <w:sz w:val="24"/>
          <w:szCs w:val="24"/>
        </w:rPr>
        <w:t xml:space="preserve"> kwestie ochrony gatunkowej zwierząt reguluje art. 52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ochronie przyrody oraz Rozporządzenie Ministra Środowiska z dnia 16 grudnia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sprawie ochrony gatunkowej zwierząt (Dz. U. poz. 2183), a kompetencje w tym zakresie leżą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 gestii Generalnego i Regionalnego Dyrektora Ochrony Środowiska. Z powodu braku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legitymacji prawnej do działań w tym zakresie Wydział Ochrony Środowiska i Rolnictwa Urzędu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Miasta Łodzi nie prowadził postępowań w sprawach dotyczących naruszenia zakazów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 odniesieniu do gatunków chronionych.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Wydana decyzja 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27/U/2022 z dnia 14 czerwca 2022 r. o środowiskowych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uwarunkowaniach realizacji przedsięwzięcia polegającego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budowie zabudowy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mieszkaniowej, garaży podziemnych, parkingów naziemnych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niezbędną infrastrukturą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techniczną oraz drogi o nawierzchni twardej na potrzeby budowy zespołu budynków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mieszkalnych wielorodzinnych z garażami podziemnymi wraz z niezbędną infrastrukturą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 Łodzi przy ul. Warneńczyka jest ostateczna oraz nie zostały wydane decyzje zmieniające ww.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decyzję. </w:t>
      </w:r>
      <w:r>
        <w:rPr>
          <w:rFonts w:ascii="Times New Roman" w:hAnsi="Times New Roman" w:cs="Times New Roman"/>
          <w:sz w:val="24"/>
          <w:szCs w:val="24"/>
        </w:rPr>
        <w:t xml:space="preserve">Odwołanie od ww. decyzji nie zostało uwzględnione przez Samorządowe Kolegium Odwoławcze w Łodzi. Skarga na decyzję organu II instancji została oddalona przez Wojewódzki Sąd Administracyjny w Łodzi. Od wyroku WSA wniesiona została skarga kasacyjna. która nie została dotychczas rozpatrzona przez Naczelny Sąd Administracyjny. </w:t>
      </w:r>
    </w:p>
    <w:p w:rsidR="007701E0" w:rsidRDefault="007701E0" w:rsidP="007701E0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73FB">
        <w:rPr>
          <w:rFonts w:ascii="Times New Roman" w:hAnsi="Times New Roman" w:cs="Times New Roman"/>
          <w:sz w:val="24"/>
          <w:szCs w:val="24"/>
        </w:rPr>
        <w:t>Postępowanie, o którym mowa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przekazywanych pismach stron postępowania, to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procedura prowadzona na podstawie art.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ust.1 ustawy z dnia 7 lipca 1994 r.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budowlane, zgodnie z którym organ administracji architektoniczno-budowlanej sprawdza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zgodność projektu zagospodarowania działki lub terenu oraz projektu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budowlanego z wymaganiami ochrony środowiska, w szczególności określonymi w decyzji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środowiskowych uwarunkowaniach,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której mowa w art. 71 ust. 1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października 2008 r. o udostępnianiu informacji o środowisku i jego ochronie, udziale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społeczeństwa w ochronie środowiska oraz o ocenach oddziaływania na środowisko 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2024 poz. 1112 ze zm.).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Wydział Urbanistyki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Architektury w UMŁ zwrócił się do Wydziału</w:t>
      </w:r>
      <w:r>
        <w:rPr>
          <w:rFonts w:ascii="Times New Roman" w:hAnsi="Times New Roman" w:cs="Times New Roman"/>
          <w:sz w:val="24"/>
          <w:szCs w:val="24"/>
        </w:rPr>
        <w:t xml:space="preserve"> Ochrony Środowiska i Rolnictwa</w:t>
      </w:r>
      <w:r w:rsidRPr="00C173FB">
        <w:rPr>
          <w:rFonts w:ascii="Times New Roman" w:hAnsi="Times New Roman" w:cs="Times New Roman"/>
          <w:sz w:val="24"/>
          <w:szCs w:val="24"/>
        </w:rPr>
        <w:t xml:space="preserve"> z wnioskiem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11.01.2024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r. w sprawie konieczności dokonania zmiany w zakresie rozwiązań technicznych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ww. przedsięwzięcia, a co za tym idzie czy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wprowadzone zmiany wymagają zmiany wydanej już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decyzji środowiskowej. Po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analizie zgromadzonego materiału dowodowego Wydział</w:t>
      </w:r>
      <w:r>
        <w:rPr>
          <w:rFonts w:ascii="Times New Roman" w:hAnsi="Times New Roman" w:cs="Times New Roman"/>
          <w:sz w:val="24"/>
          <w:szCs w:val="24"/>
        </w:rPr>
        <w:t xml:space="preserve"> Ochrony Środowiska i Rolnictwa</w:t>
      </w:r>
      <w:r w:rsidRPr="00C173FB">
        <w:rPr>
          <w:rFonts w:ascii="Times New Roman" w:hAnsi="Times New Roman" w:cs="Times New Roman"/>
          <w:sz w:val="24"/>
          <w:szCs w:val="24"/>
        </w:rPr>
        <w:t xml:space="preserve"> w piśmie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dnia 25.01.2024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r. poinformował – biorąc pod uwagę art.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72 ust. 2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października 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udostępnianiu informacji o środowisku i jego ochronie, udziale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społeczeństwa w ochronie środowiska oraz ocenach oddziaływania na środowisko (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>. 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 2024r. poz. 1112, zwaną dalej ustawą OOŚ) stanowiący, że cyt.: „wymogu uzyskania decyzji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 środowiskowych uwarunkowaniach nie stosuje się w przypadku zmiany charakterystycznych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parametrów obiektu budowlanego, w szczególności: kubatury, powierzchni zabudowy,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wysokości, długości, szerokości i liczby kondygnacji (…)”, że określone we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proponowane zmiany nie będą negatywnie oddziaływać na środowisko oraz nie wpłyną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warunki wykorzystania terenu w fazie realizacji i eksploatacji inwestycji określone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decyzji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27/U/2022.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związku z powyższym zmiana decyzji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środowiskowych uwarunkowaniach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w tym zakresie nie była wymagana.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Kwestia przeprowadzenia ponownej oceny oddziaływania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przedsięwzięcia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środowisko uzależniona jest od wykazania istnienia takiej zmiany zakresu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inwestycji, która powoduje inne zakresowo negatywne oddziaływanie na środowisko niż było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to przedmiotem dotychczasowej oceny oddziaływania na stanowisko zakończonej wydaniem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ostatecznej decyzji środowiskowej. Z uwagi, że decyzja o środowiskowych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uwarunkowaniach jest wydawana na początku procesu zmierzającego do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inwestycji to organ wydający wymaganą w następnej kolejności prawem decyzję,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przypadku – organ administracji architektoniczno-budowlanej w oparciu o art. 35 ust.1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 xml:space="preserve">z dnia 7 lipca 1994 r. Prawo budowlane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73FB">
        <w:rPr>
          <w:rFonts w:ascii="Times New Roman" w:hAnsi="Times New Roman" w:cs="Times New Roman"/>
          <w:sz w:val="24"/>
          <w:szCs w:val="24"/>
        </w:rPr>
        <w:t>Dz.U.2024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 xml:space="preserve">r. poz.725 </w:t>
      </w:r>
      <w:proofErr w:type="spellStart"/>
      <w:r w:rsidRPr="00C173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73FB">
        <w:rPr>
          <w:rFonts w:ascii="Times New Roman" w:hAnsi="Times New Roman" w:cs="Times New Roman"/>
          <w:sz w:val="24"/>
          <w:szCs w:val="24"/>
        </w:rPr>
        <w:t>.) - sprawdza zgodność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zagospodarowania działki lub terenu oraz projektu architektoniczno-budowlanego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wymaganiami ochrony środowiska,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szczególności określonymi w decyzji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środowiskowych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uwarunkowaniach, o której mowa w art. 71 ust. 1 ustawy OOŚ.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1E0" w:rsidRDefault="007701E0" w:rsidP="007701E0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73FB">
        <w:rPr>
          <w:rFonts w:ascii="Times New Roman" w:hAnsi="Times New Roman" w:cs="Times New Roman"/>
          <w:sz w:val="24"/>
          <w:szCs w:val="24"/>
        </w:rPr>
        <w:t>Reasumując,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zestawienia powyższych okoliczności wynika bezsprzecznie, że decyzja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73FB">
        <w:rPr>
          <w:rFonts w:ascii="Times New Roman" w:hAnsi="Times New Roman" w:cs="Times New Roman"/>
          <w:sz w:val="24"/>
          <w:szCs w:val="24"/>
        </w:rPr>
        <w:t>środowiskowych uwarunkowaniach została wydana w oparciu o zebrany materiał dowodowy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na czas rozpatrywanej sprawy oraz uwzględniała w swojej treści uwarunkowania mające na cel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FB">
        <w:rPr>
          <w:rFonts w:ascii="Times New Roman" w:hAnsi="Times New Roman" w:cs="Times New Roman"/>
          <w:sz w:val="24"/>
          <w:szCs w:val="24"/>
        </w:rPr>
        <w:t>ochronę powierzchni ziemi i gleby związanej z planowanym zamierzeniem inwestycyjnym.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1E0" w:rsidRDefault="007701E0" w:rsidP="007701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1E0" w:rsidRPr="008A1449" w:rsidRDefault="007701E0" w:rsidP="007701E0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7701E0" w:rsidRPr="00930440" w:rsidRDefault="007701E0" w:rsidP="007701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1E0" w:rsidRPr="00930440" w:rsidRDefault="007701E0" w:rsidP="007701E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7701E0" w:rsidRPr="00930440" w:rsidRDefault="007701E0" w:rsidP="007701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701E0" w:rsidRPr="00930440" w:rsidRDefault="007701E0" w:rsidP="007701E0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930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BA47D7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E0"/>
    <w:rsid w:val="001A7B09"/>
    <w:rsid w:val="007701E0"/>
    <w:rsid w:val="00776C89"/>
    <w:rsid w:val="00BA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3FD13-367B-4120-88E0-41281FD1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2034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2025-02-06T10:48:00Z</dcterms:created>
  <dcterms:modified xsi:type="dcterms:W3CDTF">2025-02-06T10:48:00Z</dcterms:modified>
</cp:coreProperties>
</file>