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B3E" w:rsidRDefault="00A77B3E">
      <w:pPr>
        <w:ind w:left="6236"/>
        <w:jc w:val="left"/>
        <w:rPr>
          <w:b/>
          <w:i/>
          <w:u w:val="thick"/>
        </w:rPr>
      </w:pPr>
    </w:p>
    <w:p w:rsidR="00A77B3E" w:rsidRDefault="00A77B3E">
      <w:pPr>
        <w:ind w:left="6236"/>
        <w:jc w:val="left"/>
        <w:rPr>
          <w:b/>
          <w:i/>
          <w:u w:val="thick"/>
        </w:rPr>
      </w:pPr>
    </w:p>
    <w:p w:rsidR="00A77B3E" w:rsidRDefault="00656BAC">
      <w:pPr>
        <w:ind w:left="6236"/>
        <w:jc w:val="left"/>
      </w:pPr>
      <w:r>
        <w:t>Druk Nr</w:t>
      </w:r>
      <w:r w:rsidR="000539CA">
        <w:t xml:space="preserve"> 71/2025</w:t>
      </w:r>
    </w:p>
    <w:p w:rsidR="00A77B3E" w:rsidRDefault="00656BAC">
      <w:pPr>
        <w:ind w:left="6236"/>
        <w:jc w:val="left"/>
      </w:pPr>
      <w:r>
        <w:t>Projekt z dnia</w:t>
      </w:r>
      <w:r w:rsidR="000539CA">
        <w:t xml:space="preserve"> 04.04.2025 r.</w:t>
      </w:r>
    </w:p>
    <w:p w:rsidR="00A77B3E" w:rsidRDefault="00A77B3E">
      <w:pPr>
        <w:ind w:left="6236"/>
        <w:jc w:val="left"/>
      </w:pPr>
    </w:p>
    <w:p w:rsidR="00A77B3E" w:rsidRDefault="00656BAC">
      <w:pPr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:rsidR="00A77B3E" w:rsidRDefault="00656BAC">
      <w:pPr>
        <w:spacing w:before="240" w:after="240"/>
        <w:rPr>
          <w:b/>
          <w:caps/>
        </w:rPr>
      </w:pPr>
      <w:r>
        <w:rPr>
          <w:b/>
        </w:rPr>
        <w:t>z dnia                      2025 r.</w:t>
      </w:r>
    </w:p>
    <w:p w:rsidR="00A77B3E" w:rsidRDefault="00656BAC">
      <w:pPr>
        <w:keepNext/>
        <w:spacing w:after="480"/>
      </w:pPr>
      <w:r>
        <w:rPr>
          <w:b/>
        </w:rPr>
        <w:t>w sprawie ustalenia lokalizacji inwestycji mieszkaniowej</w:t>
      </w:r>
      <w:r>
        <w:rPr>
          <w:b/>
        </w:rPr>
        <w:br/>
        <w:t>przy ul. Rewolucji 1905 r. nr 61 w Łodzi.</w:t>
      </w:r>
    </w:p>
    <w:p w:rsidR="00A77B3E" w:rsidRDefault="00656BAC">
      <w:pPr>
        <w:keepLines/>
        <w:spacing w:before="120" w:after="120"/>
        <w:ind w:firstLine="567"/>
        <w:jc w:val="both"/>
      </w:pPr>
      <w:r>
        <w:t>Na podstawie art. 18 ust. 2 </w:t>
      </w:r>
      <w:proofErr w:type="spellStart"/>
      <w:r>
        <w:t>pkt</w:t>
      </w:r>
      <w:proofErr w:type="spellEnd"/>
      <w:r>
        <w:t> 15 </w:t>
      </w:r>
      <w:r>
        <w:t>ustawy z dnia 8 marca 1990 r. o samorządzie gminnym (Dz. U. z 2024 r. poz. 1465, 1572, 1907 i 1940) oraz art. 7 ust. 4 i art. 8 ust. 1-3 ustawy z dnia 5 lipca 2018 r. o ułatwieniach w przygotowaniu i realizacji inwestycji mieszkaniowych oraz inwestycji tow</w:t>
      </w:r>
      <w:r>
        <w:t>arzyszących (Dz. U. z 2024 r. poz. 195), Rada Miejska w Łodzi</w:t>
      </w:r>
    </w:p>
    <w:p w:rsidR="00A77B3E" w:rsidRDefault="00656BAC">
      <w:pPr>
        <w:spacing w:before="120" w:after="120"/>
        <w:rPr>
          <w:b/>
        </w:rPr>
      </w:pPr>
      <w:r>
        <w:rPr>
          <w:b/>
        </w:rPr>
        <w:t>uchwala, co następuje:</w:t>
      </w:r>
    </w:p>
    <w:p w:rsidR="00A77B3E" w:rsidRDefault="00656BAC">
      <w:pPr>
        <w:keepLines/>
        <w:spacing w:before="240" w:after="120"/>
        <w:ind w:firstLine="567"/>
        <w:jc w:val="both"/>
      </w:pPr>
      <w:r>
        <w:t>§ 1. </w:t>
      </w:r>
      <w:r>
        <w:t>Ustala się na rzecz wnioskodawcy Trust Investment Projekt 26 sp. z o.o. z siedzibą w Kielcach lokalizację inwestycji mieszkaniowej polegającej na budowie dwóch budynk</w:t>
      </w:r>
      <w:r>
        <w:t>ów mieszkalnych wielorodzinnych z garażami podziemnymi i częścią garażową w parterze oraz niezbędną infrastrukturą techniczną, na działkach nr 152/2 i 159/2 w obrębie S-2 przy ul. Rewolucji 1905 r. nr 61 w Łodzi.</w:t>
      </w:r>
    </w:p>
    <w:p w:rsidR="00A77B3E" w:rsidRDefault="00656BAC">
      <w:pPr>
        <w:keepLines/>
        <w:spacing w:before="240" w:after="120"/>
        <w:ind w:firstLine="567"/>
        <w:jc w:val="both"/>
      </w:pPr>
      <w:r>
        <w:t>§ 2. </w:t>
      </w:r>
      <w:r>
        <w:t>Określa się granice terenu objętego in</w:t>
      </w:r>
      <w:r>
        <w:t>westycją mieszkaniową przedstawione na kopii mapy zasadniczej w skali 1:1000 oznaczone linią przerywaną koloru czerwonego opisane literami kolejno od A do D – zgodnie z załącznikiem Nr 1 do uchwały.</w:t>
      </w:r>
    </w:p>
    <w:p w:rsidR="00A77B3E" w:rsidRDefault="00656BAC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3. </w:t>
      </w:r>
      <w:r>
        <w:t>Określa się minimalną łączną powierzchnię użytkową m</w:t>
      </w:r>
      <w:r>
        <w:t>ieszkań – 12500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i maksymalną łączną powierzchnię użytkową mieszkań – 13500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:rsidR="00A77B3E" w:rsidRDefault="00656BAC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4. </w:t>
      </w:r>
      <w:r>
        <w:rPr>
          <w:color w:val="000000"/>
          <w:u w:color="000000"/>
        </w:rPr>
        <w:t>Określa się minimalną liczbę mieszkań – 280 i maksymalną liczbę mieszkań – 330.</w:t>
      </w:r>
    </w:p>
    <w:p w:rsidR="00A77B3E" w:rsidRDefault="00656BAC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5. </w:t>
      </w:r>
      <w:r>
        <w:rPr>
          <w:color w:val="000000"/>
          <w:u w:color="000000"/>
        </w:rPr>
        <w:t xml:space="preserve">W ramach inwestycji mieszkaniowej nie przewiduje się powierzchni użytkowej </w:t>
      </w:r>
      <w:r>
        <w:rPr>
          <w:color w:val="000000"/>
          <w:u w:color="000000"/>
        </w:rPr>
        <w:t>przeznaczonej na działalność handlową i usługową.</w:t>
      </w:r>
    </w:p>
    <w:p w:rsidR="00A77B3E" w:rsidRDefault="00656BAC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6. </w:t>
      </w:r>
      <w:r>
        <w:rPr>
          <w:color w:val="000000"/>
          <w:u w:color="000000"/>
        </w:rPr>
        <w:t>Określa się zmiany w dotychczasowym sposobie zagospodarowania i uzbrojeniu terenu polegające na:</w:t>
      </w:r>
    </w:p>
    <w:p w:rsidR="00A77B3E" w:rsidRDefault="00656BA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rozbiórce istniejących budynków o funkcji: mieszkaniowej, handlowo-usługowej, magazynowej oraz określ</w:t>
      </w:r>
      <w:r>
        <w:rPr>
          <w:color w:val="000000"/>
          <w:u w:color="000000"/>
        </w:rPr>
        <w:t>onych jako pozostałe budynki niemieszkalne, a także obiektów tymczasowych, ogrodzeń i nawierzchni utwardzonych;</w:t>
      </w:r>
    </w:p>
    <w:p w:rsidR="00A77B3E" w:rsidRDefault="00656BA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budowie dwóch budynków mieszkalnych wielorodzinnych z garażami podziemnymi i częścią garażową w parterze wraz z niezbędna infrastrukturą tech</w:t>
      </w:r>
      <w:r>
        <w:rPr>
          <w:color w:val="000000"/>
          <w:u w:color="000000"/>
        </w:rPr>
        <w:t>niczną;</w:t>
      </w:r>
    </w:p>
    <w:p w:rsidR="00A77B3E" w:rsidRDefault="00656BA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organizacji komunikacji kołowej i pieszej oraz budowie miejsc parkingowych naziemnych;</w:t>
      </w:r>
    </w:p>
    <w:p w:rsidR="00A77B3E" w:rsidRDefault="00656BA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demontażu istniejących sieci infrastruktury technicznej w tym gazowej i budowie, przebudowie i rozbudowie niezbędnego uzbrojenia terenu tzn. sieci wodociąg</w:t>
      </w:r>
      <w:r>
        <w:rPr>
          <w:color w:val="000000"/>
          <w:u w:color="000000"/>
        </w:rPr>
        <w:t>owej, kanalizacji sanitarnej, deszczowej i ogólnospławnej, elektroenergetycznej i cieplnej, zgodnie z warunkami technicznymi wydanymi przez gestorów sieci na potrzeby budynków objętych wnioskiem.</w:t>
      </w:r>
    </w:p>
    <w:p w:rsidR="00A77B3E" w:rsidRDefault="00656BAC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lastRenderedPageBreak/>
        <w:t>§ 7. </w:t>
      </w:r>
      <w:r>
        <w:rPr>
          <w:color w:val="000000"/>
          <w:u w:color="000000"/>
        </w:rPr>
        <w:t>Określa się powiązanie inwestycji mieszkaniowej z istni</w:t>
      </w:r>
      <w:r>
        <w:rPr>
          <w:color w:val="000000"/>
          <w:u w:color="000000"/>
        </w:rPr>
        <w:t>ejącym i planowanym uzbrojeniem terenu:</w:t>
      </w:r>
    </w:p>
    <w:p w:rsidR="00A77B3E" w:rsidRDefault="00656BA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woda z wodociągu miejskiego z ul. Rewolucji 1905 r. i ul. Jaracza zgodnie z warunkami technicznymi właściwego gestora sieci;</w:t>
      </w:r>
    </w:p>
    <w:p w:rsidR="00A77B3E" w:rsidRDefault="00656BA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ścieki do miejskiej kanalizacji ogólnospławnej z ul. Rewolucji 1905 r. i ul. Jaracza </w:t>
      </w:r>
      <w:r>
        <w:rPr>
          <w:color w:val="000000"/>
          <w:u w:color="000000"/>
        </w:rPr>
        <w:t>zgodnie z warunkami technicznymi właściwego gestora sieci;</w:t>
      </w:r>
    </w:p>
    <w:p w:rsidR="00A77B3E" w:rsidRDefault="00656BA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wody opadowe odprowadzane do sieci kanalizacji deszczowej zlokalizowanej na terenie objętym wnioskiem, z odprowadzeniem do kanalizacji ogólnospławnej w ul. Rewolucji 1905 r. i ul. Jaracza, zgodn</w:t>
      </w:r>
      <w:r>
        <w:rPr>
          <w:color w:val="000000"/>
          <w:u w:color="000000"/>
        </w:rPr>
        <w:t>ie z warunkami technicznymi właściwego gestora sieci;</w:t>
      </w:r>
    </w:p>
    <w:p w:rsidR="00A77B3E" w:rsidRDefault="00656BA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ciepło z miejskiej sieci ciepła systemowego przecinającej ul. Jaracza, zgodnie z warunkami technicznymi właściwego gestora sieci;</w:t>
      </w:r>
    </w:p>
    <w:p w:rsidR="00A77B3E" w:rsidRDefault="00656BA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energia elektryczna z sieci elektroenergetycznej, zgodnie z warunk</w:t>
      </w:r>
      <w:r>
        <w:rPr>
          <w:color w:val="000000"/>
          <w:u w:color="000000"/>
        </w:rPr>
        <w:t>ami technicznymi właściwego gestora sieci.</w:t>
      </w:r>
    </w:p>
    <w:p w:rsidR="00A77B3E" w:rsidRDefault="00656BAC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8. </w:t>
      </w:r>
      <w:r>
        <w:rPr>
          <w:color w:val="000000"/>
          <w:u w:color="000000"/>
        </w:rPr>
        <w:t>Charakterystyka inwestycji mieszkaniowej:</w:t>
      </w:r>
    </w:p>
    <w:p w:rsidR="00A77B3E" w:rsidRDefault="00656BA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określa się zapotrzebowanie na wodę, energię oraz sposób odprowadzania lub oczyszczania ścieków, a także inne potrzeby w zakresie uzbrojenia terenu, niezbędną licz</w:t>
      </w:r>
      <w:r>
        <w:rPr>
          <w:color w:val="000000"/>
          <w:u w:color="000000"/>
        </w:rPr>
        <w:t>bę miejsc postojowych, jak również sposób zagospodarowywania odpadów:</w:t>
      </w:r>
    </w:p>
    <w:p w:rsidR="00A77B3E" w:rsidRDefault="00656BA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woda z wodociągu miejskiego do celów bytowych i celów przeciwpożarowych – do 50,4 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>/dobę,</w:t>
      </w:r>
    </w:p>
    <w:p w:rsidR="00A77B3E" w:rsidRDefault="00656BA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ścieki bytowe do kanalizacji miejskiej – do 50,4 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>/dobę,</w:t>
      </w:r>
    </w:p>
    <w:p w:rsidR="00A77B3E" w:rsidRDefault="00656BA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wody opadowe lub roztopowe w</w:t>
      </w:r>
      <w:r>
        <w:rPr>
          <w:color w:val="000000"/>
          <w:u w:color="000000"/>
        </w:rPr>
        <w:t> maksymalnej ilości do 10 dm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>/s odprowadzane do kanalizacji ogólnospławnej,</w:t>
      </w:r>
    </w:p>
    <w:p w:rsidR="00A77B3E" w:rsidRDefault="00656BA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 xml:space="preserve">energia elektryczna z sieci miejskiej – maksymalnie 795,4 </w:t>
      </w:r>
      <w:proofErr w:type="spellStart"/>
      <w:r>
        <w:rPr>
          <w:color w:val="000000"/>
          <w:u w:color="000000"/>
        </w:rPr>
        <w:t>kW</w:t>
      </w:r>
      <w:proofErr w:type="spellEnd"/>
      <w:r>
        <w:rPr>
          <w:color w:val="000000"/>
          <w:u w:color="000000"/>
        </w:rPr>
        <w:t>,</w:t>
      </w:r>
    </w:p>
    <w:p w:rsidR="00A77B3E" w:rsidRDefault="00656BA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ciepło z sieci miejskiej – maksymalnie 740 </w:t>
      </w:r>
      <w:proofErr w:type="spellStart"/>
      <w:r>
        <w:rPr>
          <w:color w:val="000000"/>
          <w:u w:color="000000"/>
        </w:rPr>
        <w:t>kW</w:t>
      </w:r>
      <w:proofErr w:type="spellEnd"/>
      <w:r>
        <w:rPr>
          <w:color w:val="000000"/>
          <w:u w:color="000000"/>
        </w:rPr>
        <w:t>,</w:t>
      </w:r>
    </w:p>
    <w:p w:rsidR="00A77B3E" w:rsidRDefault="00656BA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>minimalna łączna liczba miejsc postojowych, powinna być zgodna</w:t>
      </w:r>
      <w:r>
        <w:rPr>
          <w:color w:val="000000"/>
          <w:u w:color="000000"/>
        </w:rPr>
        <w:t xml:space="preserve"> w zakresie obsługi mieszkań z art. 17 ust. 4d </w:t>
      </w:r>
      <w:proofErr w:type="spellStart"/>
      <w:r>
        <w:rPr>
          <w:color w:val="000000"/>
          <w:u w:color="000000"/>
        </w:rPr>
        <w:t>pkt</w:t>
      </w:r>
      <w:proofErr w:type="spellEnd"/>
      <w:r>
        <w:rPr>
          <w:color w:val="000000"/>
          <w:u w:color="000000"/>
        </w:rPr>
        <w:t> 2 ustawy z dnia 5 lipca 2018 r. o ułatwieniach w przygotowaniu i realizacji inwestycji mieszkaniowych oraz inwestycji towarzyszących, czyli być co najmniej równa liczbie mieszkań przewidzianej do realizacj</w:t>
      </w:r>
      <w:r>
        <w:rPr>
          <w:color w:val="000000"/>
          <w:u w:color="000000"/>
        </w:rPr>
        <w:t>i inwestycji mieszkaniowej,</w:t>
      </w:r>
    </w:p>
    <w:p w:rsidR="00A77B3E" w:rsidRDefault="00656BA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g) </w:t>
      </w:r>
      <w:r>
        <w:rPr>
          <w:color w:val="000000"/>
          <w:u w:color="000000"/>
        </w:rPr>
        <w:t>odpady komunalne będą segregowane i wywożone zgodnie z Regulaminem utrzymania czystości i porządku na terenie Miasta Łodzi;</w:t>
      </w:r>
    </w:p>
    <w:p w:rsidR="00A77B3E" w:rsidRDefault="00656BA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określa się planowany sposób zagospodarowania terenu oraz charakterystykę zabudowy i zagospodarowa</w:t>
      </w:r>
      <w:r>
        <w:rPr>
          <w:color w:val="000000"/>
          <w:u w:color="000000"/>
        </w:rPr>
        <w:t>nia terenu, w tym przeznaczenie projektowanych obiektów budowlanych, przedstawione w formie opisowej i graficznej:</w:t>
      </w:r>
    </w:p>
    <w:p w:rsidR="00A77B3E" w:rsidRDefault="00656BA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sposób zagospodarowania terenu:</w:t>
      </w:r>
    </w:p>
    <w:p w:rsidR="00A77B3E" w:rsidRDefault="00656BAC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>planuje się budowę dwóch budynków mieszkalnych wielorodzinnych z garażami podziemnymi i częścią garażow</w:t>
      </w:r>
      <w:r>
        <w:rPr>
          <w:color w:val="000000"/>
          <w:u w:color="000000"/>
        </w:rPr>
        <w:t>ą w parterze wraz z układem komunikacji wewnętrznej oraz budową urządzeń budowlanych i instalacji zewnętrznych; budynki o zróżnicowanej liczbie kondygnacji i wysokości: budynek frontowy od strony ul. Rewolucji 1905 roku o wysokości do 13 m z wycofaniem pła</w:t>
      </w:r>
      <w:r>
        <w:rPr>
          <w:color w:val="000000"/>
          <w:u w:color="000000"/>
        </w:rPr>
        <w:t>szczyzny elewacji o minimum 1,5 m od płaszczyzny elewacji frontowej – o wysokości 20 m i 7 kondygnacjach oraz budynek w głębi działki o maksymalnej wysokości do 24 m i 8 kondygnacjach,</w:t>
      </w:r>
    </w:p>
    <w:p w:rsidR="00A77B3E" w:rsidRDefault="00656BAC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lastRenderedPageBreak/>
        <w:t>- </w:t>
      </w:r>
      <w:r>
        <w:rPr>
          <w:color w:val="000000"/>
          <w:u w:color="000000"/>
        </w:rPr>
        <w:t>zagospodarowanie terenu w granicach objętych wnioskiem: utwardzone ci</w:t>
      </w:r>
      <w:r>
        <w:rPr>
          <w:color w:val="000000"/>
          <w:u w:color="000000"/>
        </w:rPr>
        <w:t>ągi piesze i pieszo-jezdne, zewnętrzne miejsca parkingowe, tereny zieleni urządzonej wraz z elementami małej architektury i oświetlenia terenu,  pochylnie wjazdowe do garaży, pochylnie i schody zewnętrzne,</w:t>
      </w:r>
    </w:p>
    <w:p w:rsidR="00A77B3E" w:rsidRDefault="00656BAC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dostęp do drogi publicznej przez projektowany, z</w:t>
      </w:r>
      <w:r>
        <w:rPr>
          <w:color w:val="000000"/>
          <w:u w:color="000000"/>
        </w:rPr>
        <w:t>lokalizowany przy granicy działki nr 152/2 w obrębie S-2 zjazd z pasa drogowego ul. Rewolucji 1905 r., funkcjonujący wyłącznie w relacjach prawoskrętnych, pod warunkami:</w:t>
      </w:r>
    </w:p>
    <w:p w:rsidR="00A77B3E" w:rsidRDefault="00656BAC">
      <w:pPr>
        <w:keepLines/>
        <w:spacing w:before="120" w:after="120"/>
        <w:ind w:left="1020" w:hanging="227"/>
        <w:jc w:val="both"/>
        <w:rPr>
          <w:color w:val="000000"/>
          <w:u w:color="000000"/>
        </w:rPr>
      </w:pPr>
      <w:r>
        <w:t>-- </w:t>
      </w:r>
      <w:r>
        <w:rPr>
          <w:color w:val="000000"/>
          <w:u w:color="000000"/>
        </w:rPr>
        <w:t xml:space="preserve">rozwiązania kolizji projektowanego zjazdu z drzewem rosnącym w pasie drogowym ul. </w:t>
      </w:r>
      <w:r>
        <w:rPr>
          <w:color w:val="000000"/>
          <w:u w:color="000000"/>
        </w:rPr>
        <w:t xml:space="preserve">Rewolucji 1905 r., poprzez uzyskanie stosownych </w:t>
      </w:r>
      <w:proofErr w:type="spellStart"/>
      <w:r>
        <w:rPr>
          <w:color w:val="000000"/>
          <w:u w:color="000000"/>
        </w:rPr>
        <w:t>zgód</w:t>
      </w:r>
      <w:proofErr w:type="spellEnd"/>
      <w:r>
        <w:rPr>
          <w:color w:val="000000"/>
          <w:u w:color="000000"/>
        </w:rPr>
        <w:t xml:space="preserve"> w Wydziale Kształtowania Środowiska w Departamencie Ekologii i Klimatu Urzędu Miasta Łodzi oraz Zarządzie Zieleni Miejskiej w Łodzi,</w:t>
      </w:r>
    </w:p>
    <w:p w:rsidR="00A77B3E" w:rsidRDefault="00656BAC">
      <w:pPr>
        <w:keepLines/>
        <w:spacing w:before="120" w:after="120"/>
        <w:ind w:left="1020" w:hanging="227"/>
        <w:jc w:val="both"/>
        <w:rPr>
          <w:color w:val="000000"/>
          <w:u w:color="000000"/>
        </w:rPr>
      </w:pPr>
      <w:r>
        <w:t>-- </w:t>
      </w:r>
      <w:r>
        <w:rPr>
          <w:color w:val="000000"/>
          <w:u w:color="000000"/>
        </w:rPr>
        <w:t>geometrię planowanego zjazdu należy zaprojektować w taki sposób, ab</w:t>
      </w:r>
      <w:r>
        <w:rPr>
          <w:color w:val="000000"/>
          <w:u w:color="000000"/>
        </w:rPr>
        <w:t>y nie wchodził on w światło nieruchomości sąsiedniej, tj. działki nr 153/2 w obrębie S-2, dążąc do ograniczenia szerokości zjazdów w strefie śródmiejskiej, by zminimalizować potencjalny obszar kolizji, poprzez zaprojektowanie azylu między istniejącym zjazd</w:t>
      </w:r>
      <w:r>
        <w:rPr>
          <w:color w:val="000000"/>
          <w:u w:color="000000"/>
        </w:rPr>
        <w:t>em na teren działki nr 153/2 w obrębie S-2, a nowo projektowanym zjazdem w celu zapewnienia bezpieczeństwa ruchu pieszych, hulajnóg elektrycznych oraz urządzeń transportu osobistego, dla tych użytkowników pasa drogowego,</w:t>
      </w:r>
    </w:p>
    <w:p w:rsidR="00A77B3E" w:rsidRDefault="00656BAC">
      <w:pPr>
        <w:keepLines/>
        <w:spacing w:before="120" w:after="120"/>
        <w:ind w:left="1020" w:hanging="227"/>
        <w:jc w:val="both"/>
        <w:rPr>
          <w:color w:val="000000"/>
          <w:u w:color="000000"/>
        </w:rPr>
      </w:pPr>
      <w:r>
        <w:t>-- </w:t>
      </w:r>
      <w:r>
        <w:rPr>
          <w:color w:val="000000"/>
          <w:u w:color="000000"/>
        </w:rPr>
        <w:t>projektowany zjazd należy wykona</w:t>
      </w:r>
      <w:r>
        <w:rPr>
          <w:color w:val="000000"/>
          <w:u w:color="000000"/>
        </w:rPr>
        <w:t>ć z materiałów analogicznych, jakie zostały użyte do wykonania innych zjazdów podczas przebudowy ulicy, istniejący zjazd z pasa drogowego ul. Rewolucji 1905 r. na dz. nr 152/2 w obrębie S-2 należy zlikwidować, a w jego miejsce odtworzyć elementy pasa drogo</w:t>
      </w:r>
      <w:r>
        <w:rPr>
          <w:color w:val="000000"/>
          <w:u w:color="000000"/>
        </w:rPr>
        <w:t>wego w nawiązaniu do istniejącego sposobu zagospodarowania</w:t>
      </w:r>
    </w:p>
    <w:p w:rsidR="00A77B3E" w:rsidRDefault="00F024AD">
      <w:pPr>
        <w:keepLines/>
        <w:spacing w:before="120" w:after="120"/>
        <w:ind w:left="907" w:hanging="113"/>
        <w:jc w:val="both"/>
        <w:rPr>
          <w:color w:val="000000"/>
          <w:u w:color="000000"/>
        </w:rPr>
      </w:pPr>
      <w:fldSimple w:instr="MERGEFIELD COMMONPART_OF_2DASHES \* MERGEFORMAT">
        <w:r w:rsidR="00656BAC">
          <w:t>– </w:t>
        </w:r>
      </w:fldSimple>
      <w:r w:rsidR="00656BAC">
        <w:rPr>
          <w:color w:val="000000"/>
          <w:u w:color="000000"/>
        </w:rPr>
        <w:t>zgodnie z postanowieniem Zarządu Dróg i Transportu nr ZDiT-UU.40121.4.7.2025 z dnia 10.03.2025 r.,</w:t>
      </w:r>
    </w:p>
    <w:p w:rsidR="00A77B3E" w:rsidRDefault="00656BAC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>planowany sposób zagospodarowania terenu ok</w:t>
      </w:r>
      <w:r>
        <w:rPr>
          <w:color w:val="000000"/>
          <w:u w:color="000000"/>
        </w:rPr>
        <w:t>reśla załącznik Nr 2 do uchwały,</w:t>
      </w:r>
    </w:p>
    <w:p w:rsidR="00A77B3E" w:rsidRDefault="00656BA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charakterystyka i przeznaczenie zabudowy:</w:t>
      </w:r>
    </w:p>
    <w:p w:rsidR="00A77B3E" w:rsidRDefault="00656BAC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zabudowa mieszkaniowa wielorodzinna zlokalizowana w kwartale zabudowy śródmiejskiej,</w:t>
      </w:r>
    </w:p>
    <w:p w:rsidR="00A77B3E" w:rsidRDefault="00656BAC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miejsca parkingowe będą zapewnione w garażu podziemnym, garażu na parterze, a także na te</w:t>
      </w:r>
      <w:r>
        <w:rPr>
          <w:color w:val="000000"/>
          <w:u w:color="000000"/>
        </w:rPr>
        <w:t>renie objętym wnioskiem;</w:t>
      </w:r>
    </w:p>
    <w:p w:rsidR="00A77B3E" w:rsidRDefault="00656BA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określa się charakterystyczne parametry techniczne inwestycji mieszkaniowej oraz dane charakteryzujące jej wpływ na środowisko (w myśl ustawy z dnia 3 października 2008 r. o udostępnianiu informacji o środowisku i jego ochronie,</w:t>
      </w:r>
      <w:r>
        <w:rPr>
          <w:color w:val="000000"/>
          <w:u w:color="000000"/>
        </w:rPr>
        <w:t xml:space="preserve"> udziale społeczeństwa w ochronie środowiska oraz o ocenach oddziaływania na środowisko, Dz. U. z 2024 r. poz. 1112, 1881 i 1940):</w:t>
      </w:r>
    </w:p>
    <w:p w:rsidR="00A77B3E" w:rsidRDefault="00656BA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charakterystyczne parametry techniczne:</w:t>
      </w:r>
    </w:p>
    <w:p w:rsidR="00A77B3E" w:rsidRDefault="00656BAC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powierzchnia zabudowy (nadziemnej) – od 2400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do 2600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:rsidR="00A77B3E" w:rsidRDefault="00656BAC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wysokość zabudowy </w:t>
      </w:r>
      <w:r>
        <w:rPr>
          <w:color w:val="000000"/>
          <w:u w:color="000000"/>
        </w:rPr>
        <w:t xml:space="preserve">– w pierzei ul. Rewolucji 1905 roku, w nawiązaniu do wysokości zabudowy historycznej o wysokości do 13 m z wycofaniem płaszczyzny elewacji o minimum 1,5 m od płaszczyzny elewacji frontowej, nie wyżej niż 21 m i wysokość zabudowy wewnątrz kwartału do 24 m, </w:t>
      </w:r>
      <w:r>
        <w:rPr>
          <w:color w:val="000000"/>
          <w:u w:color="000000"/>
        </w:rPr>
        <w:t>liczba kondygnacji nadziemnych – do 8,</w:t>
      </w:r>
    </w:p>
    <w:p w:rsidR="00A77B3E" w:rsidRDefault="00656BAC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kształt dachu i kąt nachylenia połaci dachowej – dach płaski, maksymalny kąt nachylenia połaci dachowych do 2º,</w:t>
      </w:r>
    </w:p>
    <w:p w:rsidR="00A77B3E" w:rsidRDefault="00656BAC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powierzchnia biologicznie czynna –  od 1350 do 1500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:rsidR="00A77B3E" w:rsidRDefault="00656BAC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lastRenderedPageBreak/>
        <w:t>- </w:t>
      </w:r>
      <w:r>
        <w:rPr>
          <w:color w:val="000000"/>
          <w:u w:color="000000"/>
        </w:rPr>
        <w:t>linia zabudowy dla projektowanej inwestycji</w:t>
      </w:r>
      <w:r>
        <w:rPr>
          <w:color w:val="000000"/>
          <w:u w:color="000000"/>
        </w:rPr>
        <w:t xml:space="preserve"> od strony ul. Rewolucji 1905 roku na przedłużeniu linii zabudowy budynku sąsiedniego zlokalizowanego na działce nr 151/8 w obrębie S-2,  co przedstawia załącznik Nr 2 do uchwały,</w:t>
      </w:r>
    </w:p>
    <w:p w:rsidR="00A77B3E" w:rsidRDefault="00656BA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zgodnie z rozporządzeniem Rady Ministrów z dnia 10 września 2019 r. w spr</w:t>
      </w:r>
      <w:r>
        <w:rPr>
          <w:color w:val="000000"/>
          <w:u w:color="000000"/>
        </w:rPr>
        <w:t>awie przedsięwzięć mogących znacząco oddziaływać na środowisko (Dz. U. poz. 1839, z 2022 r. poz. 1071 oraz z 2023 r. poz. 1724) projektowana inwestycja nie została sklasyfikowana jako inwestycja mogąca potencjalnie lub zawsze znacząco oddziaływać na środow</w:t>
      </w:r>
      <w:r>
        <w:rPr>
          <w:color w:val="000000"/>
          <w:u w:color="000000"/>
        </w:rPr>
        <w:t>isko – planowana powierzchnia zabudowy mieszkaniowej nie przekroczy 2 ha, o których  mowa w § 3 ust. 1 </w:t>
      </w:r>
      <w:proofErr w:type="spellStart"/>
      <w:r>
        <w:rPr>
          <w:color w:val="000000"/>
          <w:u w:color="000000"/>
        </w:rPr>
        <w:t>pkt</w:t>
      </w:r>
      <w:proofErr w:type="spellEnd"/>
      <w:r>
        <w:rPr>
          <w:color w:val="000000"/>
          <w:u w:color="000000"/>
        </w:rPr>
        <w:t> 55 lit. b tiret drugie rozporządzenia, jak również powierzchnia użytkowa projektowanego garażu nie przekroczy 1,0 ha, o którym mowa w § 3 ust. 1 </w:t>
      </w:r>
      <w:proofErr w:type="spellStart"/>
      <w:r>
        <w:rPr>
          <w:color w:val="000000"/>
          <w:u w:color="000000"/>
        </w:rPr>
        <w:t>pkt</w:t>
      </w:r>
      <w:proofErr w:type="spellEnd"/>
      <w:r>
        <w:rPr>
          <w:color w:val="000000"/>
          <w:u w:color="000000"/>
        </w:rPr>
        <w:t> </w:t>
      </w:r>
      <w:r>
        <w:rPr>
          <w:color w:val="000000"/>
          <w:u w:color="000000"/>
        </w:rPr>
        <w:t>58 lit. b rozporządzenia.</w:t>
      </w:r>
    </w:p>
    <w:p w:rsidR="00A77B3E" w:rsidRDefault="00656BAC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9. </w:t>
      </w:r>
      <w:r>
        <w:rPr>
          <w:color w:val="000000"/>
          <w:u w:color="000000"/>
        </w:rPr>
        <w:t>Obiekty objęte inwestycją mieszkaniową będą zlokalizowane na następujących nieruchomościach, wskazanych według katastru nieruchomości oraz księgi wieczystej:</w:t>
      </w:r>
    </w:p>
    <w:p w:rsidR="00A77B3E" w:rsidRDefault="00656BA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na działce nr 152/2, obręb S-2 – KW LD1M/00080353/7;</w:t>
      </w:r>
    </w:p>
    <w:p w:rsidR="00A77B3E" w:rsidRDefault="00656BA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na </w:t>
      </w:r>
      <w:r>
        <w:rPr>
          <w:color w:val="000000"/>
          <w:u w:color="000000"/>
        </w:rPr>
        <w:t>działce nr 159/2, obręb S-2 – KW LD1M/00263274/6.</w:t>
      </w:r>
    </w:p>
    <w:p w:rsidR="00A77B3E" w:rsidRDefault="00656BAC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10. </w:t>
      </w:r>
      <w:r>
        <w:rPr>
          <w:color w:val="000000"/>
          <w:u w:color="000000"/>
        </w:rPr>
        <w:t>Wskazuje się nieruchomości lub ich części według katastru nieruchomości oraz księgi wieczystej, w stosunku do których decyzja o pozwoleniu na budowę inwestycji mieszkaniowej ma wywołać skutek, o który</w:t>
      </w:r>
      <w:r>
        <w:rPr>
          <w:color w:val="000000"/>
          <w:u w:color="000000"/>
        </w:rPr>
        <w:t>m mowa w art. 35 ust. 1 ustawy z dnia 5 lipca 2018 r. o ułatwieniach w przygotowaniu i realizacji inwestycji mieszkaniowych oraz inwestycji towarzyszących:</w:t>
      </w:r>
    </w:p>
    <w:p w:rsidR="00A77B3E" w:rsidRDefault="00656BA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działki nr: 159/54, 159/53 i 159/55, obręb S-2 – KW LD1M/00287903/9;</w:t>
      </w:r>
    </w:p>
    <w:p w:rsidR="00A77B3E" w:rsidRDefault="00656BA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część działki nr 159/3, o</w:t>
      </w:r>
      <w:r>
        <w:rPr>
          <w:color w:val="000000"/>
          <w:u w:color="000000"/>
        </w:rPr>
        <w:t>bręb S-2 – KW LD1M/00005887/0.</w:t>
      </w:r>
    </w:p>
    <w:p w:rsidR="00A77B3E" w:rsidRDefault="00656BAC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11. </w:t>
      </w:r>
      <w:r>
        <w:rPr>
          <w:color w:val="000000"/>
          <w:u w:color="000000"/>
        </w:rPr>
        <w:t>Nie wskazuje się nieruchomości według katastru nieruchomości oraz księgi wieczystej, o których mowa w art. 38 ust. 1 ustawy z dnia 5 lipca 2018 r. o ułatwieniach w przygotowaniu i realizacji inwestycji mieszkaniowych or</w:t>
      </w:r>
      <w:r>
        <w:rPr>
          <w:color w:val="000000"/>
          <w:u w:color="000000"/>
        </w:rPr>
        <w:t>az inwestycji towarzyszących.</w:t>
      </w:r>
    </w:p>
    <w:p w:rsidR="00A77B3E" w:rsidRDefault="00656BAC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12. </w:t>
      </w:r>
      <w:r>
        <w:rPr>
          <w:color w:val="000000"/>
          <w:u w:color="000000"/>
        </w:rPr>
        <w:t>Określa się warunki wynikające z potrzeb ochrony środowiska i ochrony zabytków:</w:t>
      </w:r>
    </w:p>
    <w:p w:rsidR="00A77B3E" w:rsidRDefault="00656BA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realizacja planowanej inwestycji powinna być zgodna z wymogami ochrony środowiska zawartymi w obowiązujących przepisach i normach, w tym </w:t>
      </w:r>
      <w:r>
        <w:rPr>
          <w:color w:val="000000"/>
          <w:u w:color="000000"/>
        </w:rPr>
        <w:t>ustawie z dnia 27 kwietnia 2001 r. – Prawo ochrony środowiska (Dz. U. z 2024 r. poz. 54, 834, 1089, 1222, 1847, 1853, 1881, 1914, 1940 i 1946 oraz z 2025 r. poz. 303);</w:t>
      </w:r>
    </w:p>
    <w:p w:rsidR="00A77B3E" w:rsidRDefault="00656BA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teren inwestycji jest zlokalizowany poza formami ochrony przyrody i ich otulinami, o </w:t>
      </w:r>
      <w:r>
        <w:rPr>
          <w:color w:val="000000"/>
          <w:u w:color="000000"/>
        </w:rPr>
        <w:t>których mowa w art. 6 ustawy z dnia 16 kwietnia 2004 r. o ochronie przyrody (Dz. U. z 2024 r. poz. 1478 i 1940), należy jednak rozważyć możliwość zachowania istniejącego dojrzałego drzewostanu występującego na działce nr 152/2;</w:t>
      </w:r>
    </w:p>
    <w:p w:rsidR="00A77B3E" w:rsidRDefault="00656BA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realizacja planowanej inw</w:t>
      </w:r>
      <w:r>
        <w:rPr>
          <w:color w:val="000000"/>
          <w:u w:color="000000"/>
        </w:rPr>
        <w:t>estycji powinna być zgodna z przepisami ustawy z dnia 23 lipca 2003 r. o ochronie zabytków i opiece nad zabytkami (Dz. U. z 2024 r. poz. 1292 i 1907) ponieważ planowana inwestycja zlokalizowana jest na obszarze zabytkowego układu urbanistycznego „Ogrody Su</w:t>
      </w:r>
      <w:r>
        <w:rPr>
          <w:color w:val="000000"/>
          <w:u w:color="000000"/>
        </w:rPr>
        <w:t>kiennicze Nowego Miasta 1843” objętego ochroną konserwatorską poprzez ujęcie w gminnej ewidencji zabytków miasta Łodzi.</w:t>
      </w:r>
    </w:p>
    <w:p w:rsidR="00A77B3E" w:rsidRDefault="00656BAC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13. </w:t>
      </w:r>
      <w:r>
        <w:rPr>
          <w:color w:val="000000"/>
          <w:u w:color="000000"/>
        </w:rPr>
        <w:t>Niniejsza uchwała nie rodzi praw do terenu oraz nie narusza prawa własności i uprawnień osób trzecich.</w:t>
      </w:r>
    </w:p>
    <w:p w:rsidR="00A77B3E" w:rsidRDefault="00656BAC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14. </w:t>
      </w:r>
      <w:r>
        <w:rPr>
          <w:color w:val="000000"/>
          <w:u w:color="000000"/>
        </w:rPr>
        <w:t>Wykonanie uchwały pow</w:t>
      </w:r>
      <w:r>
        <w:rPr>
          <w:color w:val="000000"/>
          <w:u w:color="000000"/>
        </w:rPr>
        <w:t>ierza się Prezydentowi Miasta Łodzi.</w:t>
      </w:r>
    </w:p>
    <w:p w:rsidR="00A77B3E" w:rsidRDefault="00656BAC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lastRenderedPageBreak/>
        <w:t>§ 15. </w:t>
      </w:r>
      <w:r>
        <w:rPr>
          <w:color w:val="000000"/>
          <w:u w:color="000000"/>
        </w:rPr>
        <w:t>Uchwała podlega publikacji w Dzienniku Urzędowym Województwa Łódzkiego.</w:t>
      </w:r>
    </w:p>
    <w:p w:rsidR="00A77B3E" w:rsidRDefault="00656BAC">
      <w:pPr>
        <w:keepNext/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16. </w:t>
      </w:r>
      <w:r>
        <w:rPr>
          <w:color w:val="000000"/>
          <w:u w:color="000000"/>
        </w:rPr>
        <w:t>Uchwała wchodzi w życie z dniem podjęcia.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4536"/>
        <w:gridCol w:w="4536"/>
      </w:tblGrid>
      <w:tr w:rsidR="00F024AD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4AD" w:rsidRDefault="00F024AD">
            <w:pPr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4AD" w:rsidRDefault="00656BAC">
            <w:pPr>
              <w:keepLines/>
              <w:spacing w:before="520" w:after="520"/>
              <w:ind w:right="283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Bartosz DOMASZEWICZ</w:t>
            </w:r>
          </w:p>
        </w:tc>
      </w:tr>
    </w:tbl>
    <w:p w:rsidR="00A77B3E" w:rsidRDefault="00656BAC">
      <w:pPr>
        <w:ind w:left="283" w:firstLine="227"/>
        <w:jc w:val="both"/>
        <w:rPr>
          <w:color w:val="000000"/>
          <w:u w:color="000000"/>
        </w:rPr>
      </w:pPr>
      <w:r>
        <w:rPr>
          <w:color w:val="000000"/>
          <w:u w:color="000000"/>
        </w:rPr>
        <w:t>Projektodawcą jest</w:t>
      </w:r>
    </w:p>
    <w:p w:rsidR="00A77B3E" w:rsidRDefault="00656BAC">
      <w:pPr>
        <w:ind w:left="283" w:firstLine="227"/>
        <w:jc w:val="both"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850" w:right="1417" w:bottom="850" w:left="1417" w:header="708" w:footer="708" w:gutter="0"/>
          <w:cols w:space="708"/>
          <w:docGrid w:linePitch="360"/>
        </w:sectPr>
      </w:pPr>
      <w:r>
        <w:rPr>
          <w:color w:val="000000"/>
          <w:u w:color="000000"/>
        </w:rPr>
        <w:t>Prezydent Miasta Łodzi</w:t>
      </w:r>
    </w:p>
    <w:p w:rsidR="00A77B3E" w:rsidRDefault="00F024AD">
      <w:pPr>
        <w:keepNext/>
        <w:ind w:left="588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 w:rsidR="00656BAC">
        <w:rPr>
          <w:color w:val="000000"/>
          <w:u w:color="000000"/>
        </w:rPr>
        <w:t>Załącznik Nr 1</w:t>
      </w:r>
      <w:r w:rsidR="00656BAC">
        <w:rPr>
          <w:color w:val="000000"/>
          <w:u w:color="000000"/>
        </w:rPr>
        <w:br/>
        <w:t>do uchwały Nr</w:t>
      </w:r>
      <w:r w:rsidR="00656BAC">
        <w:rPr>
          <w:color w:val="000000"/>
          <w:u w:color="000000"/>
        </w:rPr>
        <w:br/>
        <w:t>Rady Miejskiej w Łodzi</w:t>
      </w:r>
      <w:r w:rsidR="00656BAC">
        <w:rPr>
          <w:color w:val="000000"/>
          <w:u w:color="000000"/>
        </w:rPr>
        <w:br/>
        <w:t>z dnia</w:t>
      </w:r>
      <w:r w:rsidR="00656BAC">
        <w:rPr>
          <w:color w:val="000000"/>
          <w:u w:color="000000"/>
        </w:rPr>
        <w:br/>
      </w:r>
    </w:p>
    <w:p w:rsidR="00A77B3E" w:rsidRDefault="00656BAC">
      <w:pPr>
        <w:keepNext/>
        <w:spacing w:after="480"/>
        <w:rPr>
          <w:b/>
          <w:color w:val="000000"/>
          <w:u w:color="000000"/>
        </w:rPr>
      </w:pPr>
      <w:r>
        <w:rPr>
          <w:b/>
          <w:color w:val="000000"/>
          <w:u w:color="000000"/>
        </w:rPr>
        <w:lastRenderedPageBreak/>
        <w:t>Granice terenu objętego inwestycją mieszkaniową.</w:t>
      </w:r>
      <w:r>
        <w:rPr>
          <w:b/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19413076" cy="20116800"/>
            <wp:effectExtent l="0" t="0" r="0" b="0"/>
            <wp:docPr id="100001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3076" cy="201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7B3E">
      <w:pPr>
        <w:keepNext/>
        <w:spacing w:after="480"/>
        <w:rPr>
          <w:color w:val="000000"/>
          <w:u w:color="000000"/>
        </w:rPr>
        <w:sectPr w:rsidR="00A77B3E">
          <w:footerReference w:type="default" r:id="rId9"/>
          <w:endnotePr>
            <w:numFmt w:val="decimal"/>
          </w:endnotePr>
          <w:pgSz w:w="11906" w:h="16838"/>
          <w:pgMar w:top="850" w:right="1417" w:bottom="850" w:left="1417" w:header="708" w:footer="708" w:gutter="0"/>
          <w:pgNumType w:start="1"/>
          <w:cols w:space="708"/>
          <w:docGrid w:linePitch="360"/>
        </w:sectPr>
      </w:pPr>
    </w:p>
    <w:p w:rsidR="00A77B3E" w:rsidRDefault="00F024AD">
      <w:pPr>
        <w:keepNext/>
        <w:ind w:left="588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 w:rsidR="00656BAC">
        <w:rPr>
          <w:color w:val="000000"/>
          <w:u w:color="000000"/>
        </w:rPr>
        <w:t>Załącznik Nr 2</w:t>
      </w:r>
      <w:r w:rsidR="00656BAC">
        <w:rPr>
          <w:color w:val="000000"/>
          <w:u w:color="000000"/>
        </w:rPr>
        <w:br/>
        <w:t>do uchwały Nr</w:t>
      </w:r>
      <w:r w:rsidR="00656BAC">
        <w:rPr>
          <w:color w:val="000000"/>
          <w:u w:color="000000"/>
        </w:rPr>
        <w:br/>
        <w:t>Rady Miejskiej w Łodzi</w:t>
      </w:r>
      <w:r w:rsidR="00656BAC">
        <w:rPr>
          <w:color w:val="000000"/>
          <w:u w:color="000000"/>
        </w:rPr>
        <w:br/>
        <w:t>z dnia</w:t>
      </w:r>
      <w:r w:rsidR="00656BAC">
        <w:rPr>
          <w:color w:val="000000"/>
          <w:u w:color="000000"/>
        </w:rPr>
        <w:br/>
      </w:r>
    </w:p>
    <w:p w:rsidR="00A77B3E" w:rsidRDefault="00656BAC">
      <w:pPr>
        <w:keepNext/>
        <w:spacing w:after="480"/>
        <w:rPr>
          <w:b/>
          <w:color w:val="000000"/>
          <w:u w:color="000000"/>
        </w:rPr>
      </w:pPr>
      <w:r>
        <w:rPr>
          <w:b/>
          <w:color w:val="000000"/>
          <w:u w:color="000000"/>
        </w:rPr>
        <w:lastRenderedPageBreak/>
        <w:t>Planowany sposób zagospodarowania terenu.</w:t>
      </w:r>
      <w:r>
        <w:rPr>
          <w:b/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13650075" cy="20116800"/>
            <wp:effectExtent l="0" t="0" r="0" b="0"/>
            <wp:docPr id="100003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10" r:link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0075" cy="201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7B3E">
      <w:pPr>
        <w:keepNext/>
        <w:spacing w:after="480"/>
        <w:rPr>
          <w:color w:val="000000"/>
          <w:u w:color="000000"/>
        </w:rPr>
        <w:sectPr w:rsidR="00A77B3E">
          <w:footerReference w:type="default" r:id="rId12"/>
          <w:endnotePr>
            <w:numFmt w:val="decimal"/>
          </w:endnotePr>
          <w:pgSz w:w="11906" w:h="16838"/>
          <w:pgMar w:top="850" w:right="1417" w:bottom="850" w:left="1417" w:header="708" w:footer="708" w:gutter="0"/>
          <w:pgNumType w:start="1"/>
          <w:cols w:space="708"/>
          <w:docGrid w:linePitch="360"/>
        </w:sectPr>
      </w:pPr>
    </w:p>
    <w:p w:rsidR="00F024AD" w:rsidRDefault="00656BAC">
      <w:pPr>
        <w:spacing w:before="120" w:after="120"/>
        <w:rPr>
          <w:color w:val="000000"/>
          <w:szCs w:val="20"/>
        </w:rPr>
      </w:pPr>
      <w:r>
        <w:rPr>
          <w:b/>
          <w:color w:val="000000"/>
          <w:szCs w:val="20"/>
        </w:rPr>
        <w:lastRenderedPageBreak/>
        <w:t>Uzasadnienie</w:t>
      </w:r>
    </w:p>
    <w:p w:rsidR="00F024AD" w:rsidRDefault="00656BAC">
      <w:pPr>
        <w:tabs>
          <w:tab w:val="left" w:pos="708"/>
        </w:tabs>
        <w:jc w:val="both"/>
        <w:rPr>
          <w:color w:val="000000"/>
          <w:szCs w:val="20"/>
        </w:rPr>
      </w:pPr>
      <w:r>
        <w:rPr>
          <w:color w:val="000000"/>
          <w:szCs w:val="20"/>
        </w:rPr>
        <w:tab/>
      </w:r>
    </w:p>
    <w:p w:rsidR="00F024AD" w:rsidRDefault="00656BAC">
      <w:pPr>
        <w:tabs>
          <w:tab w:val="left" w:pos="708"/>
        </w:tabs>
        <w:jc w:val="both"/>
        <w:rPr>
          <w:color w:val="000000"/>
          <w:szCs w:val="20"/>
        </w:rPr>
      </w:pPr>
      <w:r>
        <w:rPr>
          <w:color w:val="000000"/>
          <w:szCs w:val="20"/>
        </w:rPr>
        <w:tab/>
        <w:t xml:space="preserve">Inwestor Trust Investment Projekt 26 sp. z o.o. pismem z </w:t>
      </w:r>
      <w:r>
        <w:rPr>
          <w:color w:val="000000"/>
          <w:szCs w:val="20"/>
        </w:rPr>
        <w:t>dnia 10 grudnia 2024 r.  (data wpływu 22 stycznia 2025 r.) wystąpił do Rady Miejskiej w Łodzi, za pośrednictwem Prezydenta Miasta Łodzi - Biura Architekta Miasta w Departamencie Planowania i Rozwoju Gospodarczego Urzędu Miasta Łodzi, o ustalenie na podstaw</w:t>
      </w:r>
      <w:r>
        <w:rPr>
          <w:color w:val="000000"/>
          <w:szCs w:val="20"/>
        </w:rPr>
        <w:t>ie art. 7 ust. 1 i 6 ustawy z dnia 5 lipca 2018 r. o ułatwieniach w przygotowaniu i realizacji inwestycji mieszkaniowych i inwestycji towarzyszących (Dz. U. z 2024 r. poz. 195), zwanej dalej specustawą, lokalizacji inwestycji mieszkaniowej polegającej</w:t>
      </w:r>
      <w:r>
        <w:rPr>
          <w:color w:val="FFC000"/>
          <w:sz w:val="22"/>
          <w:szCs w:val="20"/>
          <w:shd w:val="clear" w:color="auto" w:fill="FFFFFF"/>
        </w:rPr>
        <w:t xml:space="preserve"> </w:t>
      </w:r>
      <w:r>
        <w:rPr>
          <w:szCs w:val="20"/>
        </w:rPr>
        <w:t xml:space="preserve">na </w:t>
      </w:r>
      <w:r>
        <w:rPr>
          <w:szCs w:val="20"/>
        </w:rPr>
        <w:t xml:space="preserve">budowie dwóch budynków mieszkalnych wielorodzinnych z garażami podziemnymi i częścią garażową w parterze oraz niezbędną infrastrukturą techniczną, na działkach nr 152/2 i 159/2 w obrębie S-2 przy ul. Rewolucji 1905 r. nr 61 w Łodzi. </w:t>
      </w:r>
      <w:r>
        <w:rPr>
          <w:color w:val="000000"/>
          <w:szCs w:val="20"/>
        </w:rPr>
        <w:t>Wniosek został poprawni</w:t>
      </w:r>
      <w:r>
        <w:rPr>
          <w:color w:val="000000"/>
          <w:szCs w:val="20"/>
        </w:rPr>
        <w:t xml:space="preserve">e uzupełniony dnia 14.02.2025 r. </w:t>
      </w:r>
    </w:p>
    <w:p w:rsidR="00F024AD" w:rsidRDefault="00F024AD">
      <w:pPr>
        <w:tabs>
          <w:tab w:val="left" w:pos="708"/>
        </w:tabs>
        <w:jc w:val="both"/>
        <w:rPr>
          <w:color w:val="000000"/>
          <w:szCs w:val="20"/>
        </w:rPr>
      </w:pPr>
    </w:p>
    <w:p w:rsidR="00F024AD" w:rsidRDefault="00656BAC">
      <w:pPr>
        <w:tabs>
          <w:tab w:val="left" w:pos="708"/>
        </w:tabs>
        <w:jc w:val="both"/>
        <w:rPr>
          <w:color w:val="000000"/>
          <w:szCs w:val="20"/>
        </w:rPr>
      </w:pPr>
      <w:r>
        <w:rPr>
          <w:color w:val="000000"/>
          <w:szCs w:val="20"/>
        </w:rPr>
        <w:tab/>
        <w:t>Po weryfikacji wniosku stwierdzono, że spełnia wymogi dotyczące kompletności wniosku określone w art. 7 ust. 7 specustawy. We wniosku określono granice terenu objętego wnioskiem, przedstawiając je na kopii mapy zasadnicz</w:t>
      </w:r>
      <w:r>
        <w:rPr>
          <w:color w:val="000000"/>
          <w:szCs w:val="20"/>
        </w:rPr>
        <w:t>ej. Określono planowaną minimalną i maksymalną powierzchnię użytkową mieszkań wynoszącą od 12500 m</w:t>
      </w:r>
      <w:r>
        <w:rPr>
          <w:color w:val="000000"/>
          <w:szCs w:val="20"/>
          <w:vertAlign w:val="superscript"/>
        </w:rPr>
        <w:t>2</w:t>
      </w:r>
      <w:r>
        <w:rPr>
          <w:color w:val="000000"/>
          <w:szCs w:val="20"/>
        </w:rPr>
        <w:t xml:space="preserve"> do 13500 m</w:t>
      </w:r>
      <w:r>
        <w:rPr>
          <w:color w:val="000000"/>
          <w:szCs w:val="20"/>
          <w:vertAlign w:val="superscript"/>
        </w:rPr>
        <w:t>2</w:t>
      </w:r>
      <w:r>
        <w:rPr>
          <w:color w:val="000000"/>
          <w:szCs w:val="20"/>
        </w:rPr>
        <w:t xml:space="preserve"> oraz planowaną minimalną i maksymalną liczbę mieszkań wynoszącą od 280 do 330.  Inwestycja nie przewiduje działalności handlowej i usługowej. Wn</w:t>
      </w:r>
      <w:r>
        <w:rPr>
          <w:color w:val="000000"/>
          <w:szCs w:val="20"/>
        </w:rPr>
        <w:t>iosek obejmuje analizę powiązania inwestycji mieszkaniowej z uzbrojeniem terenu oraz ich charakterystykę. Wnioskodawca wskazał nieruchomości według katastru nieruchomości oraz ksiąg wieczystych, na których mają być zlokalizowane obiekty objęte inwestycją m</w:t>
      </w:r>
      <w:r>
        <w:rPr>
          <w:color w:val="000000"/>
          <w:szCs w:val="20"/>
        </w:rPr>
        <w:t>ieszkaniową.  Wskazano również, w jakim zakresie planowana inwestycja jest niesprzeczna ze Studium. Wykazano, że inwestycja mieszkaniowa odpowiada standardom, o których mowa w rozdziale 3 specustawy oraz lokalnym standardom urbanistycznym, przyjętym uchwał</w:t>
      </w:r>
      <w:r>
        <w:rPr>
          <w:color w:val="000000"/>
          <w:szCs w:val="20"/>
        </w:rPr>
        <w:t>ą Nr LXXVI/2076/18 Rady Miejskiej w Łodzi z dnia 10 października 2018 r. w sprawie lokalnych standardów urbanistycznych dla Miasta Łodzi (Dz. Urz. Woj. Łódzkiego poz. 5644), zmienioną uchwałami Rady Miejskiej w Łodzi: Nr III/59/18 z dnia 27 grudnia 2018 r.</w:t>
      </w:r>
      <w:r>
        <w:rPr>
          <w:color w:val="000000"/>
          <w:szCs w:val="20"/>
        </w:rPr>
        <w:t xml:space="preserve"> (Dz. Urz. Woj. Łódzkiego z 2019 r. poz. 348), Nr XXXIII/1093/20 z dnia 2 grudnia 2020 r. (Dz. Urz. Woj. Łódzkiego poz. 7200), Nr LX/1810/22 z dnia 1 czerwca 2022 r. (Dz. Urz. Woj. Łódzkiego poz. 3675),  Nr LXXIII/2191/23 z dnia 15 marca 2023 r. (Dz. Urz. </w:t>
      </w:r>
      <w:r>
        <w:rPr>
          <w:color w:val="000000"/>
          <w:szCs w:val="20"/>
        </w:rPr>
        <w:t xml:space="preserve">Woj. Łódzkiego poz. 4066) i Nr LXXXVI/2608/24 z dnia 17 stycznia 2024 r. (Dz. Urz. Woj. Łódzkiego poz. 1102) </w:t>
      </w:r>
      <w:r>
        <w:rPr>
          <w:szCs w:val="20"/>
        </w:rPr>
        <w:t>zwanych dalej lokalnymi standardami urbanistycznymi</w:t>
      </w:r>
      <w:r>
        <w:rPr>
          <w:color w:val="FFC000"/>
          <w:szCs w:val="20"/>
        </w:rPr>
        <w:t>. .</w:t>
      </w:r>
      <w:r>
        <w:rPr>
          <w:color w:val="000000"/>
          <w:szCs w:val="20"/>
        </w:rPr>
        <w:t>Do wniosku załączono koncepcję urbanistyczno-architektoniczną, sporządzoną przez osobę wpisan</w:t>
      </w:r>
      <w:r>
        <w:rPr>
          <w:color w:val="000000"/>
          <w:szCs w:val="20"/>
        </w:rPr>
        <w:t>ą na listę izby samorządu zawodowego architektów posiadającą uprawnienia budowlane do projektowania bez ograniczeń w specjalności architektonicznej oraz inne wymagane oświadczenia i zaświadczenia. Wnioskodawca określił również nieruchomości według katastru</w:t>
      </w:r>
      <w:r>
        <w:rPr>
          <w:color w:val="000000"/>
          <w:szCs w:val="20"/>
        </w:rPr>
        <w:t xml:space="preserve"> i księgi wieczystej, w stosunku do których decyzja o pozwoleniu na budowę inwestycji ma wywołać skutek, o którym mowa w art. 35 ust. 1 specustawy. </w:t>
      </w:r>
    </w:p>
    <w:p w:rsidR="00F024AD" w:rsidRDefault="00F024AD">
      <w:pPr>
        <w:tabs>
          <w:tab w:val="left" w:pos="708"/>
        </w:tabs>
        <w:jc w:val="both"/>
        <w:rPr>
          <w:color w:val="000000"/>
          <w:szCs w:val="20"/>
        </w:rPr>
      </w:pPr>
    </w:p>
    <w:p w:rsidR="00F024AD" w:rsidRDefault="00656BAC">
      <w:pPr>
        <w:tabs>
          <w:tab w:val="left" w:pos="708"/>
        </w:tabs>
        <w:jc w:val="both"/>
        <w:rPr>
          <w:color w:val="000000"/>
          <w:szCs w:val="20"/>
        </w:rPr>
      </w:pPr>
      <w:r>
        <w:rPr>
          <w:color w:val="000000"/>
          <w:szCs w:val="20"/>
        </w:rPr>
        <w:tab/>
      </w:r>
      <w:r>
        <w:rPr>
          <w:color w:val="000000"/>
          <w:szCs w:val="20"/>
        </w:rPr>
        <w:t>W dniu 17 lutego 2025 r. wniosek został udostępniony na stronie podmiotowej Biuletynu Informacji Publicznej wraz z informacją o formie, miejscu i terminie składania uwag. Ponadto, w dniu 21 lutego 2025 r. w lokalnej prasie „Łódź.pl” pojawiła się informacja</w:t>
      </w:r>
      <w:r>
        <w:rPr>
          <w:color w:val="000000"/>
          <w:szCs w:val="20"/>
        </w:rPr>
        <w:t xml:space="preserve"> o wpływie przedmiotowego wniosku wraz z informacją o formie, miejscu i terminie składania uwag. Po publikacji w Biuletynie do Biura Architekta Miasta wpłynęła jedna uwaga do planowanej inwestycji od sąsiadującej z inwestycją Wspólnoty Mieszkaniowej, która</w:t>
      </w:r>
      <w:r>
        <w:rPr>
          <w:color w:val="000000"/>
          <w:szCs w:val="20"/>
        </w:rPr>
        <w:t xml:space="preserve"> została przekazana inwestorowi. Inwestor nie ustosunkował się do uwagi. </w:t>
      </w:r>
      <w:r>
        <w:rPr>
          <w:color w:val="000000"/>
          <w:szCs w:val="20"/>
        </w:rPr>
        <w:tab/>
      </w:r>
    </w:p>
    <w:p w:rsidR="00F024AD" w:rsidRDefault="00656BAC">
      <w:pPr>
        <w:tabs>
          <w:tab w:val="left" w:pos="708"/>
        </w:tabs>
        <w:jc w:val="both"/>
        <w:rPr>
          <w:color w:val="000000"/>
          <w:szCs w:val="20"/>
        </w:rPr>
      </w:pPr>
      <w:r>
        <w:rPr>
          <w:color w:val="000000"/>
          <w:szCs w:val="20"/>
        </w:rPr>
        <w:tab/>
        <w:t xml:space="preserve">Pismami z dnia 18 lutego 2025 roku powiadomiono organy opiniujące i uzgadniające, o których mowa w art. 7 ust. 12 i 14 specustawy, o możliwości przedstawienia stanowiska w sprawie </w:t>
      </w:r>
      <w:r>
        <w:rPr>
          <w:color w:val="000000"/>
          <w:szCs w:val="20"/>
        </w:rPr>
        <w:t>w ciągu 21 dni od daty doręczenia wystąpienia.</w:t>
      </w:r>
    </w:p>
    <w:p w:rsidR="00F024AD" w:rsidRDefault="00F024AD">
      <w:pPr>
        <w:tabs>
          <w:tab w:val="left" w:pos="708"/>
        </w:tabs>
        <w:jc w:val="both"/>
        <w:rPr>
          <w:color w:val="000000"/>
          <w:szCs w:val="20"/>
        </w:rPr>
      </w:pPr>
    </w:p>
    <w:p w:rsidR="00F024AD" w:rsidRDefault="00656BAC">
      <w:pPr>
        <w:tabs>
          <w:tab w:val="left" w:pos="708"/>
        </w:tabs>
        <w:jc w:val="both"/>
        <w:rPr>
          <w:color w:val="000000"/>
          <w:szCs w:val="20"/>
        </w:rPr>
      </w:pPr>
      <w:r>
        <w:rPr>
          <w:color w:val="000000"/>
          <w:szCs w:val="20"/>
        </w:rPr>
        <w:t>Następujące organy opiniujące udzieliły odpowiedzi:</w:t>
      </w:r>
    </w:p>
    <w:p w:rsidR="00F024AD" w:rsidRDefault="00656BAC">
      <w:pPr>
        <w:spacing w:before="120" w:after="120"/>
        <w:ind w:firstLine="340"/>
        <w:jc w:val="both"/>
        <w:rPr>
          <w:color w:val="000000"/>
          <w:szCs w:val="20"/>
        </w:rPr>
      </w:pPr>
      <w:r>
        <w:rPr>
          <w:color w:val="000000"/>
          <w:szCs w:val="20"/>
        </w:rPr>
        <w:t>- Prezydent Miasta Łodzi, w którego imieniu działa Zastępca Dyrektora Łódzkiego Ośrodka Geodezji - opinia z dnia 20 lutego 2025 r., znak: OKS.071.25.2025.1.</w:t>
      </w:r>
      <w:r>
        <w:rPr>
          <w:color w:val="000000"/>
          <w:szCs w:val="20"/>
        </w:rPr>
        <w:t xml:space="preserve">AG informująca o braku zastrzeżeń w zakresie ochrony gruntów rolnych i leśnych oraz w zakresie przepisów prawa geodezyjnego i kartograficznego; </w:t>
      </w:r>
    </w:p>
    <w:p w:rsidR="00F024AD" w:rsidRDefault="00656BAC">
      <w:pPr>
        <w:spacing w:before="120" w:after="120"/>
        <w:ind w:firstLine="340"/>
        <w:jc w:val="both"/>
        <w:rPr>
          <w:szCs w:val="20"/>
        </w:rPr>
      </w:pPr>
      <w:r>
        <w:rPr>
          <w:szCs w:val="20"/>
        </w:rPr>
        <w:t>- Zarząd Województwa Łódzkiego pismem z dnia 17 marca 2025 r., znak: BPRWŁ.ZP.405.1.2025 poinformował o braku m</w:t>
      </w:r>
      <w:r>
        <w:rPr>
          <w:szCs w:val="20"/>
        </w:rPr>
        <w:t xml:space="preserve">ożliwości zaopiniowania przedłożonego wniosku z uwagi na fakt, że Województwo Łódzkie nie posiada audytu krajobrazowego. </w:t>
      </w:r>
    </w:p>
    <w:p w:rsidR="00F024AD" w:rsidRDefault="00656BAC">
      <w:pPr>
        <w:spacing w:before="120" w:after="120"/>
        <w:ind w:firstLine="340"/>
        <w:jc w:val="both"/>
        <w:rPr>
          <w:color w:val="000000"/>
          <w:szCs w:val="20"/>
        </w:rPr>
      </w:pPr>
      <w:r>
        <w:rPr>
          <w:color w:val="000000"/>
          <w:szCs w:val="20"/>
        </w:rPr>
        <w:t>- Łódzki Państwowy Wojewódzki Inspektor Sanitarny pismem z dnia 03 marca 2025 r., znak: NS OZNS.9022.131.2024.AK poinformował o pozyty</w:t>
      </w:r>
      <w:r>
        <w:rPr>
          <w:color w:val="000000"/>
          <w:szCs w:val="20"/>
        </w:rPr>
        <w:t>wnej opinii dla przedłożonego wniosku z uwagą dotyczącą braku informacji na temat planowanej ilości miejsc postojowych w garażu na parterze, zaopatrzenia w gaz oraz potwierdzenia od Zarządcy dróg publicznych zapewniającego połączenie inwestycji z drogami o</w:t>
      </w:r>
      <w:r>
        <w:rPr>
          <w:color w:val="000000"/>
          <w:szCs w:val="20"/>
        </w:rPr>
        <w:t xml:space="preserve">d strony ul. Rewolucji 1905 roku oraz ul. Jaracza poprzez projektowane lub istniejące zjazdy. </w:t>
      </w:r>
    </w:p>
    <w:p w:rsidR="00F024AD" w:rsidRDefault="00656BAC">
      <w:pPr>
        <w:spacing w:before="120" w:after="120"/>
        <w:ind w:firstLine="340"/>
        <w:jc w:val="both"/>
        <w:rPr>
          <w:color w:val="000000"/>
          <w:szCs w:val="20"/>
        </w:rPr>
      </w:pPr>
      <w:r>
        <w:rPr>
          <w:color w:val="000000"/>
          <w:szCs w:val="20"/>
        </w:rPr>
        <w:t>- Miejska Komisja Urbanistyczno-Architektoniczna przekazała Uchwałę nr 8/III/2025 z dnia 6 marca 2025 roku wydając negatywną opinię dotyczącą lokalizacji tej inw</w:t>
      </w:r>
      <w:r>
        <w:rPr>
          <w:color w:val="000000"/>
          <w:szCs w:val="20"/>
        </w:rPr>
        <w:t>estycji, uzasadniając, że przewyższenie kompozycyjne jest nieuzasadnione (nie przedstawiono argumentów rzeczowych na ten temat) oraz uznając, że architektura obiektu, w szczególności elewacje, są banalne i nieciekawe, nawiązujące do bloków mieszkalnych zam</w:t>
      </w:r>
      <w:r>
        <w:rPr>
          <w:color w:val="000000"/>
          <w:szCs w:val="20"/>
        </w:rPr>
        <w:t xml:space="preserve">iast do śródmiejskiej kamienicy. </w:t>
      </w:r>
    </w:p>
    <w:p w:rsidR="00F024AD" w:rsidRDefault="00656BAC">
      <w:pPr>
        <w:spacing w:before="120" w:after="120"/>
        <w:ind w:firstLine="340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- Szef Centralnego Wojskowego Centrum Rekrutacji, Szef Ośrodka Zamiejscowego w Łodzi pismem z dnia 24 lutego 2025 roku, znak: CWCR_OZ_Łódź-WWiZ.0732.98.2025  poinformował o braku uwag do wniosku. </w:t>
      </w:r>
    </w:p>
    <w:p w:rsidR="00F024AD" w:rsidRDefault="00656BAC">
      <w:pPr>
        <w:spacing w:before="120" w:after="120"/>
        <w:ind w:firstLine="340"/>
        <w:jc w:val="both"/>
        <w:rPr>
          <w:color w:val="000000"/>
          <w:szCs w:val="20"/>
        </w:rPr>
      </w:pPr>
      <w:r>
        <w:rPr>
          <w:color w:val="000000"/>
          <w:szCs w:val="20"/>
        </w:rPr>
        <w:t>- Marszałek Województwa Ł</w:t>
      </w:r>
      <w:r>
        <w:rPr>
          <w:color w:val="000000"/>
          <w:szCs w:val="20"/>
        </w:rPr>
        <w:t>ódzkiego w odniesieniu do terenów nieobjętych obowiązującymi planami zagospodarowania przestrzennego, w piśmie z dnia 17 marca 2025 r. znak: BPRWŁ.ZP.405.2.2025 wskazał, że należy przy realizacji omawianej inwestycji mieszkaniowej uwzględnić zasady dostoso</w:t>
      </w:r>
      <w:r>
        <w:rPr>
          <w:color w:val="000000"/>
          <w:szCs w:val="20"/>
        </w:rPr>
        <w:t xml:space="preserve">wania systemu kanalizacji miejskiej do wymogów Dyrektywy Rady 91/271/EWG dotyczącej oczyszczania ścieków Aglomeracji Łódzkiej. </w:t>
      </w:r>
    </w:p>
    <w:p w:rsidR="00F024AD" w:rsidRDefault="00656BAC">
      <w:pPr>
        <w:spacing w:before="120" w:after="120"/>
        <w:ind w:firstLine="340"/>
        <w:jc w:val="both"/>
        <w:rPr>
          <w:color w:val="000000"/>
          <w:szCs w:val="20"/>
        </w:rPr>
      </w:pPr>
      <w:r>
        <w:rPr>
          <w:color w:val="000000"/>
          <w:szCs w:val="20"/>
        </w:rPr>
        <w:t>- Wojewoda Łódzki w piśmie z dnia 14 marca 2025 r. znak: GPB-1.745.4.2025 MM w odniesieniu do terenów nieobjętych obowiązującymi</w:t>
      </w:r>
      <w:r>
        <w:rPr>
          <w:color w:val="000000"/>
          <w:szCs w:val="20"/>
        </w:rPr>
        <w:t xml:space="preserve"> planami zagospodarowania przestrzennego zwrócił uwagę na to, że wysokość planowanych inwestycji co do zasady nie </w:t>
      </w:r>
      <w:r>
        <w:rPr>
          <w:szCs w:val="20"/>
        </w:rPr>
        <w:t xml:space="preserve">może być wyższa niż 7 kondygnacji </w:t>
      </w:r>
      <w:r>
        <w:rPr>
          <w:color w:val="000000"/>
          <w:szCs w:val="20"/>
        </w:rPr>
        <w:t>nadziemnych, jednakże ustalona we wniosku wysokość części planowanej inwestycji - 8 kondygnacji nadziemnych,</w:t>
      </w:r>
      <w:r>
        <w:rPr>
          <w:color w:val="000000"/>
          <w:szCs w:val="20"/>
        </w:rPr>
        <w:t xml:space="preserve"> spełnia wymagania ustawy. Wojewoda zwrócił także uwagę, że planowana inwestycja objęta jest uchwałą Nr LXXII/1914/18 Rady Miejskiej w Łodzi z dnia 14 czerwca 2018 r. w sprawie przystąpienia do sporządzenia miejscowego planu zagospodarowania przestrzennego</w:t>
      </w:r>
      <w:r>
        <w:rPr>
          <w:color w:val="000000"/>
          <w:szCs w:val="20"/>
        </w:rPr>
        <w:t xml:space="preserve"> dla części obszaru miasta Łodzi położonej w rejonie ulic: Północnej, hm. A. Kamińskiego, S. Jaracza i </w:t>
      </w:r>
      <w:proofErr w:type="spellStart"/>
      <w:r>
        <w:rPr>
          <w:color w:val="000000"/>
          <w:szCs w:val="20"/>
        </w:rPr>
        <w:t>dr</w:t>
      </w:r>
      <w:proofErr w:type="spellEnd"/>
      <w:r>
        <w:rPr>
          <w:color w:val="000000"/>
          <w:szCs w:val="20"/>
        </w:rPr>
        <w:t>. S. Sterlinga.</w:t>
      </w:r>
    </w:p>
    <w:p w:rsidR="00F024AD" w:rsidRDefault="00656BAC">
      <w:pPr>
        <w:spacing w:before="120" w:after="120"/>
        <w:ind w:firstLine="510"/>
        <w:jc w:val="both"/>
        <w:rPr>
          <w:color w:val="F00000"/>
          <w:szCs w:val="20"/>
        </w:rPr>
      </w:pPr>
      <w:r>
        <w:rPr>
          <w:color w:val="000000"/>
          <w:szCs w:val="20"/>
        </w:rPr>
        <w:t xml:space="preserve">W ustawowym terminie nie wpłynęły ponadto opinie, właściwe według specustawy dla terenu inwestycji: </w:t>
      </w:r>
    </w:p>
    <w:p w:rsidR="00F024AD" w:rsidRDefault="00656BAC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- Komendanta Wojewódzkiej Państwow</w:t>
      </w:r>
      <w:r>
        <w:rPr>
          <w:szCs w:val="20"/>
        </w:rPr>
        <w:t xml:space="preserve">ej Straży Pożarnej w Łodzi, </w:t>
      </w:r>
    </w:p>
    <w:p w:rsidR="00F024AD" w:rsidRDefault="00656BAC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 xml:space="preserve">- Agencji Bezpieczeństwa Wewnętrznego/Dyrektora Delegatury w Katowicach, </w:t>
      </w:r>
    </w:p>
    <w:p w:rsidR="00F024AD" w:rsidRDefault="00656BAC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 xml:space="preserve">- Komendanta Wojewódzkiego Policji w Łodzi, </w:t>
      </w:r>
    </w:p>
    <w:p w:rsidR="00F024AD" w:rsidRDefault="00656BAC">
      <w:pPr>
        <w:spacing w:before="120" w:after="120"/>
        <w:ind w:firstLine="570"/>
        <w:jc w:val="both"/>
        <w:rPr>
          <w:szCs w:val="20"/>
        </w:rPr>
      </w:pPr>
      <w:r>
        <w:rPr>
          <w:szCs w:val="20"/>
        </w:rPr>
        <w:lastRenderedPageBreak/>
        <w:t>- Komendanta Nadwiślańskiego Oddziału Straży Granicznej im. Powstania Warszawskiego,</w:t>
      </w:r>
    </w:p>
    <w:p w:rsidR="00F024AD" w:rsidRDefault="00656BAC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- Prezesa Urzędu Lotnic</w:t>
      </w:r>
      <w:r>
        <w:rPr>
          <w:szCs w:val="20"/>
        </w:rPr>
        <w:t>twa Cywilnego,</w:t>
      </w:r>
    </w:p>
    <w:p w:rsidR="00F024AD" w:rsidRDefault="00656BAC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co do których zgodnie z art. 7 ust. 13 specustawy nieprzekazanie opinii w terminie 21 dni od dnia otrzymania powiadomienia uznaje się za brak zastrzeżeń. </w:t>
      </w:r>
    </w:p>
    <w:p w:rsidR="00F024AD" w:rsidRDefault="00656BAC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Organy uzgadniające: </w:t>
      </w:r>
    </w:p>
    <w:p w:rsidR="00F024AD" w:rsidRDefault="00656BAC">
      <w:pPr>
        <w:spacing w:before="120" w:after="120"/>
        <w:ind w:firstLine="340"/>
        <w:jc w:val="both"/>
        <w:rPr>
          <w:color w:val="000000"/>
          <w:szCs w:val="20"/>
        </w:rPr>
      </w:pPr>
      <w:r>
        <w:rPr>
          <w:color w:val="000000"/>
          <w:szCs w:val="20"/>
        </w:rPr>
        <w:t>- Zarząd Dróg i Transportu postanowieniem nr ZDiT-UU.40121.4.7.2</w:t>
      </w:r>
      <w:r>
        <w:rPr>
          <w:color w:val="000000"/>
          <w:szCs w:val="20"/>
        </w:rPr>
        <w:t>025 z dnia 10 marca 2025 r. uzgodnił przedłożony wniosek o ustalenie lokalizacji inwestycji mieszkaniowej w zakresie, w jakim projektowana inwestycja przebiega przez nieruchomości wchodzące w skład pasa drogowego, przylega do nieruchomości wchodzących w sk</w:t>
      </w:r>
      <w:r>
        <w:rPr>
          <w:color w:val="000000"/>
          <w:szCs w:val="20"/>
        </w:rPr>
        <w:t>ład pasa drogowego lub powoduje ograniczenia w sposobie zagospodarowania pasa drogowego i zaakceptował zaproponowaną obsługę komunikacyjną przez projektowany, zlokalizowany w północno-wschodniej granicy dz. nr 152/2 w obrębie S-2 zjazd z pasa drogowego ul.</w:t>
      </w:r>
      <w:r>
        <w:rPr>
          <w:color w:val="000000"/>
          <w:szCs w:val="20"/>
        </w:rPr>
        <w:t xml:space="preserve"> Rewolucji 1905 r., funkcjonujący wyłącznie w relacjach prawoskrętnych, przy czym podkreślił, że wskazany sposób obsługi będzie możliwy do realizacji wyłącznie po spełnieniu przez Inwestora  określonych w tym uzgodnieniu warunków:</w:t>
      </w:r>
    </w:p>
    <w:p w:rsidR="00F024AD" w:rsidRDefault="00656BAC">
      <w:pPr>
        <w:keepLines/>
        <w:spacing w:before="120" w:after="120"/>
        <w:ind w:left="454"/>
        <w:jc w:val="both"/>
        <w:rPr>
          <w:color w:val="000000"/>
          <w:szCs w:val="20"/>
        </w:rPr>
      </w:pPr>
      <w:r>
        <w:rPr>
          <w:color w:val="000000"/>
          <w:szCs w:val="20"/>
        </w:rPr>
        <w:t>- - rozwiązania kolizji p</w:t>
      </w:r>
      <w:r>
        <w:rPr>
          <w:color w:val="000000"/>
          <w:szCs w:val="20"/>
        </w:rPr>
        <w:t xml:space="preserve">rojektowanego zjazdu z drzewem rosnącym w pasie drogowym ul. Rewolucji 1905 r., poprzez uzyskanie stosownych </w:t>
      </w:r>
      <w:proofErr w:type="spellStart"/>
      <w:r>
        <w:rPr>
          <w:color w:val="000000"/>
          <w:szCs w:val="20"/>
        </w:rPr>
        <w:t>zgód</w:t>
      </w:r>
      <w:proofErr w:type="spellEnd"/>
      <w:r>
        <w:rPr>
          <w:color w:val="000000"/>
          <w:szCs w:val="20"/>
        </w:rPr>
        <w:t xml:space="preserve"> w Wydziale Kształtowania Środowiska UMŁ oraz Zarządzie Zieleni Miejskiej.</w:t>
      </w:r>
    </w:p>
    <w:p w:rsidR="00F024AD" w:rsidRDefault="00656BAC">
      <w:pPr>
        <w:keepLines/>
        <w:spacing w:before="120" w:after="120"/>
        <w:ind w:left="454"/>
        <w:jc w:val="both"/>
        <w:rPr>
          <w:color w:val="000000"/>
          <w:szCs w:val="20"/>
        </w:rPr>
      </w:pPr>
      <w:r>
        <w:rPr>
          <w:color w:val="000000"/>
          <w:szCs w:val="20"/>
        </w:rPr>
        <w:t>- - geometrię planowanego zjazdu należy zaprojektować w taki sposób,</w:t>
      </w:r>
      <w:r>
        <w:rPr>
          <w:color w:val="000000"/>
          <w:szCs w:val="20"/>
        </w:rPr>
        <w:t xml:space="preserve"> aby nie wchodził on w światło nieruchomości sąsiedniej, tj. dz. nr 153/2 w obrębie S-2,  dążąc do ograniczenia szerokości zjazdów w strefie śródmiejskiej, by zminimalizować potencjalny obszar kolizji, poprzez zaprojektowanie azylu między istniejącym zjazd</w:t>
      </w:r>
      <w:r>
        <w:rPr>
          <w:color w:val="000000"/>
          <w:szCs w:val="20"/>
        </w:rPr>
        <w:t xml:space="preserve">em na teren dz. nr 153/2 w obrębie S-2, a nowo projektowanym zjazdem w celu zapewnienia bezpieczeństwa ruchu pieszych, hulajnóg elektrycznych oraz urządzeń transportu osobistego,  dla </w:t>
      </w:r>
      <w:r>
        <w:rPr>
          <w:szCs w:val="20"/>
        </w:rPr>
        <w:t xml:space="preserve">tych </w:t>
      </w:r>
      <w:r>
        <w:rPr>
          <w:color w:val="000000"/>
          <w:szCs w:val="20"/>
        </w:rPr>
        <w:t>użytkowników pasa drogowego.</w:t>
      </w:r>
    </w:p>
    <w:p w:rsidR="00F024AD" w:rsidRDefault="00656BAC">
      <w:pPr>
        <w:keepLines/>
        <w:spacing w:before="120" w:after="120"/>
        <w:ind w:left="454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- - projektowany zjazd należy wykonać </w:t>
      </w:r>
      <w:r>
        <w:rPr>
          <w:color w:val="000000"/>
          <w:szCs w:val="20"/>
        </w:rPr>
        <w:t>z materiałów analogicznych, jakie zostały użyte do wykonania innych zjazdów podczas przebudowy ulicy, istniejący zjazd z pasa drogowego ul. Rewolucji 1905 r. na dz. nr 152/2 w obrębie S-2 należy zlikwidować, a w jego miejsce odtworzyć elementy pasa drogowe</w:t>
      </w:r>
      <w:r>
        <w:rPr>
          <w:color w:val="000000"/>
          <w:szCs w:val="20"/>
        </w:rPr>
        <w:t>go w nawiązaniu do istniejącego sposobu zagospodarowania,</w:t>
      </w:r>
    </w:p>
    <w:p w:rsidR="00F024AD" w:rsidRDefault="00F024AD">
      <w:pPr>
        <w:spacing w:before="120" w:after="120"/>
        <w:ind w:firstLine="340"/>
        <w:jc w:val="both"/>
        <w:rPr>
          <w:color w:val="000000"/>
          <w:szCs w:val="20"/>
        </w:rPr>
      </w:pPr>
    </w:p>
    <w:p w:rsidR="00F024AD" w:rsidRDefault="00656BAC">
      <w:pPr>
        <w:spacing w:before="120" w:after="120"/>
        <w:ind w:firstLine="340"/>
        <w:jc w:val="both"/>
        <w:rPr>
          <w:color w:val="F00000"/>
          <w:szCs w:val="20"/>
        </w:rPr>
      </w:pPr>
      <w:r>
        <w:rPr>
          <w:color w:val="000000"/>
          <w:szCs w:val="20"/>
        </w:rPr>
        <w:t>- Łódzki Wojewódzki Konserwator Zabytków postanowieniem z dnia 17 marca 2025 r. znak: WUOZ-PP.5151.384.2025,KP uzgodnił przedłożony wniosek w zakresie zgodności z zapisami ustawy z dnia 23 lipca 20</w:t>
      </w:r>
      <w:r>
        <w:rPr>
          <w:color w:val="000000"/>
          <w:szCs w:val="20"/>
        </w:rPr>
        <w:t xml:space="preserve">03 r. o ochronie zabytków i opiece nad zabytkami (Dz. U. z 2024 r. poz. 1292). </w:t>
      </w:r>
    </w:p>
    <w:p w:rsidR="00F024AD" w:rsidRDefault="00656BAC">
      <w:pPr>
        <w:spacing w:before="120" w:after="120"/>
        <w:ind w:firstLine="510"/>
        <w:jc w:val="both"/>
        <w:rPr>
          <w:szCs w:val="20"/>
        </w:rPr>
      </w:pPr>
      <w:r>
        <w:rPr>
          <w:color w:val="000000"/>
          <w:szCs w:val="20"/>
        </w:rPr>
        <w:t>Dodatkowo do Biura Architekta Miasta wpłynęło pismo nawiązujące do pisma DEP-Ed-I.0124.7.2024 z dnia 7 marca 2025 r. z uwagą Zarządu Wspólnoty Mieszkaniowej "LEADER HOUSE" zawi</w:t>
      </w:r>
      <w:r>
        <w:rPr>
          <w:color w:val="000000"/>
          <w:szCs w:val="20"/>
        </w:rPr>
        <w:t xml:space="preserve">ązanej dla nieruchomości przy ul. Jaracza 72a odnośnie złożonego wniosku. Wspólnota mieszkaniowa wyraża sprzeciw dotyczący przedmiotowej inwestycji, przedstawiając swoje stanowisko i zaznaczając, że jej realizacja będzie miała bezpośredni, negatywny wpływ </w:t>
      </w:r>
      <w:r>
        <w:rPr>
          <w:color w:val="000000"/>
          <w:szCs w:val="20"/>
        </w:rPr>
        <w:t>na ich budynek i garaż podziemny posadowiony na działkach wspólnoty o nr ewidencyjnych 159/3, 159/54, 159/55. W ocenie wspólnoty planowana inwestycja przewiduje drogę dojazdową i przejście do działki Inwestora, zgodnie z ustanowioną zapisem w księdze wiecz</w:t>
      </w:r>
      <w:r>
        <w:rPr>
          <w:color w:val="000000"/>
          <w:szCs w:val="20"/>
        </w:rPr>
        <w:t xml:space="preserve">ystej służebnością przejścia i przejazdu, przy czym konstrukcja garażu podziemnego inwestycji sąsiadującej, znajdującego się na w/w działkach nie jest </w:t>
      </w:r>
      <w:r>
        <w:rPr>
          <w:color w:val="000000"/>
          <w:szCs w:val="20"/>
        </w:rPr>
        <w:lastRenderedPageBreak/>
        <w:t>przystosowana do tak intensywnego ruchu pojazdów, co mają potwierdzać ekspertyzy techniczne budynku na po</w:t>
      </w:r>
      <w:r>
        <w:rPr>
          <w:color w:val="000000"/>
          <w:szCs w:val="20"/>
        </w:rPr>
        <w:t>sesji przy ul. Jaracza 72a. Ponadto w sprawie wspomnianej służebności toczy się postępowanie sądowe w celu jej zniesienia, co jest kolejnym argumentem mieszkańców. Zarząd Wspólnoty Mieszkaniowej „LEADER HOUSE" wniósł w/w pismem o odrzucenie wniosku Inwesto</w:t>
      </w:r>
      <w:r>
        <w:rPr>
          <w:color w:val="000000"/>
          <w:szCs w:val="20"/>
        </w:rPr>
        <w:t xml:space="preserve">ra. </w:t>
      </w:r>
      <w:r>
        <w:rPr>
          <w:szCs w:val="20"/>
        </w:rPr>
        <w:t>Ponadto w dniu 21 marca 2025 r. wpłynął do Biura Architekta Miasta odpis postanowienia Sądu Rejonowego dla Łodzi- Śródmieście z dnia 10 marca 202r roku (sygn. akt III C 110/25) mówiący o zabezpieczaniu powództwa Wspólnoty Mieszkaniowej nieruchomości pr</w:t>
      </w:r>
      <w:r>
        <w:rPr>
          <w:szCs w:val="20"/>
        </w:rPr>
        <w:t xml:space="preserve">zy ul. Jaracza 72a, poprzez zakazanie uprawnionemu z tytułu służebności gruntowej przejazdu i </w:t>
      </w:r>
      <w:proofErr w:type="spellStart"/>
      <w:r>
        <w:rPr>
          <w:szCs w:val="20"/>
        </w:rPr>
        <w:t>przechodu</w:t>
      </w:r>
      <w:proofErr w:type="spellEnd"/>
      <w:r>
        <w:rPr>
          <w:szCs w:val="20"/>
        </w:rPr>
        <w:t xml:space="preserve"> wpisanej do księgi wieczystej, do korzystania z tejże służebności z wykorzystaniem wszelkich pojazdów o nośności przekraczającej 2.5 tony na czas trwani</w:t>
      </w:r>
      <w:r>
        <w:rPr>
          <w:szCs w:val="20"/>
        </w:rPr>
        <w:t>a niniejszego postępowania.</w:t>
      </w:r>
    </w:p>
    <w:p w:rsidR="00F024AD" w:rsidRDefault="00656BAC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szCs w:val="20"/>
        </w:rPr>
        <w:t xml:space="preserve">W ocenie Biura Architekta Miasta ustanowiona na </w:t>
      </w:r>
      <w:proofErr w:type="spellStart"/>
      <w:r>
        <w:rPr>
          <w:szCs w:val="20"/>
        </w:rPr>
        <w:t>ww</w:t>
      </w:r>
      <w:proofErr w:type="spellEnd"/>
      <w:r>
        <w:rPr>
          <w:szCs w:val="20"/>
        </w:rPr>
        <w:t xml:space="preserve"> nieruchomościach służebność istnieje na dzień tworzenia uchwały i wszelkie sprawy z nią związane nie podlegają rozpatrzeniu przez Biuro Architekta Miasta, ponieważ nie są elemen</w:t>
      </w:r>
      <w:r>
        <w:rPr>
          <w:szCs w:val="20"/>
        </w:rPr>
        <w:t>tem postępowania o ustanowienie lokalizacji inwestycji mieszkaniowej na mocy ustawy z dnia 5 lipca 2018 r. o ułatwieniach w przygotowaniu i realizacji inwestycji mieszkaniowych oraz inwestycji towarzyszących, w związku z tym członkowie Rady Miejskiej nie p</w:t>
      </w:r>
      <w:r>
        <w:rPr>
          <w:szCs w:val="20"/>
        </w:rPr>
        <w:t xml:space="preserve">owinni brać ich pod uwagę przy podejmowaniu decyzji o ustanowieniu lub odmowie ustanowienia lokalizacji inwestycji mieszkaniowej. </w:t>
      </w:r>
    </w:p>
    <w:p w:rsidR="00F024AD" w:rsidRDefault="00656BAC">
      <w:pPr>
        <w:spacing w:before="120" w:after="120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Wydane w sprawie postanowienia, opinie oraz uwagi zostały przekazane do wnioskodawcy. </w:t>
      </w:r>
    </w:p>
    <w:p w:rsidR="00F024AD" w:rsidRDefault="00656BAC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Do projektu uchwały, zgodnie z art. 7 </w:t>
      </w:r>
      <w:r>
        <w:rPr>
          <w:color w:val="000000"/>
          <w:szCs w:val="20"/>
        </w:rPr>
        <w:t xml:space="preserve">ust. 17 specustawy dołączone zostały uzyskane opinie, uzgodnienia oraz uwagi. </w:t>
      </w:r>
    </w:p>
    <w:p w:rsidR="00F024AD" w:rsidRDefault="00656BAC">
      <w:pPr>
        <w:spacing w:before="120" w:after="120"/>
        <w:ind w:firstLine="510"/>
        <w:jc w:val="both"/>
        <w:rPr>
          <w:color w:val="000000"/>
          <w:szCs w:val="20"/>
          <w:u w:val="single"/>
        </w:rPr>
      </w:pPr>
      <w:r>
        <w:rPr>
          <w:color w:val="000000"/>
          <w:szCs w:val="20"/>
        </w:rPr>
        <w:t xml:space="preserve">Planowany sposób zagospodarowania terenu obejmuje budowę dwóch budynków mieszkalnych wielorodzinnych z garażami podziemnymi i częścią garażową w parterze oraz budowę urządzeń budowlanych. Dodatkowo planuje się wycinkę  </w:t>
      </w:r>
      <w:r>
        <w:rPr>
          <w:szCs w:val="20"/>
        </w:rPr>
        <w:t>35 sztuk drzew i krzewów</w:t>
      </w:r>
      <w:r>
        <w:rPr>
          <w:color w:val="F00000"/>
          <w:szCs w:val="20"/>
        </w:rPr>
        <w:t xml:space="preserve"> </w:t>
      </w:r>
      <w:r>
        <w:rPr>
          <w:color w:val="000000"/>
          <w:szCs w:val="20"/>
        </w:rPr>
        <w:t>znajdujących</w:t>
      </w:r>
      <w:r>
        <w:rPr>
          <w:color w:val="000000"/>
          <w:szCs w:val="20"/>
        </w:rPr>
        <w:t xml:space="preserve"> się na terenie inwestycji i kolidujących z planowaną budową budynków. </w:t>
      </w:r>
      <w:r>
        <w:rPr>
          <w:szCs w:val="20"/>
        </w:rPr>
        <w:t>Wydział Ochrony Środowiska i Rolnictwa po zapoznaniu się z istniejącym na działce drzewostanem zarekomendował zachowanie jak największej ilości drzew i krzewów w tym przede wszystkim tr</w:t>
      </w:r>
      <w:r>
        <w:rPr>
          <w:szCs w:val="20"/>
        </w:rPr>
        <w:t>zech sztuk jesionów, trzech sztuk topoli włoskich oraz szpalerów krzewów cisa pospolitego i żywotnika zachodniego, będących siedliskiem ptaków oraz mających duże znaczenie pod względem społecznym, przyrodniczym i krajobrazowym ze względu na lokalizację w ś</w:t>
      </w:r>
      <w:r>
        <w:rPr>
          <w:szCs w:val="20"/>
        </w:rPr>
        <w:t xml:space="preserve">cisłym centrum miasta. </w:t>
      </w:r>
      <w:r>
        <w:rPr>
          <w:color w:val="000000"/>
          <w:szCs w:val="20"/>
        </w:rPr>
        <w:t>Projektuje się przebudowę instalacji elektroenergetycznej, teletechnicznej, wodno-kanalizacyjnej, kanalizacji deszczowej oraz infrastruktury ciepłowniczej i likwidację instalacji gazowej. Projektowane budynki należą do grupy wysokośc</w:t>
      </w:r>
      <w:r>
        <w:rPr>
          <w:color w:val="000000"/>
          <w:szCs w:val="20"/>
        </w:rPr>
        <w:t>iowej budynków średniowysokich. Część frontowa budynku nr 2 od ul. Rewolucji 1905 roku osiąga wysokość do 13 m (4 kondygnacje), część południowa budynku nr 2 posiada wysokość do 20 m (7 kondygnacji). W głębi działki w odległości około 45 m od ul. Rewolucji</w:t>
      </w:r>
      <w:r>
        <w:rPr>
          <w:color w:val="000000"/>
          <w:szCs w:val="20"/>
        </w:rPr>
        <w:t xml:space="preserve"> 1905 roku obiekt (budynek nr 1) zwiększa wysokość do 8 kondygnacji i 24 m (w koncepcji około 23 m). Budynki posiadają maksymalnie 8 kondygnacji nadziemnych oraz dwie kondygnacje podziemne. Obiekty tworzą układ na planie litery "T". Planuje się dachy płask</w:t>
      </w:r>
      <w:r>
        <w:rPr>
          <w:color w:val="000000"/>
          <w:szCs w:val="20"/>
        </w:rPr>
        <w:t>ie oraz dachy zielone. Część mieszkalna obejmuje od 280 do 330 mieszkań na kondygnacjach od 1 do 8. Główne wejścia do części mieszkalnej zlokalizowane od strony wschodniej. Na kondygnacjach podziemnych projektuje się garaż podziemny z miejscami postojowymi</w:t>
      </w:r>
      <w:r>
        <w:rPr>
          <w:color w:val="000000"/>
          <w:szCs w:val="20"/>
        </w:rPr>
        <w:t xml:space="preserve"> dla samochodów osobowych oraz pomieszczenia techniczne. Część garażową planuje się również w parterze budynku. Przewiduje się wewnętrzny układ komunikacyjny jako utwardzenia terenu w postaci ciągów pieszo-jezdnych. Powierzchnia terenu inwestycji wynosi 52</w:t>
      </w:r>
      <w:r>
        <w:rPr>
          <w:color w:val="000000"/>
          <w:szCs w:val="20"/>
        </w:rPr>
        <w:t>85 m</w:t>
      </w:r>
      <w:r>
        <w:rPr>
          <w:color w:val="000000"/>
          <w:szCs w:val="20"/>
          <w:vertAlign w:val="superscript"/>
        </w:rPr>
        <w:t>2</w:t>
      </w:r>
      <w:r>
        <w:rPr>
          <w:color w:val="000000"/>
          <w:szCs w:val="20"/>
        </w:rPr>
        <w:t>. Powierzchnia zabudowy wynosi od 2400 m</w:t>
      </w:r>
      <w:r>
        <w:rPr>
          <w:color w:val="000000"/>
          <w:szCs w:val="20"/>
          <w:vertAlign w:val="superscript"/>
        </w:rPr>
        <w:t xml:space="preserve">2 </w:t>
      </w:r>
      <w:r>
        <w:rPr>
          <w:color w:val="000000"/>
          <w:szCs w:val="20"/>
        </w:rPr>
        <w:t>do 2600 m</w:t>
      </w:r>
      <w:r>
        <w:rPr>
          <w:color w:val="000000"/>
          <w:szCs w:val="20"/>
          <w:vertAlign w:val="superscript"/>
        </w:rPr>
        <w:t>2</w:t>
      </w:r>
      <w:r>
        <w:rPr>
          <w:color w:val="000000"/>
          <w:szCs w:val="20"/>
        </w:rPr>
        <w:t>. Projektowana powierzchnia biologicznie czynna określona została na minimum 1350 m</w:t>
      </w:r>
      <w:r>
        <w:rPr>
          <w:color w:val="000000"/>
          <w:szCs w:val="20"/>
          <w:vertAlign w:val="superscript"/>
        </w:rPr>
        <w:t>2</w:t>
      </w:r>
      <w:r>
        <w:rPr>
          <w:color w:val="000000"/>
          <w:szCs w:val="20"/>
        </w:rPr>
        <w:t xml:space="preserve">, co stanowi </w:t>
      </w:r>
      <w:r>
        <w:rPr>
          <w:color w:val="000000"/>
          <w:szCs w:val="20"/>
        </w:rPr>
        <w:lastRenderedPageBreak/>
        <w:t>wskaźnik nie mniejszy niż 12,5% terenu objętego wnioskiem. Projektowane powierzchnie utwardzone mają s</w:t>
      </w:r>
      <w:r>
        <w:rPr>
          <w:color w:val="000000"/>
          <w:szCs w:val="20"/>
        </w:rPr>
        <w:t>tanowić od 1400 m</w:t>
      </w:r>
      <w:r>
        <w:rPr>
          <w:color w:val="000000"/>
          <w:szCs w:val="20"/>
          <w:vertAlign w:val="superscript"/>
        </w:rPr>
        <w:t xml:space="preserve">2 </w:t>
      </w:r>
      <w:r>
        <w:rPr>
          <w:color w:val="000000"/>
          <w:szCs w:val="20"/>
        </w:rPr>
        <w:t>do 1600 m</w:t>
      </w:r>
      <w:r>
        <w:rPr>
          <w:color w:val="000000"/>
          <w:szCs w:val="20"/>
          <w:vertAlign w:val="superscript"/>
        </w:rPr>
        <w:t>2</w:t>
      </w:r>
      <w:r>
        <w:rPr>
          <w:color w:val="000000"/>
          <w:szCs w:val="20"/>
        </w:rPr>
        <w:t xml:space="preserve">.  </w:t>
      </w:r>
    </w:p>
    <w:p w:rsidR="00F024AD" w:rsidRDefault="00656BAC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Wnioskodawca złożył oświadczenie, o którym mowa w art. 7 ust. 8 </w:t>
      </w:r>
      <w:proofErr w:type="spellStart"/>
      <w:r>
        <w:rPr>
          <w:color w:val="000000"/>
          <w:szCs w:val="20"/>
        </w:rPr>
        <w:t>pkt</w:t>
      </w:r>
      <w:proofErr w:type="spellEnd"/>
      <w:r>
        <w:rPr>
          <w:color w:val="000000"/>
          <w:szCs w:val="20"/>
        </w:rPr>
        <w:t xml:space="preserve"> 2 specustawy, że nie zachodzi kolizja lokalizacji inwestycji mieszkaniowej z inwestycjami, o których mowa </w:t>
      </w:r>
      <w:r>
        <w:rPr>
          <w:color w:val="000000"/>
          <w:szCs w:val="20"/>
        </w:rPr>
        <w:br/>
        <w:t xml:space="preserve">w art. 4 </w:t>
      </w:r>
      <w:proofErr w:type="spellStart"/>
      <w:r>
        <w:rPr>
          <w:color w:val="000000"/>
          <w:szCs w:val="20"/>
        </w:rPr>
        <w:t>pkt</w:t>
      </w:r>
      <w:proofErr w:type="spellEnd"/>
      <w:r>
        <w:rPr>
          <w:color w:val="000000"/>
          <w:szCs w:val="20"/>
        </w:rPr>
        <w:t xml:space="preserve"> 1-13 specustawy i które mają ustawo</w:t>
      </w:r>
      <w:r>
        <w:rPr>
          <w:color w:val="000000"/>
          <w:szCs w:val="20"/>
        </w:rPr>
        <w:t xml:space="preserve">we pierwszeństwo przed inwestycjami mieszkaniowymi. </w:t>
      </w:r>
    </w:p>
    <w:p w:rsidR="00F024AD" w:rsidRDefault="00656BAC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Dla terenu wnioskowanej inwestycji nie obowiązują ustalenia miejscowego planu zagospodarowania przestrzennego. </w:t>
      </w:r>
    </w:p>
    <w:p w:rsidR="00F024AD" w:rsidRDefault="00656BAC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>Zgodnie z art. 5 ust. 3 specustawy, inwestycje mieszkaniowe lub inwestycje towarzyszące rea</w:t>
      </w:r>
      <w:r>
        <w:rPr>
          <w:color w:val="000000"/>
          <w:szCs w:val="20"/>
        </w:rPr>
        <w:t xml:space="preserve">lizuje się niezależnie od istnienia lub ustaleń miejscowego planu zagospodarowania przestrzennego pod warunkiem, że nie są sprzeczne ze Studium uwarunkowań kierunków zagospodarowania przestrzennego gminy oraz </w:t>
      </w:r>
      <w:proofErr w:type="spellStart"/>
      <w:r>
        <w:rPr>
          <w:color w:val="000000"/>
          <w:szCs w:val="20"/>
        </w:rPr>
        <w:t>uchwałą</w:t>
      </w:r>
      <w:proofErr w:type="spellEnd"/>
      <w:r>
        <w:rPr>
          <w:color w:val="000000"/>
          <w:szCs w:val="20"/>
        </w:rPr>
        <w:t xml:space="preserve"> o utworzeniu parku kulturowego. </w:t>
      </w:r>
    </w:p>
    <w:p w:rsidR="00F024AD" w:rsidRDefault="00656BA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>Z ust</w:t>
      </w:r>
      <w:r>
        <w:rPr>
          <w:color w:val="000000"/>
          <w:szCs w:val="20"/>
        </w:rPr>
        <w:t>aleń studium uwarunkowań i kierunków zagospodarowania przestrzennego, przyjętego uchwałą Nr LXIX/1753/18 Rady Miejskiej w Łodzi z dnia 28 marca 2018 r., zmienioną uchwałą Nr VI/215/19 Rady Miejskiej w Łodzi z dnia 6 marca 2019 r. oraz uchwałą Nr LII/1605/2</w:t>
      </w:r>
      <w:r>
        <w:rPr>
          <w:color w:val="000000"/>
          <w:szCs w:val="20"/>
        </w:rPr>
        <w:t>1 z dnia 22 grudnia 2021 r., zwanego dalej Studium, wynika, że lokalizacja wnioskowanej inwestycji mieszkaniowej znajduje się w jednostce W3b - strefa wielkomiejska, jednostka funkcjonalno-przestrzenna: wielofunkcyjne kwartały śródmiejskie III. Planowany s</w:t>
      </w:r>
      <w:r>
        <w:rPr>
          <w:color w:val="000000"/>
          <w:szCs w:val="20"/>
        </w:rPr>
        <w:t>posób zagospodarowania inwestycji mieszkaniowej wpisuje się w ustalone dla terenu W3b kierunki zmian w ramach struktury przestrzennej. Projektowany budynek nr 2 uzupełnia istniejąca pierzeję ulicy Rewolucji 1905 roku. Lokalizacja inwestycji spełnia wymóg d</w:t>
      </w:r>
      <w:r>
        <w:rPr>
          <w:color w:val="000000"/>
          <w:szCs w:val="20"/>
        </w:rPr>
        <w:t>otyczący kształtowania zieleni i zapewnienia minimalnej dla terenów zabudowy mieszkaniowej w odległości nie większej niż 500 m od parku o powierzchni nie mniejszej niż 3 ha. Planowana inwestycja znajduje się w odległości około 225 m od parku  im. Stanisław</w:t>
      </w:r>
      <w:r>
        <w:rPr>
          <w:color w:val="000000"/>
          <w:szCs w:val="20"/>
        </w:rPr>
        <w:t>a Staszica o powierzchni 4,1 ha. Zgodnie z planowanym sposobem zagospodarowania terenu inwestycji spełniony zostaje wskaźnik powierzchni biologicznie czynnej tj. minimum 5% (przewiduje się minimum</w:t>
      </w:r>
      <w:r>
        <w:rPr>
          <w:szCs w:val="20"/>
        </w:rPr>
        <w:t xml:space="preserve"> 25%</w:t>
      </w:r>
      <w:r>
        <w:rPr>
          <w:color w:val="F00000"/>
          <w:szCs w:val="20"/>
        </w:rPr>
        <w:t xml:space="preserve"> </w:t>
      </w:r>
      <w:r>
        <w:rPr>
          <w:color w:val="000000"/>
          <w:szCs w:val="20"/>
        </w:rPr>
        <w:t>powierzchni biologicznie czynnej). W Studium wskazano m</w:t>
      </w:r>
      <w:r>
        <w:rPr>
          <w:color w:val="000000"/>
          <w:szCs w:val="20"/>
        </w:rPr>
        <w:t xml:space="preserve">aksymalną intensywność zabudowy 2,5 liczoną dla całego terenu W3b. Inwestor wskazuje we wniosku, że planowana intensywność zabudowy po realizacji projektowanego budynku wyniesie 1,27. W Studium określono także maksymalną wysokość zabudowy tj. w nawiązaniu </w:t>
      </w:r>
      <w:r>
        <w:rPr>
          <w:color w:val="000000"/>
          <w:szCs w:val="20"/>
        </w:rPr>
        <w:t>do zabudowy historycznej, nie wyżej niż 21 m, a w pierzejach z udziałem zabudowy istniejącej wyższej niż 21 oraz w narożnikach zabudowy przy skrzyżowaniach ulic - nie wyżej niż 25 m, z zastrzeżeniem przewyższeń uzasadnionych kompozycyjnie  nie wyżej  niż 3</w:t>
      </w:r>
      <w:r>
        <w:rPr>
          <w:color w:val="000000"/>
          <w:szCs w:val="20"/>
        </w:rPr>
        <w:t xml:space="preserve">0 m. Inwestor uzasadnia przewyższenie kompozycyjne z uwagi na zlokalizowany na działce sąsiedniej budynek o wysokości 10 kondygnacji. </w:t>
      </w:r>
      <w:r>
        <w:rPr>
          <w:szCs w:val="20"/>
        </w:rPr>
        <w:t>Inwestycja wpisuje się zatem w zapisy poprzez projektowaną wysokość budynku do 24 m ze względu na nawiązanie do dużo wyższ</w:t>
      </w:r>
      <w:r>
        <w:rPr>
          <w:szCs w:val="20"/>
        </w:rPr>
        <w:t xml:space="preserve">ego budynku mieszkalnego znajdującego się w bliskim sąsiedztwie, tj. od strony południowej (dz. nr ewidencyjny 159/3). </w:t>
      </w:r>
      <w:r>
        <w:rPr>
          <w:color w:val="000000"/>
          <w:szCs w:val="20"/>
        </w:rPr>
        <w:t>Wniosek spełnia wymagania Studium w założeniach polityki parkingowej zakładającej zapotrzebowanie na miejsca parkingowe dla nowej zabudow</w:t>
      </w:r>
      <w:r>
        <w:rPr>
          <w:color w:val="000000"/>
          <w:szCs w:val="20"/>
        </w:rPr>
        <w:t xml:space="preserve">y od 0,5 do 1,5 miejsca parkingowego na 1 mieszkanie. Zarówno przeznaczenie projektowanego budynku, intensywność zabudowy, jak i zagospodarowanie terenu inwestycji oraz wysokość planowanych budynków nie jest sprzeczna ze Studium. </w:t>
      </w:r>
    </w:p>
    <w:p w:rsidR="00F024AD" w:rsidRDefault="00656BA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>Wniosek inwestora spełnia</w:t>
      </w:r>
      <w:r>
        <w:rPr>
          <w:color w:val="000000"/>
          <w:szCs w:val="20"/>
        </w:rPr>
        <w:t xml:space="preserve"> standardy lokalizacji i realizacji inwestycji mieszkaniowych określonych w rozdziale 3 specustawy w następujący sposób:</w:t>
      </w:r>
    </w:p>
    <w:p w:rsidR="00F024AD" w:rsidRDefault="00656BA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>1) zgodnie z art. 17 ust. 1 specustawy:</w:t>
      </w:r>
    </w:p>
    <w:p w:rsidR="00F024AD" w:rsidRDefault="00656BAC">
      <w:pPr>
        <w:spacing w:before="120" w:after="120"/>
        <w:ind w:firstLine="340"/>
        <w:jc w:val="both"/>
        <w:rPr>
          <w:color w:val="000000"/>
          <w:szCs w:val="20"/>
        </w:rPr>
      </w:pPr>
      <w:r>
        <w:rPr>
          <w:color w:val="000000"/>
          <w:szCs w:val="20"/>
        </w:rPr>
        <w:lastRenderedPageBreak/>
        <w:t>a) inwestycja ma zapewniony dostęp do drogi publicznej z ul. Rewolucji 1905 roku zgodnie z pism</w:t>
      </w:r>
      <w:r>
        <w:rPr>
          <w:color w:val="000000"/>
          <w:szCs w:val="20"/>
        </w:rPr>
        <w:t>em Zarządu Dróg i </w:t>
      </w:r>
      <w:r>
        <w:rPr>
          <w:color w:val="000000"/>
          <w:szCs w:val="20"/>
          <w:lang w:val="pt-PT" w:eastAsia="pt-PT" w:bidi="pt-PT"/>
        </w:rPr>
        <w:t>Transportu</w:t>
      </w:r>
      <w:r>
        <w:rPr>
          <w:color w:val="000000"/>
          <w:szCs w:val="20"/>
        </w:rPr>
        <w:t xml:space="preserve"> nr ZDiT-UU.40121.4.7.2025 z dnia 10 marca 2025 r., </w:t>
      </w:r>
    </w:p>
    <w:p w:rsidR="00F024AD" w:rsidRDefault="00656BAC">
      <w:pPr>
        <w:spacing w:before="120" w:after="120"/>
        <w:ind w:firstLine="340"/>
        <w:jc w:val="both"/>
        <w:rPr>
          <w:color w:val="000000"/>
          <w:szCs w:val="20"/>
        </w:rPr>
      </w:pPr>
      <w:r>
        <w:rPr>
          <w:color w:val="000000"/>
          <w:szCs w:val="20"/>
        </w:rPr>
        <w:t>b) inwestycja ma zapewniony dostęp do sieci wodociągowej i kanalizacyjnej - zgodnie z pismem z Zakładu Wodociągów i Kanalizacji Sp. z o. o. znak: IT.424.1191.2024.AB2 z dnia 1</w:t>
      </w:r>
      <w:r>
        <w:rPr>
          <w:color w:val="000000"/>
          <w:szCs w:val="20"/>
        </w:rPr>
        <w:t xml:space="preserve">4 czerwca 2024 r. pismem znak: IT.424.1223.2024.AB2 z dnia 28 maja 2024 r., </w:t>
      </w:r>
    </w:p>
    <w:p w:rsidR="00F024AD" w:rsidRDefault="00656BAC">
      <w:pPr>
        <w:spacing w:before="120" w:after="120"/>
        <w:ind w:firstLine="340"/>
        <w:jc w:val="both"/>
        <w:rPr>
          <w:color w:val="000000"/>
          <w:szCs w:val="20"/>
        </w:rPr>
      </w:pPr>
      <w:r>
        <w:rPr>
          <w:color w:val="000000"/>
          <w:szCs w:val="20"/>
        </w:rPr>
        <w:t>c) inwestycja ma zapewniony dostęp do sieci elektroenergetycznej - zgodnie z oświadczeniem o zapewnieniu dostaw energii elektrycznej oraz warunkach przyłączenia obiektu budowlaneg</w:t>
      </w:r>
      <w:r>
        <w:rPr>
          <w:color w:val="000000"/>
          <w:szCs w:val="20"/>
        </w:rPr>
        <w:t xml:space="preserve">o do sieci dystrybucyjnej - pismo nr 24-D7/S/04259 z dnia 14 listopada 2024 r.; </w:t>
      </w:r>
    </w:p>
    <w:p w:rsidR="00F024AD" w:rsidRDefault="00656BAC">
      <w:pPr>
        <w:spacing w:before="120" w:after="120"/>
        <w:ind w:firstLine="340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2) zgodnie z art. 17 ust. 2 w związku z </w:t>
      </w:r>
      <w:proofErr w:type="spellStart"/>
      <w:r>
        <w:rPr>
          <w:color w:val="000000"/>
          <w:szCs w:val="20"/>
        </w:rPr>
        <w:t>art</w:t>
      </w:r>
      <w:proofErr w:type="spellEnd"/>
      <w:r>
        <w:rPr>
          <w:color w:val="000000"/>
          <w:szCs w:val="20"/>
        </w:rPr>
        <w:t xml:space="preserve"> 19 specustawy i uchwałą Nr LXXVI/2076/18 Rady Miejskiej w Łodzi z dnia 10 października 2018 r. w sprawie lokalnych standardów </w:t>
      </w:r>
      <w:r>
        <w:rPr>
          <w:color w:val="000000"/>
          <w:szCs w:val="20"/>
          <w:u w:color="000000"/>
        </w:rPr>
        <w:t>urban</w:t>
      </w:r>
      <w:r>
        <w:rPr>
          <w:color w:val="000000"/>
          <w:szCs w:val="20"/>
          <w:u w:color="000000"/>
        </w:rPr>
        <w:t>istycznych dla Miasta Łodzi</w:t>
      </w:r>
      <w:r>
        <w:rPr>
          <w:color w:val="000000"/>
          <w:szCs w:val="20"/>
        </w:rPr>
        <w:t>:</w:t>
      </w:r>
    </w:p>
    <w:p w:rsidR="00F024AD" w:rsidRDefault="00656BA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a) inwestycja mieszkaniowa zlokalizowana jest w odległości dojścia nie większej niż 500 m od istniejącego przystanku publicznego transportu zbiorowego - odległość przystanku komunikacji miejskiej 130 m, </w:t>
      </w:r>
    </w:p>
    <w:p w:rsidR="00F024AD" w:rsidRDefault="00656BA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>b) inwestycja mieszkani</w:t>
      </w:r>
      <w:r>
        <w:rPr>
          <w:color w:val="000000"/>
          <w:szCs w:val="20"/>
        </w:rPr>
        <w:t>owa zlokalizowana jest w odległości nie większej niż 1000 m od szkoły podstawowej, która jest w stanie przyjąć nowych uczniów w liczbie dzieci stanowiącej nie mniej niż 7% planowanych mieszkańców inwestycji mieszkaniowej - we wniosku przewidziano 34 dzieci</w:t>
      </w:r>
      <w:r>
        <w:rPr>
          <w:color w:val="000000"/>
          <w:szCs w:val="20"/>
        </w:rPr>
        <w:t xml:space="preserve"> - a odległość dojścia do Szkoły Podstawowej nr 94 przy ul. Zacisze 7/9 wynosi 380 m, co spełnia wymagane warunki i zostało potwierdzone zaświadczeniem nr DEP-Ed-I.0124.7.2024 z dnia 20 listopada 2024 r.,</w:t>
      </w:r>
    </w:p>
    <w:p w:rsidR="00F024AD" w:rsidRDefault="00656BA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c) wysokość budynku wynosząca do 24 m, obejmująca do 8 kondygnacji nadziemnych, co spełnia warunki, o których mowa w § 2 ust. 4 lokalnych standardów urbanistycznych; </w:t>
      </w:r>
    </w:p>
    <w:p w:rsidR="00F024AD" w:rsidRDefault="00656BA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>3) zgodnie z art. 17 ust. 4 w związku z art. 19 specustawy i lokalnymi standardami urbani</w:t>
      </w:r>
      <w:r>
        <w:rPr>
          <w:color w:val="000000"/>
          <w:szCs w:val="20"/>
        </w:rPr>
        <w:t>stycznymi - inwestycja zlokalizowana jest w odległości mniejszej niż 1000 m od urządzonego terenu wypoczynku oraz rekreacji lub sportu wskazanych w uchwale i o powierzchni większej niż stanowi iloczyn planowanej liczby mieszkańców równej 483 oraz wskaźnika</w:t>
      </w:r>
      <w:r>
        <w:rPr>
          <w:color w:val="000000"/>
          <w:szCs w:val="20"/>
        </w:rPr>
        <w:t xml:space="preserve"> równego 4 m</w:t>
      </w:r>
      <w:r>
        <w:rPr>
          <w:color w:val="000000"/>
          <w:szCs w:val="20"/>
          <w:vertAlign w:val="superscript"/>
        </w:rPr>
        <w:t>2</w:t>
      </w:r>
      <w:r>
        <w:rPr>
          <w:color w:val="000000"/>
          <w:szCs w:val="20"/>
        </w:rPr>
        <w:t xml:space="preserve"> - iloczyn wynoszący 1932 m</w:t>
      </w:r>
      <w:r>
        <w:rPr>
          <w:color w:val="000000"/>
          <w:szCs w:val="20"/>
          <w:vertAlign w:val="superscript"/>
        </w:rPr>
        <w:t xml:space="preserve">2 </w:t>
      </w:r>
      <w:r>
        <w:rPr>
          <w:color w:val="000000"/>
          <w:szCs w:val="20"/>
        </w:rPr>
        <w:t xml:space="preserve">- w odległości około 225 m znajduje się Park im. Stanisława Staszica o powierzchni 4,1 ha; </w:t>
      </w:r>
    </w:p>
    <w:p w:rsidR="00F024AD" w:rsidRDefault="00656BA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4) zgodnie z art. 17 ust. 4b </w:t>
      </w:r>
      <w:proofErr w:type="spellStart"/>
      <w:r>
        <w:rPr>
          <w:color w:val="000000"/>
          <w:szCs w:val="20"/>
        </w:rPr>
        <w:t>pkt</w:t>
      </w:r>
      <w:proofErr w:type="spellEnd"/>
      <w:r>
        <w:rPr>
          <w:color w:val="000000"/>
          <w:szCs w:val="20"/>
        </w:rPr>
        <w:t xml:space="preserve"> 2 specustawy planowana inwestycja nie musi zapewniać minimalnego udziału powierzchni biol</w:t>
      </w:r>
      <w:r>
        <w:rPr>
          <w:color w:val="000000"/>
          <w:szCs w:val="20"/>
        </w:rPr>
        <w:t xml:space="preserve">ogicznie czynnej poprzez realizację ogólnodostępnego, nieogrodzonego, urządzonego terenu wypoczynku oraz rekreacji i sportu w granicach terenu objętego wnioskiem; </w:t>
      </w:r>
    </w:p>
    <w:p w:rsidR="00F024AD" w:rsidRDefault="00656BA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>5) zgodnie z art. 19 ust. 3 specustawy i lokalnymi standardami urbanistycznymi:</w:t>
      </w:r>
    </w:p>
    <w:p w:rsidR="00F024AD" w:rsidRDefault="00656BA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>a) inwestycj</w:t>
      </w:r>
      <w:r>
        <w:rPr>
          <w:color w:val="000000"/>
          <w:szCs w:val="20"/>
        </w:rPr>
        <w:t xml:space="preserve">a ma zapewniony dostęp do sieci ciepłowniczej zgodnie z informacją o technicznej możliwości podłączenia do Ciepła Systemowego planowanej inwestycji, zgodnie z zamiennymi warunkami przyłączenia nr 2 do sieci ciepłowniczej firmy </w:t>
      </w:r>
      <w:proofErr w:type="spellStart"/>
      <w:r>
        <w:rPr>
          <w:color w:val="000000"/>
          <w:szCs w:val="20"/>
        </w:rPr>
        <w:t>Veolia</w:t>
      </w:r>
      <w:proofErr w:type="spellEnd"/>
      <w:r>
        <w:rPr>
          <w:color w:val="000000"/>
          <w:szCs w:val="20"/>
        </w:rPr>
        <w:t xml:space="preserve"> Energia Łódź S.A. nr 3</w:t>
      </w:r>
      <w:r>
        <w:rPr>
          <w:color w:val="000000"/>
          <w:szCs w:val="20"/>
        </w:rPr>
        <w:t xml:space="preserve">62/24 z dnia 18 października 2024 r., </w:t>
      </w:r>
    </w:p>
    <w:p w:rsidR="00F024AD" w:rsidRDefault="00656BA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b) zapewniono niezbędną minimalną liczbę miejsc parkingowych dla obsługi inwestycji mieszkaniowej, równą minimalnemu wskaźnikowi 1 m. p. na lokal mieszkalny (zgodnie z art. 17 ust. 4d specustawy) tj. przy maksymalnej </w:t>
      </w:r>
      <w:r>
        <w:rPr>
          <w:color w:val="000000"/>
          <w:szCs w:val="20"/>
        </w:rPr>
        <w:t xml:space="preserve">liczbie mieszkań wynoszącej 330 łączna minimalna liczba miejsc parkingowych dla planowanej inwestycji wynosi 330. </w:t>
      </w:r>
    </w:p>
    <w:p w:rsidR="00F024AD" w:rsidRDefault="00656BA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Projektowana inwestycja mieszkaniowa nie została zlokalizowana na terenach podlegających ochronie przed lokalizowaniem lub </w:t>
      </w:r>
      <w:proofErr w:type="spellStart"/>
      <w:r>
        <w:rPr>
          <w:color w:val="000000"/>
          <w:szCs w:val="20"/>
        </w:rPr>
        <w:t>zabudową</w:t>
      </w:r>
      <w:proofErr w:type="spellEnd"/>
      <w:r>
        <w:rPr>
          <w:color w:val="000000"/>
          <w:szCs w:val="20"/>
        </w:rPr>
        <w:t xml:space="preserve"> na podst</w:t>
      </w:r>
      <w:r>
        <w:rPr>
          <w:color w:val="000000"/>
          <w:szCs w:val="20"/>
        </w:rPr>
        <w:t xml:space="preserve">awie odrębnych </w:t>
      </w:r>
      <w:r>
        <w:rPr>
          <w:color w:val="000000"/>
          <w:szCs w:val="20"/>
        </w:rPr>
        <w:lastRenderedPageBreak/>
        <w:t xml:space="preserve">przepisów, a także w granicach otulin form ochrony przyrody, rodzinnych ogrodów działkowych czy obszaru szczególnego zagrożenia powodzią, zgodnie z art. 5 ust. 1 i 2 specustawy. </w:t>
      </w:r>
      <w:r>
        <w:rPr>
          <w:color w:val="000000"/>
          <w:sz w:val="23"/>
          <w:szCs w:val="20"/>
        </w:rPr>
        <w:t>Projektowana inwestycja nie jest zlokalizowana w odległościach,</w:t>
      </w:r>
      <w:r>
        <w:rPr>
          <w:color w:val="000000"/>
          <w:sz w:val="23"/>
          <w:szCs w:val="20"/>
        </w:rPr>
        <w:t xml:space="preserve"> o których mowa w art. 5 ust. 3a specustawy. </w:t>
      </w:r>
    </w:p>
    <w:p w:rsidR="00F024AD" w:rsidRDefault="00656BAC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>Przy podejmowaniu niniejszej uchwały Rada Miejska w Łodzi brała pod uwagę stan zaspokojenia potrzeb mieszkaniowych na terenie gminy oraz potrzeby i możliwości rozwoju gminy wynikające z ustaleń studium uwarunkowań i kierunków zagospodarowania przestrzenneg</w:t>
      </w:r>
      <w:r>
        <w:rPr>
          <w:color w:val="000000"/>
          <w:szCs w:val="20"/>
        </w:rPr>
        <w:t xml:space="preserve">o gminy. </w:t>
      </w:r>
    </w:p>
    <w:p w:rsidR="00F024AD" w:rsidRDefault="00656BAC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>Z uwagi na uzyskane</w:t>
      </w:r>
      <w:r>
        <w:rPr>
          <w:szCs w:val="20"/>
        </w:rPr>
        <w:t xml:space="preserve"> w większości </w:t>
      </w:r>
      <w:r>
        <w:rPr>
          <w:color w:val="000000"/>
          <w:szCs w:val="20"/>
        </w:rPr>
        <w:t xml:space="preserve">pozytywne stanowiska organów i instytucji opiniujących oraz uzgadniających wniosek, </w:t>
      </w:r>
      <w:r>
        <w:rPr>
          <w:szCs w:val="20"/>
        </w:rPr>
        <w:t xml:space="preserve">z uwzględnieniem jednej negatywnej opinii Miejskiej Komisji Urbanistyczno-Architektonicznej </w:t>
      </w:r>
      <w:r>
        <w:rPr>
          <w:color w:val="000000"/>
          <w:szCs w:val="20"/>
        </w:rPr>
        <w:t>uznaje się za zasadne podjęcie uchwał</w:t>
      </w:r>
      <w:r>
        <w:rPr>
          <w:color w:val="000000"/>
          <w:szCs w:val="20"/>
        </w:rPr>
        <w:t xml:space="preserve">y o ustaleniu lokalizacji inwestycji mieszkaniowej zgodnie z parametrami i warunkami określonymi wnioskiem. </w:t>
      </w:r>
    </w:p>
    <w:p w:rsidR="00F024AD" w:rsidRDefault="00F024AD">
      <w:pPr>
        <w:spacing w:before="120" w:after="120"/>
        <w:ind w:firstLine="510"/>
        <w:jc w:val="both"/>
        <w:rPr>
          <w:color w:val="000000"/>
          <w:szCs w:val="20"/>
          <w:u w:color="000000"/>
        </w:rPr>
      </w:pPr>
    </w:p>
    <w:sectPr w:rsidR="00F024AD" w:rsidSect="00F024AD">
      <w:footerReference w:type="default" r:id="rId13"/>
      <w:endnotePr>
        <w:numFmt w:val="decimal"/>
      </w:endnotePr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6BAC" w:rsidRDefault="00656BAC" w:rsidP="00F024AD">
      <w:r>
        <w:separator/>
      </w:r>
    </w:p>
  </w:endnote>
  <w:endnote w:type="continuationSeparator" w:id="0">
    <w:p w:rsidR="00656BAC" w:rsidRDefault="00656BAC" w:rsidP="00F024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6048"/>
      <w:gridCol w:w="3024"/>
    </w:tblGrid>
    <w:tr w:rsidR="00F024AD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F024AD" w:rsidRDefault="00656BAC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F024AD" w:rsidRDefault="00656BAC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F024AD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0539CA">
            <w:rPr>
              <w:sz w:val="18"/>
            </w:rPr>
            <w:fldChar w:fldCharType="separate"/>
          </w:r>
          <w:r w:rsidR="000539CA">
            <w:rPr>
              <w:noProof/>
              <w:sz w:val="18"/>
            </w:rPr>
            <w:t>1</w:t>
          </w:r>
          <w:r w:rsidR="00F024AD">
            <w:rPr>
              <w:sz w:val="18"/>
            </w:rPr>
            <w:fldChar w:fldCharType="end"/>
          </w:r>
        </w:p>
      </w:tc>
    </w:tr>
  </w:tbl>
  <w:p w:rsidR="00F024AD" w:rsidRDefault="00F024AD">
    <w:pPr>
      <w:rPr>
        <w:sz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6048"/>
      <w:gridCol w:w="3024"/>
    </w:tblGrid>
    <w:tr w:rsidR="00F024AD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F024AD" w:rsidRDefault="00656BAC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F024AD" w:rsidRDefault="00656BAC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F024AD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0539CA">
            <w:rPr>
              <w:sz w:val="18"/>
            </w:rPr>
            <w:fldChar w:fldCharType="separate"/>
          </w:r>
          <w:r w:rsidR="000539CA">
            <w:rPr>
              <w:noProof/>
              <w:sz w:val="18"/>
            </w:rPr>
            <w:t>3</w:t>
          </w:r>
          <w:r w:rsidR="00F024AD">
            <w:rPr>
              <w:sz w:val="18"/>
            </w:rPr>
            <w:fldChar w:fldCharType="end"/>
          </w:r>
        </w:p>
      </w:tc>
    </w:tr>
  </w:tbl>
  <w:p w:rsidR="00F024AD" w:rsidRDefault="00F024AD">
    <w:pPr>
      <w:rPr>
        <w:sz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6048"/>
      <w:gridCol w:w="3024"/>
    </w:tblGrid>
    <w:tr w:rsidR="00F024AD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F024AD" w:rsidRDefault="00656BAC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F024AD" w:rsidRDefault="00656BAC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F024AD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0539CA">
            <w:rPr>
              <w:sz w:val="18"/>
            </w:rPr>
            <w:fldChar w:fldCharType="separate"/>
          </w:r>
          <w:r w:rsidR="000539CA">
            <w:rPr>
              <w:noProof/>
              <w:sz w:val="18"/>
            </w:rPr>
            <w:t>3</w:t>
          </w:r>
          <w:r w:rsidR="00F024AD">
            <w:rPr>
              <w:sz w:val="18"/>
            </w:rPr>
            <w:fldChar w:fldCharType="end"/>
          </w:r>
        </w:p>
      </w:tc>
    </w:tr>
  </w:tbl>
  <w:p w:rsidR="00F024AD" w:rsidRDefault="00F024AD">
    <w:pPr>
      <w:rPr>
        <w:sz w:val="18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6048"/>
      <w:gridCol w:w="3024"/>
    </w:tblGrid>
    <w:tr w:rsidR="00F024AD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F024AD" w:rsidRDefault="00656BAC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F024AD" w:rsidRDefault="00656BAC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F024AD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0539CA">
            <w:rPr>
              <w:sz w:val="18"/>
            </w:rPr>
            <w:fldChar w:fldCharType="separate"/>
          </w:r>
          <w:r w:rsidR="000539CA">
            <w:rPr>
              <w:noProof/>
              <w:sz w:val="18"/>
            </w:rPr>
            <w:t>6</w:t>
          </w:r>
          <w:r w:rsidR="00F024AD">
            <w:rPr>
              <w:sz w:val="18"/>
            </w:rPr>
            <w:fldChar w:fldCharType="end"/>
          </w:r>
        </w:p>
      </w:tc>
    </w:tr>
  </w:tbl>
  <w:p w:rsidR="00F024AD" w:rsidRDefault="00F024AD">
    <w:pPr>
      <w:rPr>
        <w:sz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6BAC" w:rsidRDefault="00656BAC" w:rsidP="00F024AD">
      <w:r>
        <w:separator/>
      </w:r>
    </w:p>
  </w:footnote>
  <w:footnote w:type="continuationSeparator" w:id="0">
    <w:p w:rsidR="00656BAC" w:rsidRDefault="00656BAC" w:rsidP="00F024A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stylePaneFormatFilter w:val="3F01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0539CA"/>
    <w:rsid w:val="00656BAC"/>
    <w:rsid w:val="00A77B3E"/>
    <w:rsid w:val="00CA2A55"/>
    <w:rsid w:val="00F024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F024AD"/>
    <w:pPr>
      <w:jc w:val="center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rsid w:val="000539C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0539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F77DAE62-DD48-436A-A23D-2B6E8E098459.png" TargetMode="External"/><Relationship Id="rId13" Type="http://schemas.openxmlformats.org/officeDocument/2006/relationships/footer" Target="footer4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Zalacznik60672A39-08B7-4BE4-9465-0BEA4EEC8B6A.png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4882</Words>
  <Characters>29293</Characters>
  <Application>Microsoft Office Word</Application>
  <DocSecurity>0</DocSecurity>
  <Lines>244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Miejska w Łodzi</Company>
  <LinksUpToDate>false</LinksUpToDate>
  <CharactersWithSpaces>34107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ustalenia lokalizacji inwestycji mieszkaniowej
przy ul. Rewolucji 1905 r. nr 61 w Łodzi.</dc:subject>
  <dc:creator>agacka</dc:creator>
  <cp:lastModifiedBy>sstanczyk</cp:lastModifiedBy>
  <cp:revision>2</cp:revision>
  <dcterms:created xsi:type="dcterms:W3CDTF">2025-04-07T09:03:00Z</dcterms:created>
  <dcterms:modified xsi:type="dcterms:W3CDTF">2025-04-07T08:10:00Z</dcterms:modified>
  <cp:category>Akt prawny</cp:category>
</cp:coreProperties>
</file>